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2808605</wp:posOffset>
            </wp:positionH>
            <wp:positionV relativeFrom="paragraph">
              <wp:posOffset>248285</wp:posOffset>
            </wp:positionV>
            <wp:extent cx="1106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6-K</w:t>
      </w:r>
    </w:p>
    <w:p>
      <w:pPr>
        <w:spacing w:after="0" w:line="28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Exchange Act of 1934</w:t>
      </w:r>
    </w:p>
    <w:p>
      <w:pPr>
        <w:spacing w:after="0" w:line="26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May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2808605</wp:posOffset>
            </wp:positionH>
            <wp:positionV relativeFrom="paragraph">
              <wp:posOffset>257810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CREDICORP LTD.</w:t>
      </w:r>
    </w:p>
    <w:p>
      <w:pPr>
        <w:spacing w:after="0" w:line="2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6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65"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88"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Form 20-F x Form 40-F o</w:t>
      </w:r>
    </w:p>
    <w:p>
      <w:pPr>
        <w:spacing w:after="0" w:line="276"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34"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wp:posOffset>
            </wp:positionH>
            <wp:positionV relativeFrom="paragraph">
              <wp:posOffset>250825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660" w:top="477" w:right="619" w:bottom="1440" w:gutter="0" w:footer="0" w:header="0"/>
        </w:sectPr>
      </w:pPr>
    </w:p>
    <w:bookmarkStart w:id="1" w:name="page2"/>
    <w:bookmarkEnd w:id="1"/>
    <w:p>
      <w:pPr>
        <w:jc w:val="center"/>
        <w:ind w:left="3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1715135" cy="6817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15135" cy="6817995"/>
                    </a:xfrm>
                    <a:prstGeom prst="rect">
                      <a:avLst/>
                    </a:prstGeom>
                    <a:noFill/>
                  </pic:spPr>
                </pic:pic>
              </a:graphicData>
            </a:graphic>
          </wp:anchor>
        </w:drawing>
        <w:t>CREDICORP Ltd. Reports First Quarter 2008 Earnings</w:t>
      </w:r>
    </w:p>
    <w:p>
      <w:pPr>
        <w:spacing w:after="0" w:line="252" w:lineRule="exact"/>
        <w:rPr>
          <w:sz w:val="20"/>
          <w:szCs w:val="20"/>
          <w:color w:val="auto"/>
        </w:rPr>
      </w:pPr>
    </w:p>
    <w:p>
      <w:pPr>
        <w:ind w:left="1960" w:right="20"/>
        <w:spacing w:after="0" w:line="313" w:lineRule="auto"/>
        <w:rPr>
          <w:sz w:val="20"/>
          <w:szCs w:val="20"/>
          <w:color w:val="auto"/>
        </w:rPr>
      </w:pPr>
      <w:r>
        <w:rPr>
          <w:rFonts w:ascii="Arial" w:cs="Arial" w:eastAsia="Arial" w:hAnsi="Arial"/>
          <w:sz w:val="17"/>
          <w:szCs w:val="17"/>
          <w:b w:val="1"/>
          <w:bCs w:val="1"/>
          <w:color w:val="auto"/>
        </w:rPr>
        <w:t xml:space="preserve">Lima, Peru, May 7, 2008 - </w:t>
      </w:r>
      <w:r>
        <w:rPr>
          <w:rFonts w:ascii="Arial" w:cs="Arial" w:eastAsia="Arial" w:hAnsi="Arial"/>
          <w:sz w:val="17"/>
          <w:szCs w:val="17"/>
          <w:color w:val="auto"/>
        </w:rPr>
        <w:t>Credicorp (NYSE:BAP) announced today its unaudited results for the first quarter of</w:t>
      </w:r>
      <w:r>
        <w:rPr>
          <w:rFonts w:ascii="Arial" w:cs="Arial" w:eastAsia="Arial" w:hAnsi="Arial"/>
          <w:sz w:val="17"/>
          <w:szCs w:val="17"/>
          <w:b w:val="1"/>
          <w:bCs w:val="1"/>
          <w:color w:val="auto"/>
        </w:rPr>
        <w:t xml:space="preserve"> </w:t>
      </w:r>
      <w:r>
        <w:rPr>
          <w:rFonts w:ascii="Arial" w:cs="Arial" w:eastAsia="Arial" w:hAnsi="Arial"/>
          <w:sz w:val="17"/>
          <w:szCs w:val="17"/>
          <w:color w:val="auto"/>
        </w:rPr>
        <w:t>2008. These results are reported on a consolidated basis in accordance with IFRS in nominal U.S. Dollars.</w:t>
      </w:r>
    </w:p>
    <w:p>
      <w:pPr>
        <w:spacing w:after="0" w:line="16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HIGHLIGHTS</w:t>
      </w:r>
    </w:p>
    <w:p>
      <w:pPr>
        <w:spacing w:after="0" w:line="256" w:lineRule="exact"/>
        <w:rPr>
          <w:sz w:val="20"/>
          <w:szCs w:val="20"/>
          <w:color w:val="auto"/>
        </w:rPr>
      </w:pPr>
    </w:p>
    <w:p>
      <w:pPr>
        <w:jc w:val="both"/>
        <w:ind w:left="2680" w:hanging="725"/>
        <w:spacing w:after="0" w:line="256" w:lineRule="auto"/>
        <w:tabs>
          <w:tab w:leader="none" w:pos="2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Following a period of strong currency volatility and BCR intervention, Credicorp reported an extraordinary increase of its net income of 89% QoQ and 125% YoY, totaling unprecedented net earnings for the quarter of US$ 178 million.</w:t>
      </w:r>
    </w:p>
    <w:p>
      <w:pPr>
        <w:jc w:val="both"/>
        <w:ind w:left="2680" w:hanging="725"/>
        <w:spacing w:after="0" w:line="250" w:lineRule="auto"/>
        <w:tabs>
          <w:tab w:leader="none" w:pos="2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Such unexpectedly high income includes a significant currency translation gain of US$ 68.7 million which resulted from the accelerated appreciation of the local currency vs. the US Dollar during this 1Q08 combined with a controlled management of Credicorp’s Soles/Dollar positions geared to take advantage of such currency volatility.</w:t>
      </w:r>
    </w:p>
    <w:p>
      <w:pPr>
        <w:spacing w:after="0" w:line="1" w:lineRule="exact"/>
        <w:rPr>
          <w:rFonts w:ascii="Arial" w:cs="Arial" w:eastAsia="Arial" w:hAnsi="Arial"/>
          <w:sz w:val="18"/>
          <w:szCs w:val="18"/>
          <w:color w:val="auto"/>
        </w:rPr>
      </w:pPr>
    </w:p>
    <w:p>
      <w:pPr>
        <w:ind w:left="2680" w:hanging="725"/>
        <w:spacing w:after="0" w:line="281" w:lineRule="auto"/>
        <w:tabs>
          <w:tab w:leader="none" w:pos="2680" w:val="left"/>
        </w:tabs>
        <w:numPr>
          <w:ilvl w:val="0"/>
          <w:numId w:val="1"/>
        </w:numPr>
        <w:rPr>
          <w:rFonts w:ascii="Arial" w:cs="Arial" w:eastAsia="Arial" w:hAnsi="Arial"/>
          <w:sz w:val="16"/>
          <w:szCs w:val="16"/>
          <w:color w:val="auto"/>
        </w:rPr>
      </w:pPr>
      <w:r>
        <w:rPr>
          <w:rFonts w:ascii="Arial" w:cs="Arial" w:eastAsia="Arial" w:hAnsi="Arial"/>
          <w:sz w:val="16"/>
          <w:szCs w:val="16"/>
          <w:color w:val="auto"/>
        </w:rPr>
        <w:t>Even excluding such translation gain, Credicorp’s results show 43% QoQ earnings growth to US$ 109 million, reflecting the continuing strong growth and income generation of Credicorp’s core businesses.</w:t>
      </w:r>
    </w:p>
    <w:p>
      <w:pPr>
        <w:spacing w:after="0" w:line="1" w:lineRule="exact"/>
        <w:rPr>
          <w:rFonts w:ascii="Arial" w:cs="Arial" w:eastAsia="Arial" w:hAnsi="Arial"/>
          <w:sz w:val="16"/>
          <w:szCs w:val="16"/>
          <w:color w:val="auto"/>
        </w:rPr>
      </w:pPr>
    </w:p>
    <w:p>
      <w:pPr>
        <w:jc w:val="both"/>
        <w:ind w:left="2680" w:hanging="725"/>
        <w:spacing w:after="0" w:line="250" w:lineRule="auto"/>
        <w:tabs>
          <w:tab w:leader="none" w:pos="2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Loan growth reported by its banking business continued strong, though somewhat inflated by the revaluation of its Soles denominated loans (32% of the loan book), revealing an 8.1% QoQ loan portfolio growth.</w:t>
      </w:r>
    </w:p>
    <w:p>
      <w:pPr>
        <w:spacing w:after="0" w:line="1" w:lineRule="exact"/>
        <w:rPr>
          <w:rFonts w:ascii="Arial" w:cs="Arial" w:eastAsia="Arial" w:hAnsi="Arial"/>
          <w:sz w:val="18"/>
          <w:szCs w:val="18"/>
          <w:color w:val="auto"/>
        </w:rPr>
      </w:pPr>
    </w:p>
    <w:p>
      <w:pPr>
        <w:ind w:left="2680" w:hanging="725"/>
        <w:spacing w:after="0"/>
        <w:tabs>
          <w:tab w:leader="none" w:pos="2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Interest income followed this trend with a robust 9.9% QoQ growth.</w:t>
      </w:r>
    </w:p>
    <w:p>
      <w:pPr>
        <w:spacing w:after="0" w:line="21" w:lineRule="exact"/>
        <w:rPr>
          <w:rFonts w:ascii="Arial" w:cs="Arial" w:eastAsia="Arial" w:hAnsi="Arial"/>
          <w:sz w:val="18"/>
          <w:szCs w:val="18"/>
          <w:color w:val="auto"/>
        </w:rPr>
      </w:pPr>
    </w:p>
    <w:p>
      <w:pPr>
        <w:jc w:val="both"/>
        <w:ind w:left="2680" w:hanging="725"/>
        <w:spacing w:after="0" w:line="268" w:lineRule="auto"/>
        <w:tabs>
          <w:tab w:leader="none" w:pos="2680" w:val="left"/>
        </w:tabs>
        <w:numPr>
          <w:ilvl w:val="0"/>
          <w:numId w:val="1"/>
        </w:numPr>
        <w:rPr>
          <w:rFonts w:ascii="Arial" w:cs="Arial" w:eastAsia="Arial" w:hAnsi="Arial"/>
          <w:sz w:val="17"/>
          <w:szCs w:val="17"/>
          <w:color w:val="auto"/>
        </w:rPr>
      </w:pPr>
      <w:r>
        <w:rPr>
          <w:rFonts w:ascii="Arial" w:cs="Arial" w:eastAsia="Arial" w:hAnsi="Arial"/>
          <w:sz w:val="17"/>
          <w:szCs w:val="17"/>
          <w:color w:val="auto"/>
        </w:rPr>
        <w:t>NIM however, drops slightly from 5.2% to 5.1% and reflects herewith a continued stronger growth of our corporate -thus tighter in margins- dollar loan portfolio on the back of strong investment activity; higher funding costs after the BCR’s intervention to control inflation and currency volatility; and a significantly increased investment portfolio which is very attractive given the tax advantages it generates, but contributes only with tighter nominal margins to NIM calculation.</w:t>
      </w:r>
    </w:p>
    <w:p>
      <w:pPr>
        <w:spacing w:after="0" w:line="3" w:lineRule="exact"/>
        <w:rPr>
          <w:rFonts w:ascii="Arial" w:cs="Arial" w:eastAsia="Arial" w:hAnsi="Arial"/>
          <w:sz w:val="17"/>
          <w:szCs w:val="17"/>
          <w:color w:val="auto"/>
        </w:rPr>
      </w:pPr>
    </w:p>
    <w:p>
      <w:pPr>
        <w:jc w:val="both"/>
        <w:ind w:left="2680" w:right="20" w:hanging="725"/>
        <w:spacing w:after="0" w:line="250" w:lineRule="auto"/>
        <w:tabs>
          <w:tab w:leader="none" w:pos="2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 financial income grows a strong 24.6% QoQ, though it includes also a significant extraordinary income from the sale of the group’s VISA shares of close to US$ 13 million on an after tax basis. Still, fee income grows a robust 12.4% QoQ and 34% YoY, revealing the increasing transactional income generation.</w:t>
      </w:r>
    </w:p>
    <w:p>
      <w:pPr>
        <w:spacing w:after="0" w:line="1" w:lineRule="exact"/>
        <w:rPr>
          <w:rFonts w:ascii="Arial" w:cs="Arial" w:eastAsia="Arial" w:hAnsi="Arial"/>
          <w:sz w:val="18"/>
          <w:szCs w:val="18"/>
          <w:color w:val="auto"/>
        </w:rPr>
      </w:pPr>
    </w:p>
    <w:p>
      <w:pPr>
        <w:jc w:val="both"/>
        <w:ind w:left="2680" w:hanging="725"/>
        <w:spacing w:after="0" w:line="250" w:lineRule="auto"/>
        <w:tabs>
          <w:tab w:leader="none" w:pos="2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Loan portfolio quality continues strong, reaching a PDL/Loans ratio of only 0.8%. Net provisioning increased however 62.7% QoQ to US$ 16.1 million as a result of a change towards a more conservative provisioning policy for our retail portfolio.</w:t>
      </w:r>
    </w:p>
    <w:p>
      <w:pPr>
        <w:spacing w:after="0" w:line="1" w:lineRule="exact"/>
        <w:rPr>
          <w:rFonts w:ascii="Arial" w:cs="Arial" w:eastAsia="Arial" w:hAnsi="Arial"/>
          <w:sz w:val="18"/>
          <w:szCs w:val="18"/>
          <w:color w:val="auto"/>
        </w:rPr>
      </w:pPr>
    </w:p>
    <w:p>
      <w:pPr>
        <w:jc w:val="both"/>
        <w:ind w:left="2680" w:hanging="725"/>
        <w:spacing w:after="0" w:line="265" w:lineRule="auto"/>
        <w:tabs>
          <w:tab w:leader="none" w:pos="2680" w:val="left"/>
        </w:tabs>
        <w:numPr>
          <w:ilvl w:val="0"/>
          <w:numId w:val="1"/>
        </w:numPr>
        <w:rPr>
          <w:rFonts w:ascii="Arial" w:cs="Arial" w:eastAsia="Arial" w:hAnsi="Arial"/>
          <w:sz w:val="17"/>
          <w:szCs w:val="17"/>
          <w:color w:val="auto"/>
        </w:rPr>
      </w:pPr>
      <w:r>
        <w:rPr>
          <w:rFonts w:ascii="Arial" w:cs="Arial" w:eastAsia="Arial" w:hAnsi="Arial"/>
          <w:sz w:val="17"/>
          <w:szCs w:val="17"/>
          <w:color w:val="auto"/>
        </w:rPr>
        <w:t>BCP’s consolidated numbers reflect a very healthy and dynamic banking environment with core revenues up 7.3% QoQ and 37.8% for the year. Such improved income combined with less than projected operating expenses and the important positive translation effect mentioned above, led to a completely extraordinary 92.3% QoQ higher net income for BCP for 1Q08 which reached US$ 165.8 million, and translates into a contribution to Credicorp of US$ 161.4 million for this 1Q08.</w:t>
      </w:r>
    </w:p>
    <w:p>
      <w:pPr>
        <w:spacing w:after="0" w:line="1" w:lineRule="exact"/>
        <w:rPr>
          <w:rFonts w:ascii="Arial" w:cs="Arial" w:eastAsia="Arial" w:hAnsi="Arial"/>
          <w:sz w:val="17"/>
          <w:szCs w:val="17"/>
          <w:color w:val="auto"/>
        </w:rPr>
      </w:pPr>
    </w:p>
    <w:p>
      <w:pPr>
        <w:ind w:left="2680" w:hanging="725"/>
        <w:spacing w:after="0" w:line="250" w:lineRule="auto"/>
        <w:tabs>
          <w:tab w:leader="none" w:pos="2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BCP Bolivia, which is consolidated in BCP, continues its consistent growth and reports a contribution 4% higher QoQ and 118% higher YoY, reaching US$ 10.5 million for 1Q08.</w:t>
      </w:r>
    </w:p>
    <w:p>
      <w:pPr>
        <w:ind w:left="2680" w:right="20" w:hanging="725"/>
        <w:spacing w:after="0" w:line="250" w:lineRule="auto"/>
        <w:tabs>
          <w:tab w:leader="none" w:pos="2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ASHC remains a stable and growing business in line with the increasing wealth in the country and reports a contribution improvement of 14% QoQ at US$ 5.7 million.</w:t>
      </w:r>
    </w:p>
    <w:p>
      <w:pPr>
        <w:jc w:val="both"/>
        <w:ind w:left="2680" w:hanging="725"/>
        <w:spacing w:after="0" w:line="250" w:lineRule="auto"/>
        <w:tabs>
          <w:tab w:leader="none" w:pos="2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PPS, though still troubled by its property and casualty business, reports this quarter recovered contribution to Credicorp of US$ 2.34 million, helped by its financial management which generated also an important translation gain.</w:t>
      </w:r>
    </w:p>
    <w:p>
      <w:pPr>
        <w:spacing w:after="0" w:line="1" w:lineRule="exact"/>
        <w:rPr>
          <w:rFonts w:ascii="Arial" w:cs="Arial" w:eastAsia="Arial" w:hAnsi="Arial"/>
          <w:sz w:val="18"/>
          <w:szCs w:val="18"/>
          <w:color w:val="auto"/>
        </w:rPr>
      </w:pPr>
    </w:p>
    <w:p>
      <w:pPr>
        <w:jc w:val="both"/>
        <w:ind w:left="2680" w:hanging="725"/>
        <w:spacing w:after="0" w:line="277" w:lineRule="auto"/>
        <w:tabs>
          <w:tab w:leader="none" w:pos="2680" w:val="left"/>
        </w:tabs>
        <w:numPr>
          <w:ilvl w:val="0"/>
          <w:numId w:val="1"/>
        </w:numPr>
        <w:rPr>
          <w:rFonts w:ascii="Arial" w:cs="Arial" w:eastAsia="Arial" w:hAnsi="Arial"/>
          <w:sz w:val="17"/>
          <w:szCs w:val="17"/>
          <w:color w:val="auto"/>
        </w:rPr>
      </w:pPr>
      <w:r>
        <w:rPr>
          <w:rFonts w:ascii="Arial" w:cs="Arial" w:eastAsia="Arial" w:hAnsi="Arial"/>
          <w:sz w:val="17"/>
          <w:szCs w:val="17"/>
          <w:color w:val="auto"/>
        </w:rPr>
        <w:t>Finally, Prima AFP reports a significantly higher contribution of US$ 9 million following expected improved business results, but also an extraordinary income from the treatment of deferred tax liabilities which led to the recognition of US$ 2.3 million earnings from previous periods in this 1Q08.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991870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23" w:right="239" w:bottom="1440" w:gutter="0" w:footer="0" w:header="0"/>
        </w:sectPr>
      </w:pPr>
    </w:p>
    <w:bookmarkStart w:id="2" w:name="page3"/>
    <w:bookmarkEnd w:id="2"/>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 Credicorp Ltd.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Following a period of strong currency volatility (8.41% revaluation of the Sol) and BCR intervention (interest rate and reserve requirement changes), Credicorp reported an extraordinary increase of its net income of 89% QoQ and 125% YoY, totaling unprecedented net earnings for the quarter of US$ 178 million, and resulting in an improved ROAE of 40% for the quarter.</w:t>
      </w:r>
    </w:p>
    <w:p>
      <w:pPr>
        <w:spacing w:after="0" w:line="23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Such unexpectedly high income includes a significant currency translation gain of US$ 68.7 million which resulted from the accelerated appreciation of the local currency vs. the US Dollar during this 1Q08. Such currency fluctuation generated a gain through the impact on the net Soles position on our books (i.e. appreciation of the Soles loan book which represents 32% of the portfolio, and investment portfolio vs. soles denominated liabilities). However, a significant portion of such gain was also generated by the management of such positions at BCP and the different subsidiaries, where our US Dollar position was intentionally diminished in light of the US Dollar devaluation expectations, generating additional translation gains in our IFRS US Dollar accounting. Thus, significantly different results were reported in local currency accounting, where the devaluation of the dollar generated a loss instead. In both cases, the calculated management of the currency position either increased gains or minimized losses. Nevertheless, we should keep in mind the volatile source and nature of these gains, which can be equally reverted with changing market conditions given such a highly volatile moment.</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Thus, when excluding such translation gain, Credicorp’s results show 43% QoQ earnings growth, with earnings after minorities for the quarter of US$ 109.3 million, a number closer to our optimistic projections, and thus reflecting the continuing strong growth and income generation of Credicorp’s businesses. However, such 1Q08 income also includes an additional one-off gain generated by the VISA shares IPO which resulted in a bottom line after tax addition of around US$ 13 million.</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these one-off’s, Credicorp’s core banking business reported a strong performance, with total loan growth this last quarter reaching 8.1% QoQ. Though slightly overstated by the revaluation of the Soles loan portfolio, loan growth was fueled, not only by the already expected strong retail segment, but also a continuing strong investment activity which led to high quarterly growth of the corporate US Dollar loan book.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61"/>
        </w:trPr>
        <w:tc>
          <w:tcPr>
            <w:tcW w:w="4900" w:type="dxa"/>
            <w:vAlign w:val="bottom"/>
          </w:tcPr>
          <w:p>
            <w:pPr>
              <w:spacing w:after="0"/>
              <w:rPr>
                <w:sz w:val="20"/>
                <w:szCs w:val="20"/>
                <w:color w:val="auto"/>
              </w:rPr>
            </w:pPr>
            <w:r>
              <w:rPr>
                <w:rFonts w:ascii="Arial" w:cs="Arial" w:eastAsia="Arial" w:hAnsi="Arial"/>
                <w:sz w:val="18"/>
                <w:szCs w:val="18"/>
                <w:b w:val="1"/>
                <w:bCs w:val="1"/>
                <w:color w:val="auto"/>
              </w:rPr>
              <w:t>Credicorp Ltd.</w:t>
            </w:r>
          </w:p>
        </w:tc>
        <w:tc>
          <w:tcPr>
            <w:tcW w:w="11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11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46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Change %</w:t>
            </w:r>
          </w:p>
        </w:tc>
        <w:tc>
          <w:tcPr>
            <w:tcW w:w="180" w:type="dxa"/>
            <w:vAlign w:val="bottom"/>
          </w:tcPr>
          <w:p>
            <w:pPr>
              <w:spacing w:after="0"/>
              <w:rPr>
                <w:sz w:val="22"/>
                <w:szCs w:val="22"/>
                <w:color w:val="auto"/>
              </w:rPr>
            </w:pPr>
          </w:p>
        </w:tc>
      </w:tr>
      <w:tr>
        <w:trPr>
          <w:trHeight w:val="264"/>
        </w:trPr>
        <w:tc>
          <w:tcPr>
            <w:tcW w:w="4900" w:type="dxa"/>
            <w:vAlign w:val="bottom"/>
          </w:tcPr>
          <w:p>
            <w:pPr>
              <w:spacing w:after="0"/>
              <w:rPr>
                <w:sz w:val="20"/>
                <w:szCs w:val="20"/>
                <w:color w:val="auto"/>
              </w:rPr>
            </w:pPr>
            <w:r>
              <w:rPr>
                <w:rFonts w:ascii="Arial" w:cs="Arial" w:eastAsia="Arial" w:hAnsi="Arial"/>
                <w:sz w:val="18"/>
                <w:szCs w:val="18"/>
                <w:color w:val="auto"/>
              </w:rPr>
              <w:t>US$ thousands</w:t>
            </w: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1Q08</w:t>
            </w:r>
          </w:p>
        </w:tc>
        <w:tc>
          <w:tcPr>
            <w:tcW w:w="160" w:type="dxa"/>
            <w:vAlign w:val="bottom"/>
          </w:tcPr>
          <w:p>
            <w:pPr>
              <w:spacing w:after="0"/>
              <w:rPr>
                <w:sz w:val="22"/>
                <w:szCs w:val="22"/>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4Q07</w:t>
            </w:r>
          </w:p>
        </w:tc>
        <w:tc>
          <w:tcPr>
            <w:tcW w:w="16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1Q07</w:t>
            </w:r>
          </w:p>
        </w:tc>
        <w:tc>
          <w:tcPr>
            <w:tcW w:w="16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1Q08/1Q07</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1Q08/4Q07</w:t>
            </w:r>
          </w:p>
        </w:tc>
        <w:tc>
          <w:tcPr>
            <w:tcW w:w="180" w:type="dxa"/>
            <w:vAlign w:val="bottom"/>
          </w:tcPr>
          <w:p>
            <w:pPr>
              <w:spacing w:after="0"/>
              <w:rPr>
                <w:sz w:val="22"/>
                <w:szCs w:val="22"/>
                <w:color w:val="auto"/>
              </w:rPr>
            </w:pPr>
          </w:p>
        </w:tc>
      </w:tr>
      <w:tr>
        <w:trPr>
          <w:trHeight w:val="237"/>
        </w:trPr>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192,090</w:t>
            </w:r>
          </w:p>
        </w:tc>
        <w:tc>
          <w:tcPr>
            <w:tcW w:w="16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174,756</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138,859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38.3%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9.9%</w:t>
            </w: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Total provisions, net of recoveries</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(16,148)</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(9,926)</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(4,418)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265.5%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62.7%</w:t>
            </w:r>
          </w:p>
        </w:tc>
      </w:tr>
      <w:tr>
        <w:trPr>
          <w:trHeight w:val="243"/>
        </w:trPr>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152,048</w:t>
            </w:r>
          </w:p>
        </w:tc>
        <w:tc>
          <w:tcPr>
            <w:tcW w:w="16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122,043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111,194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24.6%</w:t>
            </w: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Insurance premiums and claims</w:t>
            </w:r>
          </w:p>
        </w:tc>
        <w:tc>
          <w:tcPr>
            <w:tcW w:w="1140" w:type="dxa"/>
            <w:vAlign w:val="bottom"/>
          </w:tcPr>
          <w:p>
            <w:pPr>
              <w:jc w:val="right"/>
              <w:spacing w:after="0"/>
              <w:rPr>
                <w:sz w:val="20"/>
                <w:szCs w:val="20"/>
                <w:color w:val="auto"/>
              </w:rPr>
            </w:pPr>
            <w:r>
              <w:rPr>
                <w:rFonts w:ascii="Arial" w:cs="Arial" w:eastAsia="Arial" w:hAnsi="Arial"/>
                <w:sz w:val="18"/>
                <w:szCs w:val="18"/>
                <w:color w:val="auto"/>
              </w:rPr>
              <w:t>12,298</w:t>
            </w: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12,222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17,363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-29.2%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r>
      <w:tr>
        <w:trPr>
          <w:trHeight w:val="243"/>
        </w:trPr>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(185,532)</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(193,327)</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(149,810)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-4.0%</w:t>
            </w:r>
          </w:p>
        </w:tc>
      </w:tr>
      <w:tr>
        <w:trPr>
          <w:trHeight w:val="243"/>
        </w:trPr>
        <w:tc>
          <w:tcPr>
            <w:tcW w:w="4900" w:type="dxa"/>
            <w:vAlign w:val="bottom"/>
          </w:tcPr>
          <w:p>
            <w:pPr>
              <w:spacing w:after="0"/>
              <w:rPr>
                <w:sz w:val="20"/>
                <w:szCs w:val="20"/>
                <w:color w:val="auto"/>
              </w:rPr>
            </w:pPr>
            <w:r>
              <w:rPr>
                <w:rFonts w:ascii="Arial" w:cs="Arial" w:eastAsia="Arial" w:hAnsi="Arial"/>
                <w:sz w:val="18"/>
                <w:szCs w:val="18"/>
                <w:b w:val="1"/>
                <w:bCs w:val="1"/>
                <w:color w:val="auto"/>
              </w:rPr>
              <w:t>Net income before working profit sharing &amp; IT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154,757</w:t>
            </w: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105,768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113,188</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36.7%</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46.3%</w:t>
            </w:r>
          </w:p>
        </w:tc>
      </w:tr>
      <w:tr>
        <w:trPr>
          <w:trHeight w:val="243"/>
        </w:trPr>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Worker's profit sharing and income taxes</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(38,726)</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(24,606)</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(27,924)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38.7%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57.4%</w:t>
            </w:r>
          </w:p>
        </w:tc>
      </w:tr>
      <w:tr>
        <w:trPr>
          <w:trHeight w:val="243"/>
        </w:trPr>
        <w:tc>
          <w:tcPr>
            <w:tcW w:w="4900" w:type="dxa"/>
            <w:vAlign w:val="bottom"/>
          </w:tcPr>
          <w:p>
            <w:pPr>
              <w:spacing w:after="0"/>
              <w:rPr>
                <w:sz w:val="20"/>
                <w:szCs w:val="20"/>
                <w:color w:val="auto"/>
              </w:rPr>
            </w:pPr>
            <w:r>
              <w:rPr>
                <w:rFonts w:ascii="Arial" w:cs="Arial" w:eastAsia="Arial" w:hAnsi="Arial"/>
                <w:sz w:val="18"/>
                <w:szCs w:val="18"/>
                <w:b w:val="1"/>
                <w:bCs w:val="1"/>
                <w:color w:val="auto"/>
              </w:rPr>
              <w:t>Net income before minority interest &amp;translation result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116,031</w:t>
            </w: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81,163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85,264</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36.1%</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43.0%</w:t>
            </w:r>
          </w:p>
        </w:tc>
      </w:tr>
      <w:tr>
        <w:trPr>
          <w:trHeight w:val="243"/>
        </w:trPr>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Minority interest</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(6,728)</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(4,590)</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(7,897)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46.6%</w:t>
            </w:r>
          </w:p>
        </w:tc>
      </w:tr>
      <w:tr>
        <w:trPr>
          <w:trHeight w:val="243"/>
        </w:trPr>
        <w:tc>
          <w:tcPr>
            <w:tcW w:w="4900" w:type="dxa"/>
            <w:vAlign w:val="bottom"/>
          </w:tcPr>
          <w:p>
            <w:pPr>
              <w:spacing w:after="0"/>
              <w:rPr>
                <w:sz w:val="20"/>
                <w:szCs w:val="20"/>
                <w:color w:val="auto"/>
              </w:rPr>
            </w:pPr>
            <w:r>
              <w:rPr>
                <w:rFonts w:ascii="Arial" w:cs="Arial" w:eastAsia="Arial" w:hAnsi="Arial"/>
                <w:sz w:val="18"/>
                <w:szCs w:val="18"/>
                <w:b w:val="1"/>
                <w:bCs w:val="1"/>
                <w:color w:val="auto"/>
              </w:rPr>
              <w:t>Net income before translation result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109,303</w:t>
            </w: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76,573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77,368</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41.3%</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42.7%</w:t>
            </w:r>
          </w:p>
        </w:tc>
      </w:tr>
      <w:tr>
        <w:trPr>
          <w:trHeight w:val="243"/>
        </w:trPr>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68,695</w:t>
            </w:r>
          </w:p>
        </w:tc>
        <w:tc>
          <w:tcPr>
            <w:tcW w:w="16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17,442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1,645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4075.4%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293.8%</w:t>
            </w:r>
          </w:p>
        </w:tc>
      </w:tr>
      <w:tr>
        <w:trPr>
          <w:trHeight w:val="243"/>
        </w:trPr>
        <w:tc>
          <w:tcPr>
            <w:tcW w:w="4900" w:type="dxa"/>
            <w:vAlign w:val="bottom"/>
          </w:tcPr>
          <w:p>
            <w:pPr>
              <w:spacing w:after="0"/>
              <w:rPr>
                <w:sz w:val="20"/>
                <w:szCs w:val="20"/>
                <w:color w:val="auto"/>
              </w:rPr>
            </w:pPr>
            <w:r>
              <w:rPr>
                <w:rFonts w:ascii="Arial" w:cs="Arial" w:eastAsia="Arial" w:hAnsi="Arial"/>
                <w:sz w:val="18"/>
                <w:szCs w:val="18"/>
                <w:b w:val="1"/>
                <w:bCs w:val="1"/>
                <w:color w:val="auto"/>
              </w:rPr>
              <w:t>Net income attributed to Credicorp</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177,998</w:t>
            </w: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94,016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79,013</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125.3%</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89.3%</w:t>
            </w:r>
          </w:p>
        </w:tc>
      </w:tr>
      <w:tr>
        <w:trPr>
          <w:trHeight w:val="250"/>
        </w:trPr>
        <w:tc>
          <w:tcPr>
            <w:tcW w:w="49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income/share (US$)</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1.18</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0.99</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125.3%</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89.3%</w:t>
            </w:r>
          </w:p>
        </w:tc>
      </w:tr>
      <w:tr>
        <w:trPr>
          <w:trHeight w:val="20"/>
        </w:trPr>
        <w:tc>
          <w:tcPr>
            <w:tcW w:w="49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37"/>
        </w:trPr>
        <w:tc>
          <w:tcPr>
            <w:tcW w:w="4900" w:type="dxa"/>
            <w:vAlign w:val="bottom"/>
          </w:tcPr>
          <w:p>
            <w:pPr>
              <w:spacing w:after="0"/>
              <w:rPr>
                <w:sz w:val="20"/>
                <w:szCs w:val="20"/>
                <w:color w:val="auto"/>
              </w:rPr>
            </w:pPr>
            <w:r>
              <w:rPr>
                <w:rFonts w:ascii="Arial" w:cs="Arial" w:eastAsia="Arial" w:hAnsi="Arial"/>
                <w:sz w:val="18"/>
                <w:szCs w:val="18"/>
                <w:b w:val="1"/>
                <w:bCs w:val="1"/>
                <w:color w:val="auto"/>
              </w:rPr>
              <w:t>Total loans</w:t>
            </w:r>
          </w:p>
        </w:tc>
        <w:tc>
          <w:tcPr>
            <w:tcW w:w="1140" w:type="dxa"/>
            <w:vAlign w:val="bottom"/>
          </w:tcPr>
          <w:p>
            <w:pPr>
              <w:jc w:val="right"/>
              <w:spacing w:after="0"/>
              <w:rPr>
                <w:sz w:val="20"/>
                <w:szCs w:val="20"/>
                <w:color w:val="auto"/>
              </w:rPr>
            </w:pPr>
            <w:r>
              <w:rPr>
                <w:rFonts w:ascii="Arial" w:cs="Arial" w:eastAsia="Arial" w:hAnsi="Arial"/>
                <w:sz w:val="18"/>
                <w:szCs w:val="18"/>
                <w:color w:val="auto"/>
              </w:rPr>
              <w:t>8,919,841</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8,250,819</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6,239,870</w:t>
            </w:r>
          </w:p>
        </w:tc>
        <w:tc>
          <w:tcPr>
            <w:tcW w:w="1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42.9%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r>
      <w:tr>
        <w:trPr>
          <w:trHeight w:val="243"/>
        </w:trPr>
        <w:tc>
          <w:tcPr>
            <w:tcW w:w="4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Deposits and Obligations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12,929,288</w:t>
            </w:r>
          </w:p>
        </w:tc>
        <w:tc>
          <w:tcPr>
            <w:tcW w:w="16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11,401,275</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9,336,519</w:t>
            </w: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38.5%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13.4%</w:t>
            </w:r>
          </w:p>
        </w:tc>
      </w:tr>
      <w:tr>
        <w:trPr>
          <w:trHeight w:val="270"/>
        </w:trPr>
        <w:tc>
          <w:tcPr>
            <w:tcW w:w="4900" w:type="dxa"/>
            <w:vAlign w:val="bottom"/>
          </w:tcPr>
          <w:p>
            <w:pPr>
              <w:spacing w:after="0"/>
              <w:rPr>
                <w:sz w:val="20"/>
                <w:szCs w:val="20"/>
                <w:color w:val="auto"/>
              </w:rPr>
            </w:pPr>
            <w:r>
              <w:rPr>
                <w:rFonts w:ascii="Arial" w:cs="Arial" w:eastAsia="Arial" w:hAnsi="Arial"/>
                <w:sz w:val="18"/>
                <w:szCs w:val="18"/>
                <w:b w:val="1"/>
                <w:bCs w:val="1"/>
                <w:color w:val="auto"/>
              </w:rPr>
              <w:t>Net Shareholders' Equity</w:t>
            </w:r>
          </w:p>
        </w:tc>
        <w:tc>
          <w:tcPr>
            <w:tcW w:w="1140" w:type="dxa"/>
            <w:vAlign w:val="bottom"/>
          </w:tcPr>
          <w:p>
            <w:pPr>
              <w:jc w:val="right"/>
              <w:spacing w:after="0"/>
              <w:rPr>
                <w:sz w:val="20"/>
                <w:szCs w:val="20"/>
                <w:color w:val="auto"/>
              </w:rPr>
            </w:pPr>
            <w:r>
              <w:rPr>
                <w:rFonts w:ascii="Arial" w:cs="Arial" w:eastAsia="Arial" w:hAnsi="Arial"/>
                <w:sz w:val="18"/>
                <w:szCs w:val="18"/>
                <w:color w:val="auto"/>
              </w:rPr>
              <w:t>1,850,680</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1,676,009</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1,420,716</w:t>
            </w:r>
          </w:p>
        </w:tc>
        <w:tc>
          <w:tcPr>
            <w:tcW w:w="160" w:type="dxa"/>
            <w:vAlign w:val="bottom"/>
          </w:tcPr>
          <w:p>
            <w:pPr>
              <w:spacing w:after="0"/>
              <w:rPr>
                <w:sz w:val="23"/>
                <w:szCs w:val="23"/>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30.3%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r>
      <w:tr>
        <w:trPr>
          <w:trHeight w:val="20"/>
        </w:trPr>
        <w:tc>
          <w:tcPr>
            <w:tcW w:w="49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Net interest margin</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5.1%</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5.2%</w:t>
            </w:r>
          </w:p>
        </w:tc>
        <w:tc>
          <w:tcPr>
            <w:tcW w:w="1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Efficiency ratio</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40.2%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46.2%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42.5%</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Return on average shareholders' equity</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40.4%</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22.9%</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23.5%</w:t>
            </w: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PDL/Total loans</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Coverage ratio of PDLs</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310.0%</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343.7%</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251.4%</w:t>
            </w: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Employees</w:t>
            </w:r>
          </w:p>
        </w:tc>
        <w:tc>
          <w:tcPr>
            <w:tcW w:w="1140" w:type="dxa"/>
            <w:vAlign w:val="bottom"/>
          </w:tcPr>
          <w:p>
            <w:pPr>
              <w:jc w:val="right"/>
              <w:spacing w:after="0"/>
              <w:rPr>
                <w:sz w:val="20"/>
                <w:szCs w:val="20"/>
                <w:color w:val="auto"/>
              </w:rPr>
            </w:pPr>
            <w:r>
              <w:rPr>
                <w:rFonts w:ascii="Arial" w:cs="Arial" w:eastAsia="Arial" w:hAnsi="Arial"/>
                <w:sz w:val="18"/>
                <w:szCs w:val="18"/>
                <w:color w:val="auto"/>
              </w:rPr>
              <w:t>17,348</w:t>
            </w:r>
          </w:p>
        </w:tc>
        <w:tc>
          <w:tcPr>
            <w:tcW w:w="160" w:type="dxa"/>
            <w:vAlign w:val="bottom"/>
          </w:tcPr>
          <w:p>
            <w:pPr>
              <w:spacing w:after="0"/>
              <w:rPr>
                <w:sz w:val="23"/>
                <w:szCs w:val="2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16,160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14,757</w:t>
            </w: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0"/>
        </w:trPr>
        <w:tc>
          <w:tcPr>
            <w:tcW w:w="49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NII followed this robust loan growth and reached 9.9% QoQ despite the persistent competition and pressure on rates.</w:t>
      </w: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interest margin however, drops slightly from 5.2% to 5.1% and reflects herewith (1) a continued stronger growth of our corporate -thus tighter in margins-dollar loan portfolio on the back of strong investment activity, (2) higher funding costs after the BCR’s intervention to control inflation and currency volatility, and (3) a significantly increased investment portfolio of BCR CD’s which became very attractive given their tax advantages, but contributed only tighter nominal margins to this calculation. These developments had an impact not only on our loan book mix, but on our interest earning assets mix, which have developed differently than projected but according to the market opportunities, leading to the extraordinary earnings results reported.</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 Financial income reported 24.6% QoQ growth. However, this number includes the above mentioned significant gain in the sale of Credicorp’s VISA shares (within the Visa IPO) of about US$ 18 million before tax. Nevertheless, a strong fee income growth of 12.4% QoQ reveals further increases in bank transactional activity and fee expansion at the pension fund business.</w:t>
      </w:r>
    </w:p>
    <w:p>
      <w:pPr>
        <w:spacing w:after="0" w:line="23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Though the insurance business reports a good quarterly net premiums growth of 9%, claims in the property and casualty sector remain high this quarter due to the “El Niño” weather phenomenon, which though mild, is however affecting the northern areas of the country with torrential rains. Thus, operating income remained flat and was mainly generated by the more profitable life and health insurance businesses. Furthermore, a timely financial management of its currency positions also contributed some additional currency translation gains helping the overall bottom line and contribution to Credicorp.</w:t>
      </w:r>
    </w:p>
    <w:p>
      <w:pPr>
        <w:spacing w:after="0" w:line="2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the cost side, total operating costs were down by 4% QoQ resulting in an improved efficiency ratio of 40.2% vs. 46.2% the previous quarter, contrary to expectations. Such development is a reflection of the seasonality in costs, since in 4Q07 these had a significant year-end related increase and thus set a high comparison base for this quarter. Furthermore, projected expense levels for this quarter were not reached due to an expansion process which is not as linear as were projections; and despite the negative (inflating) effect of Soles denominated costs in our US Dollar accounting following the significant revaluation of the Sol. Thus, the YoY growth of 23.8% appears moderate in light of the expansion being experienced by the loan book and income sides of the equation. Having said this, we would like to point out that the expansion plans do continue full speed ahead and are a core part of Credicorp’s business strategy.</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4" w:name="page5"/>
    <w:bookmarkEnd w:id="4"/>
    <w:p>
      <w:pPr>
        <w:jc w:val="both"/>
        <w:spacing w:after="0" w:line="257" w:lineRule="auto"/>
        <w:rPr>
          <w:sz w:val="20"/>
          <w:szCs w:val="20"/>
          <w:color w:val="auto"/>
        </w:rPr>
      </w:pPr>
      <w:r>
        <w:rPr>
          <w:rFonts w:ascii="Arial" w:cs="Arial" w:eastAsia="Arial" w:hAnsi="Arial"/>
          <w:sz w:val="18"/>
          <w:szCs w:val="18"/>
          <w:color w:val="auto"/>
        </w:rPr>
        <w:t>Another positive development is the continuing strength of portfolio quality, which remains healthy with a PDL/Loans ratio of only 0.8% this 1Q08. Total provisions net of recoveries of US$ 16.1 million (up 62.7%) however, reveal an increase in provisions at BCP in line with loan growth and with a more conservative provisioning policy for our retail portfolio, increasing the internal minimum provisioning requirements in line with a more sophisticated risk assessment methodology. This decision was taken based on a conservative prudent approach and does not follow any deterioration of portfolio quality indicators, which to date remain very healthy.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These developments resulted in improved ratios for the quarter, with ROAE climbing to 40.4% from 22.9% the previous quarter.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Credicorp - the Sum of its Parts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Going through a period of significant volatility can impact results in many different ways. Therefore, we are very pleased to have managed the strong currency volatility of the 1Q08 in favor of Credicorp’s results. It took a series of timely financial decisions regarding our currency positions and investments in the different subsidiaries that led to the strong financial gains related to the currency translation. However, these are the result of the high currency and interest rates volatility and can quickly change according to market conditions.</w:t>
      </w: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fact, BCP reported extraordinarily high income contribution this 1Q08 of US$ 161.4 million, which included an approximate US$ 57 million translation gain, though revealing at the same time significant core business expansion even excluding such translation income and other one-off contributions, confirming this way its expanding earnings generation capacity.</w:t>
      </w:r>
    </w:p>
    <w:p>
      <w:pPr>
        <w:spacing w:after="0"/>
        <w:rPr>
          <w:sz w:val="20"/>
          <w:szCs w:val="20"/>
          <w:color w:val="auto"/>
        </w:rPr>
      </w:pPr>
      <w:r>
        <w:rPr>
          <w:rFonts w:ascii="Arial" w:cs="Arial" w:eastAsia="Arial" w:hAnsi="Arial"/>
          <w:sz w:val="18"/>
          <w:szCs w:val="18"/>
          <w:color w:val="auto"/>
        </w:rPr>
        <w:t>Such income reflected an obviously one time high 57% ROAE for the quarter.</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ind w:left="1100"/>
              <w:spacing w:after="0"/>
              <w:rPr>
                <w:sz w:val="20"/>
                <w:szCs w:val="20"/>
                <w:color w:val="auto"/>
              </w:rPr>
            </w:pPr>
            <w:r>
              <w:rPr>
                <w:rFonts w:ascii="Arial" w:cs="Arial" w:eastAsia="Arial" w:hAnsi="Arial"/>
                <w:sz w:val="14"/>
                <w:szCs w:val="14"/>
                <w:color w:val="auto"/>
              </w:rPr>
              <w:t>(US$ Thousands)</w:t>
            </w: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1Q08</w:t>
            </w:r>
          </w:p>
        </w:tc>
        <w:tc>
          <w:tcPr>
            <w:tcW w:w="240" w:type="dxa"/>
            <w:vAlign w:val="bottom"/>
          </w:tcPr>
          <w:p>
            <w:pPr>
              <w:spacing w:after="0"/>
              <w:rPr>
                <w:sz w:val="14"/>
                <w:szCs w:val="14"/>
                <w:color w:val="auto"/>
              </w:rPr>
            </w:pPr>
          </w:p>
        </w:tc>
        <w:tc>
          <w:tcPr>
            <w:tcW w:w="8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4Q07</w:t>
            </w:r>
          </w:p>
        </w:tc>
        <w:tc>
          <w:tcPr>
            <w:tcW w:w="240" w:type="dxa"/>
            <w:vAlign w:val="bottom"/>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1Q07</w:t>
            </w:r>
          </w:p>
        </w:tc>
        <w:tc>
          <w:tcPr>
            <w:tcW w:w="240" w:type="dxa"/>
            <w:vAlign w:val="bottom"/>
          </w:tcPr>
          <w:p>
            <w:pPr>
              <w:spacing w:after="0"/>
              <w:rPr>
                <w:sz w:val="14"/>
                <w:szCs w:val="14"/>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1Q08/1Q07</w:t>
            </w:r>
          </w:p>
        </w:tc>
        <w:tc>
          <w:tcPr>
            <w:tcW w:w="220" w:type="dxa"/>
            <w:vAlign w:val="bottom"/>
          </w:tcPr>
          <w:p>
            <w:pPr>
              <w:spacing w:after="0"/>
              <w:rPr>
                <w:sz w:val="14"/>
                <w:szCs w:val="14"/>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9"/>
              </w:rPr>
              <w:t>1Q08/4Q07</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1Q08</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1Q07</w:t>
            </w:r>
          </w:p>
        </w:tc>
        <w:tc>
          <w:tcPr>
            <w:tcW w:w="200" w:type="dxa"/>
            <w:vAlign w:val="bottom"/>
          </w:tcPr>
          <w:p>
            <w:pPr>
              <w:spacing w:after="0"/>
              <w:rPr>
                <w:sz w:val="14"/>
                <w:szCs w:val="14"/>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9"/>
              </w:rPr>
              <w:t>1Q08/1Q07</w:t>
            </w:r>
          </w:p>
        </w:tc>
        <w:tc>
          <w:tcPr>
            <w:tcW w:w="140" w:type="dxa"/>
            <w:vAlign w:val="bottom"/>
          </w:tcPr>
          <w:p>
            <w:pPr>
              <w:spacing w:after="0"/>
              <w:rPr>
                <w:sz w:val="14"/>
                <w:szCs w:val="14"/>
                <w:color w:val="auto"/>
              </w:rPr>
            </w:pPr>
          </w:p>
        </w:tc>
      </w:tr>
      <w:tr>
        <w:trPr>
          <w:trHeight w:val="237"/>
        </w:trPr>
        <w:tc>
          <w:tcPr>
            <w:tcW w:w="3340" w:type="dxa"/>
            <w:vAlign w:val="bottom"/>
            <w:shd w:val="clear" w:color="auto" w:fill="CCFFCC"/>
          </w:tcPr>
          <w:p>
            <w:pPr>
              <w:spacing w:after="0"/>
              <w:rPr>
                <w:sz w:val="20"/>
                <w:szCs w:val="20"/>
                <w:color w:val="auto"/>
              </w:rPr>
            </w:pPr>
            <w:r>
              <w:rPr>
                <w:rFonts w:ascii="Arial" w:cs="Arial" w:eastAsia="Arial" w:hAnsi="Arial"/>
                <w:sz w:val="14"/>
                <w:szCs w:val="14"/>
                <w:color w:val="auto"/>
              </w:rPr>
              <w:t>Banco de Crédito BCP(1)</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161,353</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83,869</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70,649</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128%</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92%</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161,353</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70,649</w:t>
            </w: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128%</w:t>
            </w:r>
          </w:p>
        </w:tc>
      </w:tr>
      <w:tr>
        <w:trPr>
          <w:trHeight w:val="243"/>
        </w:trPr>
        <w:tc>
          <w:tcPr>
            <w:tcW w:w="3340" w:type="dxa"/>
            <w:vAlign w:val="bottom"/>
          </w:tcPr>
          <w:p>
            <w:pPr>
              <w:ind w:left="180"/>
              <w:spacing w:after="0"/>
              <w:rPr>
                <w:sz w:val="20"/>
                <w:szCs w:val="20"/>
                <w:color w:val="auto"/>
              </w:rPr>
            </w:pPr>
            <w:r>
              <w:rPr>
                <w:rFonts w:ascii="Arial" w:cs="Arial" w:eastAsia="Arial" w:hAnsi="Arial"/>
                <w:sz w:val="14"/>
                <w:szCs w:val="14"/>
                <w:color w:val="auto"/>
              </w:rPr>
              <w:t>BCB</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10,476</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10,065</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4,804</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118%</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4%</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10,476</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4,804</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118%</w:t>
            </w:r>
          </w:p>
        </w:tc>
      </w:tr>
      <w:tr>
        <w:trPr>
          <w:trHeight w:val="243"/>
        </w:trPr>
        <w:tc>
          <w:tcPr>
            <w:tcW w:w="3340" w:type="dxa"/>
            <w:vAlign w:val="bottom"/>
            <w:shd w:val="clear" w:color="auto" w:fill="CCFFCC"/>
          </w:tcPr>
          <w:p>
            <w:pPr>
              <w:spacing w:after="0"/>
              <w:rPr>
                <w:sz w:val="20"/>
                <w:szCs w:val="20"/>
                <w:color w:val="auto"/>
              </w:rPr>
            </w:pPr>
            <w:r>
              <w:rPr>
                <w:rFonts w:ascii="Arial" w:cs="Arial" w:eastAsia="Arial" w:hAnsi="Arial"/>
                <w:sz w:val="14"/>
                <w:szCs w:val="14"/>
                <w:color w:val="auto"/>
              </w:rPr>
              <w:t>Atlantic</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5,673</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4,988</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4,969</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14%</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14%</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5,673</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4,969</w:t>
            </w: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14%</w:t>
            </w:r>
          </w:p>
        </w:tc>
      </w:tr>
      <w:tr>
        <w:trPr>
          <w:trHeight w:val="243"/>
        </w:trPr>
        <w:tc>
          <w:tcPr>
            <w:tcW w:w="3340" w:type="dxa"/>
            <w:vAlign w:val="bottom"/>
          </w:tcPr>
          <w:p>
            <w:pPr>
              <w:spacing w:after="0"/>
              <w:rPr>
                <w:sz w:val="20"/>
                <w:szCs w:val="20"/>
                <w:color w:val="auto"/>
              </w:rPr>
            </w:pPr>
            <w:r>
              <w:rPr>
                <w:rFonts w:ascii="Arial" w:cs="Arial" w:eastAsia="Arial" w:hAnsi="Arial"/>
                <w:sz w:val="14"/>
                <w:szCs w:val="14"/>
                <w:color w:val="auto"/>
              </w:rPr>
              <w:t>PPS</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2,342</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645</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6,616</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-65%</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263%</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2,342</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6,616</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-65%</w:t>
            </w:r>
          </w:p>
        </w:tc>
      </w:tr>
      <w:tr>
        <w:trPr>
          <w:trHeight w:val="243"/>
        </w:trPr>
        <w:tc>
          <w:tcPr>
            <w:tcW w:w="3340" w:type="dxa"/>
            <w:vAlign w:val="bottom"/>
            <w:shd w:val="clear" w:color="auto" w:fill="CCFFCC"/>
          </w:tcPr>
          <w:p>
            <w:pPr>
              <w:spacing w:after="0"/>
              <w:rPr>
                <w:sz w:val="20"/>
                <w:szCs w:val="20"/>
                <w:color w:val="auto"/>
              </w:rPr>
            </w:pPr>
            <w:r>
              <w:rPr>
                <w:rFonts w:ascii="Arial" w:cs="Arial" w:eastAsia="Arial" w:hAnsi="Arial"/>
                <w:sz w:val="14"/>
                <w:szCs w:val="14"/>
                <w:color w:val="auto"/>
              </w:rPr>
              <w:t>Grupo Crédito (2)</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9,807</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3,242</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1,202</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716%</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202%</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9,807</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1,202</w:t>
            </w: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716%</w:t>
            </w:r>
          </w:p>
        </w:tc>
      </w:tr>
      <w:tr>
        <w:trPr>
          <w:trHeight w:val="243"/>
        </w:trPr>
        <w:tc>
          <w:tcPr>
            <w:tcW w:w="3340" w:type="dxa"/>
            <w:vAlign w:val="bottom"/>
          </w:tcPr>
          <w:p>
            <w:pPr>
              <w:ind w:left="180"/>
              <w:spacing w:after="0"/>
              <w:rPr>
                <w:sz w:val="20"/>
                <w:szCs w:val="20"/>
                <w:color w:val="auto"/>
              </w:rPr>
            </w:pPr>
            <w:r>
              <w:rPr>
                <w:rFonts w:ascii="Arial" w:cs="Arial" w:eastAsia="Arial" w:hAnsi="Arial"/>
                <w:sz w:val="14"/>
                <w:szCs w:val="14"/>
                <w:color w:val="auto"/>
              </w:rPr>
              <w:t>Prima</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9,015</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2,307</w:t>
            </w:r>
          </w:p>
        </w:tc>
        <w:tc>
          <w:tcPr>
            <w:tcW w:w="800" w:type="dxa"/>
            <w:vAlign w:val="bottom"/>
          </w:tcPr>
          <w:p>
            <w:pPr>
              <w:jc w:val="right"/>
              <w:spacing w:after="0"/>
              <w:rPr>
                <w:sz w:val="20"/>
                <w:szCs w:val="20"/>
                <w:color w:val="auto"/>
              </w:rPr>
            </w:pPr>
            <w:r>
              <w:rPr>
                <w:rFonts w:ascii="Arial" w:cs="Arial" w:eastAsia="Arial" w:hAnsi="Arial"/>
                <w:sz w:val="14"/>
                <w:szCs w:val="14"/>
                <w:color w:val="auto"/>
              </w:rPr>
              <w:t>178</w:t>
            </w:r>
          </w:p>
        </w:tc>
        <w:tc>
          <w:tcPr>
            <w:tcW w:w="2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4972%</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291%</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9,015</w:t>
            </w:r>
          </w:p>
        </w:tc>
        <w:tc>
          <w:tcPr>
            <w:tcW w:w="800" w:type="dxa"/>
            <w:vAlign w:val="bottom"/>
          </w:tcPr>
          <w:p>
            <w:pPr>
              <w:jc w:val="right"/>
              <w:spacing w:after="0"/>
              <w:rPr>
                <w:sz w:val="20"/>
                <w:szCs w:val="20"/>
                <w:color w:val="auto"/>
              </w:rPr>
            </w:pPr>
            <w:r>
              <w:rPr>
                <w:rFonts w:ascii="Arial" w:cs="Arial" w:eastAsia="Arial" w:hAnsi="Arial"/>
                <w:sz w:val="14"/>
                <w:szCs w:val="14"/>
                <w:color w:val="auto"/>
              </w:rPr>
              <w:t>178</w:t>
            </w:r>
          </w:p>
        </w:tc>
        <w:tc>
          <w:tcPr>
            <w:tcW w:w="20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4972%</w:t>
            </w:r>
          </w:p>
        </w:tc>
      </w:tr>
      <w:tr>
        <w:trPr>
          <w:trHeight w:val="243"/>
        </w:trPr>
        <w:tc>
          <w:tcPr>
            <w:tcW w:w="3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Others</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792</w:t>
            </w:r>
          </w:p>
        </w:tc>
        <w:tc>
          <w:tcPr>
            <w:tcW w:w="24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935</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1,024</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-23%</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-15%</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792</w:t>
            </w:r>
          </w:p>
        </w:tc>
        <w:tc>
          <w:tcPr>
            <w:tcW w:w="20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1,024</w:t>
            </w: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-23%</w:t>
            </w:r>
          </w:p>
        </w:tc>
      </w:tr>
      <w:tr>
        <w:trPr>
          <w:trHeight w:val="243"/>
        </w:trPr>
        <w:tc>
          <w:tcPr>
            <w:tcW w:w="3340" w:type="dxa"/>
            <w:vAlign w:val="bottom"/>
          </w:tcPr>
          <w:p>
            <w:pPr>
              <w:spacing w:after="0"/>
              <w:rPr>
                <w:sz w:val="20"/>
                <w:szCs w:val="20"/>
                <w:color w:val="auto"/>
              </w:rPr>
            </w:pPr>
            <w:r>
              <w:rPr>
                <w:rFonts w:ascii="Arial" w:cs="Arial" w:eastAsia="Arial" w:hAnsi="Arial"/>
                <w:sz w:val="14"/>
                <w:szCs w:val="14"/>
                <w:color w:val="auto"/>
              </w:rPr>
              <w:t>Credicorp and Others (3)</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(1,178)</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1,272</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(4,422)</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-73%</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-193%</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(1,178)</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(4,422)</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-73%</w:t>
            </w:r>
          </w:p>
        </w:tc>
      </w:tr>
      <w:tr>
        <w:trPr>
          <w:trHeight w:val="243"/>
        </w:trPr>
        <w:tc>
          <w:tcPr>
            <w:tcW w:w="3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Credicorp Ltd.</w:t>
            </w:r>
          </w:p>
        </w:tc>
        <w:tc>
          <w:tcPr>
            <w:tcW w:w="10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(1,724)</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787</w:t>
            </w:r>
          </w:p>
        </w:tc>
        <w:tc>
          <w:tcPr>
            <w:tcW w:w="10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(4,678)</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-63%</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-319%</w:t>
            </w: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(1,724)</w:t>
            </w: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(4,678)</w:t>
            </w: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-63%</w:t>
            </w:r>
          </w:p>
        </w:tc>
      </w:tr>
      <w:tr>
        <w:trPr>
          <w:trHeight w:val="243"/>
        </w:trPr>
        <w:tc>
          <w:tcPr>
            <w:tcW w:w="3340" w:type="dxa"/>
            <w:vAlign w:val="bottom"/>
          </w:tcPr>
          <w:p>
            <w:pPr>
              <w:ind w:left="180"/>
              <w:spacing w:after="0"/>
              <w:rPr>
                <w:sz w:val="20"/>
                <w:szCs w:val="20"/>
                <w:color w:val="auto"/>
              </w:rPr>
            </w:pPr>
            <w:r>
              <w:rPr>
                <w:rFonts w:ascii="Arial" w:cs="Arial" w:eastAsia="Arial" w:hAnsi="Arial"/>
                <w:sz w:val="14"/>
                <w:szCs w:val="14"/>
                <w:color w:val="auto"/>
              </w:rPr>
              <w:t>Otras</w:t>
            </w:r>
          </w:p>
        </w:tc>
        <w:tc>
          <w:tcPr>
            <w:tcW w:w="800" w:type="dxa"/>
            <w:vAlign w:val="bottom"/>
          </w:tcPr>
          <w:p>
            <w:pPr>
              <w:jc w:val="right"/>
              <w:spacing w:after="0"/>
              <w:rPr>
                <w:sz w:val="20"/>
                <w:szCs w:val="20"/>
                <w:color w:val="auto"/>
              </w:rPr>
            </w:pPr>
            <w:r>
              <w:rPr>
                <w:rFonts w:ascii="Arial" w:cs="Arial" w:eastAsia="Arial" w:hAnsi="Arial"/>
                <w:sz w:val="14"/>
                <w:szCs w:val="14"/>
                <w:color w:val="auto"/>
              </w:rPr>
              <w:t>546</w:t>
            </w:r>
          </w:p>
        </w:tc>
        <w:tc>
          <w:tcPr>
            <w:tcW w:w="2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485</w:t>
            </w:r>
          </w:p>
        </w:tc>
        <w:tc>
          <w:tcPr>
            <w:tcW w:w="800" w:type="dxa"/>
            <w:vAlign w:val="bottom"/>
          </w:tcPr>
          <w:p>
            <w:pPr>
              <w:jc w:val="right"/>
              <w:spacing w:after="0"/>
              <w:rPr>
                <w:sz w:val="20"/>
                <w:szCs w:val="20"/>
                <w:color w:val="auto"/>
              </w:rPr>
            </w:pPr>
            <w:r>
              <w:rPr>
                <w:rFonts w:ascii="Arial" w:cs="Arial" w:eastAsia="Arial" w:hAnsi="Arial"/>
                <w:sz w:val="14"/>
                <w:szCs w:val="14"/>
                <w:color w:val="auto"/>
              </w:rPr>
              <w:t>256</w:t>
            </w: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1.13</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13%</w:t>
            </w:r>
          </w:p>
        </w:tc>
        <w:tc>
          <w:tcPr>
            <w:tcW w:w="800" w:type="dxa"/>
            <w:vAlign w:val="bottom"/>
          </w:tcPr>
          <w:p>
            <w:pPr>
              <w:jc w:val="right"/>
              <w:spacing w:after="0"/>
              <w:rPr>
                <w:sz w:val="20"/>
                <w:szCs w:val="20"/>
                <w:color w:val="auto"/>
              </w:rPr>
            </w:pPr>
            <w:r>
              <w:rPr>
                <w:rFonts w:ascii="Arial" w:cs="Arial" w:eastAsia="Arial" w:hAnsi="Arial"/>
                <w:sz w:val="14"/>
                <w:szCs w:val="14"/>
                <w:color w:val="auto"/>
              </w:rPr>
              <w:t>546</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256</w:t>
            </w:r>
          </w:p>
        </w:tc>
        <w:tc>
          <w:tcPr>
            <w:tcW w:w="20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113%</w:t>
            </w:r>
          </w:p>
        </w:tc>
      </w:tr>
      <w:tr>
        <w:trPr>
          <w:trHeight w:val="270"/>
        </w:trPr>
        <w:tc>
          <w:tcPr>
            <w:tcW w:w="334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Net income attributable to Credicorp</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b w:val="1"/>
                <w:bCs w:val="1"/>
                <w:color w:val="auto"/>
              </w:rPr>
              <w:t>177,998</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b w:val="1"/>
                <w:bCs w:val="1"/>
                <w:color w:val="auto"/>
              </w:rPr>
              <w:t>94,016</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b w:val="1"/>
                <w:bCs w:val="1"/>
                <w:color w:val="auto"/>
              </w:rPr>
              <w:t>79,013</w:t>
            </w:r>
          </w:p>
        </w:tc>
        <w:tc>
          <w:tcPr>
            <w:tcW w:w="1020" w:type="dxa"/>
            <w:vAlign w:val="bottom"/>
            <w:gridSpan w:val="2"/>
            <w:shd w:val="clear" w:color="auto" w:fill="CCFFCC"/>
          </w:tcPr>
          <w:p>
            <w:pPr>
              <w:jc w:val="right"/>
              <w:ind w:right="80"/>
              <w:spacing w:after="0" w:line="270" w:lineRule="exact"/>
              <w:rPr>
                <w:sz w:val="20"/>
                <w:szCs w:val="20"/>
                <w:color w:val="auto"/>
              </w:rPr>
            </w:pPr>
            <w:r>
              <w:rPr>
                <w:rFonts w:ascii="Arial" w:cs="Arial" w:eastAsia="Arial" w:hAnsi="Arial"/>
                <w:sz w:val="14"/>
                <w:szCs w:val="14"/>
                <w:b w:val="1"/>
                <w:bCs w:val="1"/>
                <w:color w:val="auto"/>
              </w:rPr>
              <w:t>125</w:t>
            </w:r>
            <w:r>
              <w:rPr>
                <w:rFonts w:ascii="Arial" w:cs="Arial" w:eastAsia="Arial" w:hAnsi="Arial"/>
                <w:sz w:val="28"/>
                <w:szCs w:val="28"/>
                <w:b w:val="1"/>
                <w:bCs w:val="1"/>
                <w:color w:val="auto"/>
                <w:vertAlign w:val="superscript"/>
              </w:rPr>
              <w:t>%</w:t>
            </w:r>
          </w:p>
        </w:tc>
        <w:tc>
          <w:tcPr>
            <w:tcW w:w="1000" w:type="dxa"/>
            <w:vAlign w:val="bottom"/>
            <w:gridSpan w:val="2"/>
            <w:shd w:val="clear" w:color="auto" w:fill="CCFFCC"/>
          </w:tcPr>
          <w:p>
            <w:pPr>
              <w:jc w:val="right"/>
              <w:ind w:right="60"/>
              <w:spacing w:after="0" w:line="270" w:lineRule="exact"/>
              <w:rPr>
                <w:sz w:val="20"/>
                <w:szCs w:val="20"/>
                <w:color w:val="auto"/>
              </w:rPr>
            </w:pPr>
            <w:r>
              <w:rPr>
                <w:rFonts w:ascii="Arial" w:cs="Arial" w:eastAsia="Arial" w:hAnsi="Arial"/>
                <w:sz w:val="14"/>
                <w:szCs w:val="14"/>
                <w:b w:val="1"/>
                <w:bCs w:val="1"/>
                <w:color w:val="auto"/>
              </w:rPr>
              <w:t>89</w:t>
            </w:r>
            <w:r>
              <w:rPr>
                <w:rFonts w:ascii="Arial" w:cs="Arial" w:eastAsia="Arial" w:hAnsi="Arial"/>
                <w:sz w:val="28"/>
                <w:szCs w:val="28"/>
                <w:b w:val="1"/>
                <w:bCs w:val="1"/>
                <w:color w:val="auto"/>
                <w:vertAlign w:val="superscript"/>
              </w:rPr>
              <w:t>%</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b w:val="1"/>
                <w:bCs w:val="1"/>
                <w:color w:val="auto"/>
              </w:rPr>
              <w:t>177,998</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b w:val="1"/>
                <w:bCs w:val="1"/>
                <w:color w:val="auto"/>
              </w:rPr>
              <w:t>79,013</w:t>
            </w:r>
          </w:p>
        </w:tc>
        <w:tc>
          <w:tcPr>
            <w:tcW w:w="940" w:type="dxa"/>
            <w:vAlign w:val="bottom"/>
            <w:gridSpan w:val="2"/>
            <w:shd w:val="clear" w:color="auto" w:fill="CCFFCC"/>
          </w:tcPr>
          <w:p>
            <w:pPr>
              <w:jc w:val="right"/>
              <w:spacing w:after="0" w:line="270" w:lineRule="exact"/>
              <w:rPr>
                <w:sz w:val="20"/>
                <w:szCs w:val="20"/>
                <w:color w:val="auto"/>
              </w:rPr>
            </w:pPr>
            <w:r>
              <w:rPr>
                <w:rFonts w:ascii="Arial" w:cs="Arial" w:eastAsia="Arial" w:hAnsi="Arial"/>
                <w:sz w:val="14"/>
                <w:szCs w:val="14"/>
                <w:b w:val="1"/>
                <w:bCs w:val="1"/>
                <w:color w:val="auto"/>
              </w:rPr>
              <w:t>125</w:t>
            </w:r>
            <w:r>
              <w:rPr>
                <w:rFonts w:ascii="Arial" w:cs="Arial" w:eastAsia="Arial" w:hAnsi="Arial"/>
                <w:sz w:val="28"/>
                <w:szCs w:val="28"/>
                <w:b w:val="1"/>
                <w:bCs w:val="1"/>
                <w:color w:val="auto"/>
                <w:vertAlign w:val="superscript"/>
              </w:rPr>
              <w:t>%</w:t>
            </w:r>
          </w:p>
        </w:tc>
      </w:tr>
      <w:tr>
        <w:trPr>
          <w:trHeight w:val="20"/>
        </w:trPr>
        <w:tc>
          <w:tcPr>
            <w:tcW w:w="334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bl>
    <w:p>
      <w:pPr>
        <w:spacing w:after="0" w:line="265"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Banco de Crédito de Bolivia.</w:t>
      </w:r>
    </w:p>
    <w:p>
      <w:pPr>
        <w:spacing w:after="0" w:line="21" w:lineRule="exact"/>
        <w:rPr>
          <w:rFonts w:ascii="Arial" w:cs="Arial" w:eastAsia="Arial" w:hAnsi="Arial"/>
          <w:sz w:val="14"/>
          <w:szCs w:val="14"/>
          <w:color w:val="auto"/>
        </w:rPr>
      </w:pPr>
    </w:p>
    <w:p>
      <w:pPr>
        <w:ind w:left="220" w:hanging="212"/>
        <w:spacing w:after="0"/>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Grupo Crédito, Servicorp and Prima AFP</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taxes on BCP's and PPS's dividends, and other expenses at the holding company level.</w:t>
      </w:r>
    </w:p>
    <w:p>
      <w:pPr>
        <w:spacing w:after="0" w:line="2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BCP Bolivia, which is consolidated within BCP, reported a contribution of US$ 10.5 million for 1Q08, maintaining its high level despite a significant stagnation of investment activity in the country, which will eventually generate a notorious slowdown.</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 w:name="page6"/>
    <w:bookmarkEnd w:id="5"/>
    <w:p>
      <w:pPr>
        <w:jc w:val="both"/>
        <w:spacing w:after="0" w:line="342" w:lineRule="auto"/>
        <w:rPr>
          <w:sz w:val="20"/>
          <w:szCs w:val="20"/>
          <w:color w:val="auto"/>
        </w:rPr>
      </w:pPr>
      <w:r>
        <w:rPr>
          <w:rFonts w:ascii="Arial" w:cs="Arial" w:eastAsia="Arial" w:hAnsi="Arial"/>
          <w:sz w:val="16"/>
          <w:szCs w:val="16"/>
          <w:color w:val="auto"/>
        </w:rPr>
        <w:t>ASHC reports a contribution improvement of 14% QoQ reaching US$ 5.7 million for the 1Q08. ASHC’s business is constantly expanding as a result also of the increasing wealth generation in the country, and represents a stable, no-risk investment, for which its ROEA of 16.2% is more than satisfactory.</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explained before, though the insurance business reports a good quarterly net premiums growth of 9%, claims in the property and casualty sector remain high this quarter due to the mild Niño affecting the northern areas of the country with torrential rains. Thus, with the Life and Health businesses doing very well and offering good returns, turning the P&amp;C business into a profitable operation continues being PPS’s main focus, though it is proving to be troublesome. Following this objective, significant efforts are being made to develop the more massive and better predictable retail business and limit exposure to the wholesale insurance P&amp;C business, as well as to improve the financial investment management to achieve better returns overall. This process will take more time than expected. Nevertheless, such positive financial management results which benefited also from translation gains, contributed to improve PPS’s bottom line results despite the casualties of the P&amp;C sector, leading to a US$ 2.34 million contribution to Credicorp, which represented a ROAE of about 11.2%.</w:t>
      </w:r>
    </w:p>
    <w:p>
      <w:pPr>
        <w:spacing w:after="0" w:line="2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Finally, Prima’s business results were better than expected with total quarterly earnings of US$ 9 million. This improved results followed a change in treatments of deferred tax liabilities which had been generating overstated deferred liabilities and consequently understated income, leading to US$ 2.3 million income recognition from periods prior to December 2007, in this 1Q08. Thus, this totally unexpected high earnings contribution to Credicorp represented a ROAE of over 27%, which is certainly not sustainable at such high level given the one-off income recognition from previous periods. Nevertheless, Prima’s business results are better than expected following the cost reduction efforts of last year and business plan. Prima has established a dominant position in the market, capturing important market shares (31.4% of AuM, 33.7% of collections and 47.2% of voluntary contributions to the funds).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Banco de Crédito - BCP Consolidated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1Q08</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earnings evolution seen at Credicorp stems mainly from BCP’s performance which reveals extraordinary and historically unprecedented net earnings for the 1Q08 of US$ 165.8 million. This earnings number includes US$ 57 million of translation gains which resulted, as explained before when discussing Credicorp, from the high currency volatility and careful management of BCP’s US Dollar/Soles positions when reporting under IFRS US Dollar accounting. It is therefore important to keep the volatile source and nature of this income in mind. Excluding this extraordinary income, net earnings for 1Q08 was US$ 108.5 million, still a very strong 53% earnings growth QoQ.</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Another boost to BCP earnings results for the quarter was the sale of Visa Inc. shares, which generated additional pre-tax extraordinary income of US$ 17.8 million on a consolidated basis with BCP Bolivia.</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Core Earnings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Revenues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US$ 000</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Net interest and dividend income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Fee income,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r>
      <w:tr>
        <w:trPr>
          <w:trHeight w:val="264"/>
        </w:trPr>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1Q08</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4Q07</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1Q07</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1Q08/1Q07</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1Q08/4Q07</w:t>
            </w:r>
          </w:p>
        </w:tc>
        <w:tc>
          <w:tcPr>
            <w:tcW w:w="140" w:type="dxa"/>
            <w:vAlign w:val="bottom"/>
          </w:tcPr>
          <w:p>
            <w:pPr>
              <w:spacing w:after="0"/>
              <w:rPr>
                <w:sz w:val="22"/>
                <w:szCs w:val="22"/>
                <w:color w:val="auto"/>
              </w:rPr>
            </w:pPr>
          </w:p>
        </w:tc>
      </w:tr>
      <w:tr>
        <w:trPr>
          <w:trHeight w:val="237"/>
        </w:trPr>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172,611</w:t>
            </w:r>
          </w:p>
        </w:tc>
        <w:tc>
          <w:tcPr>
            <w:tcW w:w="1140" w:type="dxa"/>
            <w:vAlign w:val="bottom"/>
          </w:tcPr>
          <w:p>
            <w:pPr>
              <w:jc w:val="right"/>
              <w:spacing w:after="0"/>
              <w:rPr>
                <w:sz w:val="20"/>
                <w:szCs w:val="20"/>
                <w:color w:val="auto"/>
              </w:rPr>
            </w:pPr>
            <w:r>
              <w:rPr>
                <w:rFonts w:ascii="Arial" w:cs="Arial" w:eastAsia="Arial" w:hAnsi="Arial"/>
                <w:sz w:val="18"/>
                <w:szCs w:val="18"/>
                <w:color w:val="auto"/>
              </w:rPr>
              <w:t>155,565</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123,289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11.0%</w:t>
            </w:r>
          </w:p>
        </w:tc>
      </w:tr>
      <w:tr>
        <w:trPr>
          <w:trHeight w:val="241"/>
        </w:trPr>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79,747</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76,708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62,470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27.7%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-306705</wp:posOffset>
            </wp:positionV>
            <wp:extent cx="72466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320" w:space="720"/>
            <w:col w:w="6380"/>
          </w:cols>
          <w:pgMar w:left="240" w:top="1030" w:right="239" w:bottom="1440" w:gutter="0" w:footer="0" w:header="0"/>
        </w:sectPr>
      </w:pPr>
    </w:p>
    <w:tbl>
      <w:tblPr>
        <w:tblLayout w:type="fixed"/>
        <w:tblInd w:w="0" w:type="dxa"/>
        <w:tblCellMar>
          <w:top w:w="0" w:type="dxa"/>
          <w:left w:w="0" w:type="dxa"/>
          <w:bottom w:w="0" w:type="dxa"/>
          <w:right w:w="0" w:type="dxa"/>
        </w:tblCellMar>
      </w:tblPr>
      <w:tr>
        <w:trPr>
          <w:trHeight w:val="232"/>
        </w:trPr>
        <w:tc>
          <w:tcPr>
            <w:tcW w:w="48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gain on foreign exchange transactions</w:t>
            </w:r>
          </w:p>
        </w:tc>
        <w:tc>
          <w:tcPr>
            <w:tcW w:w="220" w:type="dxa"/>
            <w:vAlign w:val="bottom"/>
            <w:tcBorders>
              <w:bottom w:val="single" w:sz="8" w:color="CCFFCC"/>
            </w:tcBorders>
            <w:shd w:val="clear" w:color="auto" w:fill="CCFFCC"/>
          </w:tcPr>
          <w:p>
            <w:pPr>
              <w:spacing w:after="0"/>
              <w:rPr>
                <w:sz w:val="20"/>
                <w:szCs w:val="20"/>
                <w:color w:val="auto"/>
              </w:rPr>
            </w:pP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19,971</w:t>
            </w:r>
          </w:p>
        </w:tc>
        <w:tc>
          <w:tcPr>
            <w:tcW w:w="12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21,497</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11,937</w:t>
            </w:r>
          </w:p>
        </w:tc>
        <w:tc>
          <w:tcPr>
            <w:tcW w:w="1320" w:type="dxa"/>
            <w:vAlign w:val="bottom"/>
            <w:tcBorders>
              <w:bottom w:val="single" w:sz="8" w:color="CCFFCC"/>
            </w:tcBorders>
            <w:gridSpan w:val="2"/>
            <w:shd w:val="clear" w:color="auto" w:fill="CCFFCC"/>
          </w:tcPr>
          <w:p>
            <w:pPr>
              <w:ind w:left="820"/>
              <w:spacing w:after="0"/>
              <w:rPr>
                <w:sz w:val="20"/>
                <w:szCs w:val="20"/>
                <w:color w:val="auto"/>
              </w:rPr>
            </w:pPr>
            <w:r>
              <w:rPr>
                <w:rFonts w:ascii="Arial" w:cs="Arial" w:eastAsia="Arial" w:hAnsi="Arial"/>
                <w:sz w:val="18"/>
                <w:szCs w:val="18"/>
                <w:color w:val="auto"/>
                <w:w w:val="93"/>
              </w:rPr>
              <w:t>67.3%</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-7.1%</w:t>
            </w:r>
          </w:p>
        </w:tc>
      </w:tr>
      <w:tr>
        <w:trPr>
          <w:trHeight w:val="20"/>
        </w:trPr>
        <w:tc>
          <w:tcPr>
            <w:tcW w:w="48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4820" w:type="dxa"/>
            <w:vAlign w:val="bottom"/>
          </w:tcPr>
          <w:p>
            <w:pPr>
              <w:spacing w:after="0"/>
              <w:rPr>
                <w:sz w:val="20"/>
                <w:szCs w:val="20"/>
                <w:color w:val="auto"/>
              </w:rPr>
            </w:pPr>
            <w:r>
              <w:rPr>
                <w:rFonts w:ascii="Arial" w:cs="Arial" w:eastAsia="Arial" w:hAnsi="Arial"/>
                <w:sz w:val="18"/>
                <w:szCs w:val="18"/>
                <w:b w:val="1"/>
                <w:bCs w:val="1"/>
                <w:color w:val="auto"/>
              </w:rPr>
              <w:t>Core Revenues</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272,329</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253,770</w:t>
            </w:r>
          </w:p>
        </w:tc>
        <w:tc>
          <w:tcPr>
            <w:tcW w:w="12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197,696</w:t>
            </w:r>
          </w:p>
        </w:tc>
        <w:tc>
          <w:tcPr>
            <w:tcW w:w="1320" w:type="dxa"/>
            <w:vAlign w:val="bottom"/>
            <w:gridSpan w:val="2"/>
          </w:tcPr>
          <w:p>
            <w:pPr>
              <w:ind w:left="820"/>
              <w:spacing w:after="0"/>
              <w:rPr>
                <w:sz w:val="20"/>
                <w:szCs w:val="20"/>
                <w:color w:val="auto"/>
              </w:rPr>
            </w:pPr>
            <w:r>
              <w:rPr>
                <w:rFonts w:ascii="Arial" w:cs="Arial" w:eastAsia="Arial" w:hAnsi="Arial"/>
                <w:sz w:val="18"/>
                <w:szCs w:val="18"/>
                <w:b w:val="1"/>
                <w:bCs w:val="1"/>
                <w:color w:val="auto"/>
                <w:w w:val="93"/>
              </w:rPr>
              <w:t>37.8%</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7.3%</w:t>
            </w: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Nevertheless, BCP’s business performance, excluding such significant extraordinary and non recurrent income remains as strong as in the previous quarters. In fact, net interest income increased 11% QoQ following a robust loan book growth of 7.5% when looking at quarter end book balances. Fee income also followed the trend of previous quarters showing a 4% quarterly growth, compensating a drop in FX-transaction and resulting in Core Earnings growth of 7.3%. While on the cost side, operating costs dropped 8.9% despite the inflating effect of our Soles costs due to the revaluation in US Dollar accounting for two reasons: (1) the seasonality reflected by the year-end related expense hike of the last 4Q07 which set a high comparison base, and (2) the evolution of BCP’s expansion costs, which are in reality not as linear as projections. Furthermore, such strong income generation also allowed for 53% higher provisions as our provisioning policy was revised and higher provisioning levels set for our growing retail business.</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Looking at </w:t>
      </w:r>
      <w:r>
        <w:rPr>
          <w:rFonts w:ascii="Arial" w:cs="Arial" w:eastAsia="Arial" w:hAnsi="Arial"/>
          <w:sz w:val="18"/>
          <w:szCs w:val="18"/>
          <w:i w:val="1"/>
          <w:iCs w:val="1"/>
          <w:color w:val="auto"/>
        </w:rPr>
        <w:t>total loan growth</w:t>
      </w:r>
      <w:r>
        <w:rPr>
          <w:rFonts w:ascii="Arial" w:cs="Arial" w:eastAsia="Arial" w:hAnsi="Arial"/>
          <w:sz w:val="18"/>
          <w:szCs w:val="18"/>
          <w:color w:val="auto"/>
        </w:rPr>
        <w:t xml:space="preserve"> measured by the average daily balances for the quarter (and including the effect of the local currency revaluation which inflates US Dollar results slightly for our local currency book which amounts to 32% of our portfolio) reached a strong 9.8% QoQ growth. But even excluding the revaluation effect, such growth would still be strong at about 8% for the quarter. Contrary to expectations, however, the strongest growing sector contributing to such high 9.8% quarterly loan growth was again this 1Q08 the corporate business fueled by the impressively strong longer term investment activity. Such corporate business reported a 12.2% QoQ loan growth in average balances (approx. 10.5% clean of the revaluation effect), while the retail sector, our typically most dynamic sector reached 11.1% QoQ growth (or 8.5% clean of revaluation effect), with SME, consumer and credit card loans maintaining their strong growth in that order.</w:t>
      </w:r>
    </w:p>
    <w:p>
      <w:pPr>
        <w:spacing w:after="0" w:line="2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But </w:t>
      </w:r>
      <w:r>
        <w:rPr>
          <w:rFonts w:ascii="Arial" w:cs="Arial" w:eastAsia="Arial" w:hAnsi="Arial"/>
          <w:sz w:val="17"/>
          <w:szCs w:val="17"/>
          <w:i w:val="1"/>
          <w:iCs w:val="1"/>
          <w:color w:val="auto"/>
        </w:rPr>
        <w:t>net interest income</w:t>
      </w:r>
      <w:r>
        <w:rPr>
          <w:rFonts w:ascii="Arial" w:cs="Arial" w:eastAsia="Arial" w:hAnsi="Arial"/>
          <w:sz w:val="17"/>
          <w:szCs w:val="17"/>
          <w:color w:val="auto"/>
        </w:rPr>
        <w:t xml:space="preserve"> growth was a result not only of such loan portfolio evolution, but also a very strong increase in the volume of BCP’s investment portfolio, which was up by 45.9% QoQ. Such growth was to an important extent a result of the revaluation in our US Dollar reporting of our mainly Soles denominated investment portfolio, though aslo fueled by the strong inflow of US Dollar into the system lured by the large speculative earnings opportunities offered by investments in Soles through the revaluation of the Soles and interest rate differentials generated by the BCR’s monetary policy. The soles liquidity generated this way in the local financial system was again captured by BCR CD’s, resulting in very attractive investment for financial institutions given their tax shelter. This evolution and revaluation generated a recomposition of our interest earning assets with investment with lower nominal returns (though higher real returns through tax advantages) reporting a greater expansion than our loan portfolio. This impacted our </w:t>
      </w:r>
      <w:r>
        <w:rPr>
          <w:rFonts w:ascii="Arial" w:cs="Arial" w:eastAsia="Arial" w:hAnsi="Arial"/>
          <w:sz w:val="17"/>
          <w:szCs w:val="17"/>
          <w:i w:val="1"/>
          <w:iCs w:val="1"/>
          <w:color w:val="auto"/>
        </w:rPr>
        <w:t>net interest margin</w:t>
      </w:r>
      <w:r>
        <w:rPr>
          <w:rFonts w:ascii="Arial" w:cs="Arial" w:eastAsia="Arial" w:hAnsi="Arial"/>
          <w:sz w:val="17"/>
          <w:szCs w:val="17"/>
          <w:color w:val="auto"/>
        </w:rPr>
        <w:t xml:space="preserve"> (NIM), as did as well our stronger growth of our corporate and less profitable portfolio vis-à-vis our retail book. The result was a contraction of NIM from 5.2% in 4Q07 to 5.1% in 1Q08. Furthermore, the evolution of the funding side contributed to the contraction in NIM, since interest rates on deposits in general increased and the higher reserve requirements and lower remuneration of these impacted our funding cost.</w:t>
      </w:r>
    </w:p>
    <w:p>
      <w:pPr>
        <w:spacing w:after="0" w:line="23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Though slightly higher as of the end of the 1Q08, </w:t>
      </w:r>
      <w:r>
        <w:rPr>
          <w:rFonts w:ascii="Arial" w:cs="Arial" w:eastAsia="Arial" w:hAnsi="Arial"/>
          <w:sz w:val="18"/>
          <w:szCs w:val="18"/>
          <w:i w:val="1"/>
          <w:iCs w:val="1"/>
          <w:color w:val="auto"/>
        </w:rPr>
        <w:t>PDL/ total loans</w:t>
      </w:r>
      <w:r>
        <w:rPr>
          <w:rFonts w:ascii="Arial" w:cs="Arial" w:eastAsia="Arial" w:hAnsi="Arial"/>
          <w:sz w:val="18"/>
          <w:szCs w:val="18"/>
          <w:color w:val="auto"/>
        </w:rPr>
        <w:t xml:space="preserve"> continues at an extremely healthy level of 0.79%, showing no identifiable real signs of any deterioration. </w:t>
      </w:r>
      <w:r>
        <w:rPr>
          <w:rFonts w:ascii="Arial" w:cs="Arial" w:eastAsia="Arial" w:hAnsi="Arial"/>
          <w:sz w:val="18"/>
          <w:szCs w:val="18"/>
          <w:i w:val="1"/>
          <w:iCs w:val="1"/>
          <w:color w:val="auto"/>
        </w:rPr>
        <w:t>Coverage</w:t>
      </w:r>
      <w:r>
        <w:rPr>
          <w:rFonts w:ascii="Arial" w:cs="Arial" w:eastAsia="Arial" w:hAnsi="Arial"/>
          <w:sz w:val="18"/>
          <w:szCs w:val="18"/>
          <w:color w:val="auto"/>
        </w:rPr>
        <w:t xml:space="preserve"> remains strong at 313.2% (though down from 351%).</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30"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61"/>
        </w:trPr>
        <w:tc>
          <w:tcPr>
            <w:tcW w:w="4900" w:type="dxa"/>
            <w:vAlign w:val="bottom"/>
          </w:tcPr>
          <w:p>
            <w:pPr>
              <w:spacing w:after="0"/>
              <w:rPr>
                <w:sz w:val="20"/>
                <w:szCs w:val="20"/>
                <w:color w:val="auto"/>
              </w:rPr>
            </w:pPr>
            <w:r>
              <w:rPr>
                <w:rFonts w:ascii="Arial" w:cs="Arial" w:eastAsia="Arial" w:hAnsi="Arial"/>
                <w:sz w:val="18"/>
                <w:szCs w:val="18"/>
                <w:b w:val="1"/>
                <w:bCs w:val="1"/>
                <w:color w:val="auto"/>
              </w:rPr>
              <w:t>Banco de Crédito and Subsidiaries</w:t>
            </w:r>
          </w:p>
        </w:tc>
        <w:tc>
          <w:tcPr>
            <w:tcW w:w="11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Quarter</w:t>
            </w:r>
          </w:p>
        </w:tc>
        <w:tc>
          <w:tcPr>
            <w:tcW w:w="11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460" w:type="dxa"/>
            <w:vAlign w:val="bottom"/>
            <w:tcBorders>
              <w:bottom w:val="single" w:sz="8" w:color="auto"/>
            </w:tcBorders>
            <w:gridSpan w:val="3"/>
          </w:tcPr>
          <w:p>
            <w:pPr>
              <w:ind w:left="90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2"/>
                <w:szCs w:val="22"/>
                <w:color w:val="auto"/>
              </w:rPr>
            </w:pPr>
          </w:p>
        </w:tc>
      </w:tr>
      <w:tr>
        <w:trPr>
          <w:trHeight w:val="264"/>
        </w:trPr>
        <w:tc>
          <w:tcPr>
            <w:tcW w:w="4900" w:type="dxa"/>
            <w:vAlign w:val="bottom"/>
          </w:tcPr>
          <w:p>
            <w:pPr>
              <w:spacing w:after="0"/>
              <w:rPr>
                <w:sz w:val="20"/>
                <w:szCs w:val="20"/>
                <w:color w:val="auto"/>
              </w:rPr>
            </w:pPr>
            <w:r>
              <w:rPr>
                <w:rFonts w:ascii="Arial" w:cs="Arial" w:eastAsia="Arial" w:hAnsi="Arial"/>
                <w:sz w:val="18"/>
                <w:szCs w:val="18"/>
                <w:color w:val="auto"/>
              </w:rPr>
              <w:t>US$ 000</w:t>
            </w: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1Q08</w:t>
            </w:r>
          </w:p>
        </w:tc>
        <w:tc>
          <w:tcPr>
            <w:tcW w:w="160" w:type="dxa"/>
            <w:vAlign w:val="bottom"/>
          </w:tcPr>
          <w:p>
            <w:pPr>
              <w:spacing w:after="0"/>
              <w:rPr>
                <w:sz w:val="22"/>
                <w:szCs w:val="22"/>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4Q07</w:t>
            </w:r>
          </w:p>
        </w:tc>
        <w:tc>
          <w:tcPr>
            <w:tcW w:w="16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1Q07</w:t>
            </w:r>
          </w:p>
        </w:tc>
        <w:tc>
          <w:tcPr>
            <w:tcW w:w="16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1Q08/1Q07</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1Q08/4Q07</w:t>
            </w:r>
          </w:p>
        </w:tc>
        <w:tc>
          <w:tcPr>
            <w:tcW w:w="180" w:type="dxa"/>
            <w:vAlign w:val="bottom"/>
          </w:tcPr>
          <w:p>
            <w:pPr>
              <w:spacing w:after="0"/>
              <w:rPr>
                <w:sz w:val="22"/>
                <w:szCs w:val="22"/>
                <w:color w:val="auto"/>
              </w:rPr>
            </w:pPr>
          </w:p>
        </w:tc>
      </w:tr>
      <w:tr>
        <w:trPr>
          <w:trHeight w:val="237"/>
        </w:trPr>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Net Financial income</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172,611</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155,565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123,289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40.0%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11.0%</w:t>
            </w: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Total provisions, net of recoveries</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(16,951)</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(11,089)</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(5,859)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189.3%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r>
      <w:tr>
        <w:trPr>
          <w:trHeight w:val="243"/>
        </w:trPr>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124,563</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103,458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86,255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44.4%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20.4%</w:t>
            </w: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Operating expenses</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(138,335)</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(151,867)</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(108,218)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27.8%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r>
      <w:tr>
        <w:trPr>
          <w:trHeight w:val="243"/>
        </w:trPr>
        <w:tc>
          <w:tcPr>
            <w:tcW w:w="4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before Workers' profit sharing and IT</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141,888</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96,068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95,467</w:t>
            </w:r>
          </w:p>
        </w:tc>
        <w:tc>
          <w:tcPr>
            <w:tcW w:w="1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48.6%</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47.7%</w:t>
            </w: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Worker's profit sharing and income taxes</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(33,365)</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(25,123)</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(24,121)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38.3%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32.8%</w:t>
            </w:r>
          </w:p>
        </w:tc>
      </w:tr>
      <w:tr>
        <w:trPr>
          <w:trHeight w:val="243"/>
        </w:trPr>
        <w:tc>
          <w:tcPr>
            <w:tcW w:w="4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before translation result</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108,523</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70,945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71,346</w:t>
            </w:r>
          </w:p>
        </w:tc>
        <w:tc>
          <w:tcPr>
            <w:tcW w:w="1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52.1%</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53.0%</w:t>
            </w: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Tranlation results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57,249</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15,253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1,310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4270.2%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275.3%</w:t>
            </w:r>
          </w:p>
        </w:tc>
      </w:tr>
      <w:tr>
        <w:trPr>
          <w:trHeight w:val="250"/>
        </w:trPr>
        <w:tc>
          <w:tcPr>
            <w:tcW w:w="49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165,773</w:t>
            </w: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86,198</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72,657</w:t>
            </w:r>
          </w:p>
        </w:tc>
        <w:tc>
          <w:tcPr>
            <w:tcW w:w="132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128.2%</w:t>
            </w:r>
          </w:p>
        </w:tc>
        <w:tc>
          <w:tcPr>
            <w:tcW w:w="13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92.3%</w:t>
            </w:r>
          </w:p>
        </w:tc>
      </w:tr>
      <w:tr>
        <w:trPr>
          <w:trHeight w:val="20"/>
        </w:trPr>
        <w:tc>
          <w:tcPr>
            <w:tcW w:w="49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4900" w:type="dxa"/>
            <w:vAlign w:val="bottom"/>
          </w:tcPr>
          <w:p>
            <w:pPr>
              <w:spacing w:after="0"/>
              <w:rPr>
                <w:sz w:val="20"/>
                <w:szCs w:val="20"/>
                <w:color w:val="auto"/>
              </w:rPr>
            </w:pPr>
            <w:r>
              <w:rPr>
                <w:rFonts w:ascii="Arial" w:cs="Arial" w:eastAsia="Arial" w:hAnsi="Arial"/>
                <w:sz w:val="18"/>
                <w:szCs w:val="18"/>
                <w:color w:val="auto"/>
              </w:rPr>
              <w:t>Net income/ share (US$)</w:t>
            </w:r>
          </w:p>
        </w:tc>
        <w:tc>
          <w:tcPr>
            <w:tcW w:w="1140" w:type="dxa"/>
            <w:vAlign w:val="bottom"/>
          </w:tcPr>
          <w:p>
            <w:pPr>
              <w:jc w:val="right"/>
              <w:spacing w:after="0"/>
              <w:rPr>
                <w:sz w:val="20"/>
                <w:szCs w:val="20"/>
                <w:color w:val="auto"/>
              </w:rPr>
            </w:pPr>
            <w:r>
              <w:rPr>
                <w:rFonts w:ascii="Arial" w:cs="Arial" w:eastAsia="Arial" w:hAnsi="Arial"/>
                <w:sz w:val="18"/>
                <w:szCs w:val="18"/>
                <w:color w:val="auto"/>
              </w:rPr>
              <w:t>0.129</w:t>
            </w:r>
          </w:p>
        </w:tc>
        <w:tc>
          <w:tcPr>
            <w:tcW w:w="16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0.067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0.057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128.1%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92.4%</w:t>
            </w:r>
          </w:p>
        </w:tc>
      </w:tr>
      <w:tr>
        <w:trPr>
          <w:trHeight w:val="20"/>
        </w:trPr>
        <w:tc>
          <w:tcPr>
            <w:tcW w:w="49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Total loans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8,837,689</w:t>
            </w:r>
          </w:p>
        </w:tc>
        <w:tc>
          <w:tcPr>
            <w:tcW w:w="160" w:type="dxa"/>
            <w:vAlign w:val="bottom"/>
            <w:shd w:val="clear" w:color="auto" w:fill="CCFFCC"/>
          </w:tcPr>
          <w:p>
            <w:pPr>
              <w:spacing w:after="0"/>
              <w:rPr>
                <w:sz w:val="20"/>
                <w:szCs w:val="20"/>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8,224,613</w:t>
            </w: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6,182,300</w:t>
            </w:r>
          </w:p>
        </w:tc>
        <w:tc>
          <w:tcPr>
            <w:tcW w:w="16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43.0%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7.5%</w:t>
            </w: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12,938,927</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11,249,104</w:t>
            </w:r>
          </w:p>
        </w:tc>
        <w:tc>
          <w:tcPr>
            <w:tcW w:w="1140" w:type="dxa"/>
            <w:vAlign w:val="bottom"/>
          </w:tcPr>
          <w:p>
            <w:pPr>
              <w:jc w:val="right"/>
              <w:spacing w:after="0"/>
              <w:rPr>
                <w:sz w:val="20"/>
                <w:szCs w:val="20"/>
                <w:color w:val="auto"/>
              </w:rPr>
            </w:pPr>
            <w:r>
              <w:rPr>
                <w:rFonts w:ascii="Arial" w:cs="Arial" w:eastAsia="Arial" w:hAnsi="Arial"/>
                <w:sz w:val="18"/>
                <w:szCs w:val="18"/>
                <w:color w:val="auto"/>
              </w:rPr>
              <w:t>8,842,654</w:t>
            </w:r>
          </w:p>
        </w:tc>
        <w:tc>
          <w:tcPr>
            <w:tcW w:w="16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46.3%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r>
      <w:tr>
        <w:trPr>
          <w:trHeight w:val="250"/>
        </w:trPr>
        <w:tc>
          <w:tcPr>
            <w:tcW w:w="49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Shareholders equity</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1,195,587</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1,132,564</w:t>
            </w:r>
          </w:p>
        </w:tc>
        <w:tc>
          <w:tcPr>
            <w:tcW w:w="16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881,485</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35.6%</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5.6%</w:t>
            </w:r>
          </w:p>
        </w:tc>
      </w:tr>
      <w:tr>
        <w:trPr>
          <w:trHeight w:val="20"/>
        </w:trPr>
        <w:tc>
          <w:tcPr>
            <w:tcW w:w="49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37"/>
        </w:trPr>
        <w:tc>
          <w:tcPr>
            <w:tcW w:w="4900" w:type="dxa"/>
            <w:vAlign w:val="bottom"/>
          </w:tcPr>
          <w:p>
            <w:pPr>
              <w:spacing w:after="0"/>
              <w:rPr>
                <w:sz w:val="20"/>
                <w:szCs w:val="20"/>
                <w:color w:val="auto"/>
              </w:rPr>
            </w:pPr>
            <w:r>
              <w:rPr>
                <w:rFonts w:ascii="Arial" w:cs="Arial" w:eastAsia="Arial" w:hAnsi="Arial"/>
                <w:sz w:val="18"/>
                <w:szCs w:val="18"/>
                <w:color w:val="auto"/>
              </w:rPr>
              <w:t>Net financial margin</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Efficiency ratio</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47.5%</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56.9%</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49.8%</w:t>
            </w: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Return on average equity</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57.0%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31.7%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31.5%</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PDL/ Total loans</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0.8%</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0.7%</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w:t>
            </w: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Coverage ratio of PDLs</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313.2%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351.8%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252.1%</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Branches</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277</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245</w:t>
            </w: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ATMs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778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748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691</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50"/>
        </w:trPr>
        <w:tc>
          <w:tcPr>
            <w:tcW w:w="49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Employees</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13,540</w:t>
            </w: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12,667</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10,934</w:t>
            </w:r>
          </w:p>
        </w:tc>
        <w:tc>
          <w:tcPr>
            <w:tcW w:w="1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r>
      <w:tr>
        <w:trPr>
          <w:trHeight w:val="20"/>
        </w:trPr>
        <w:tc>
          <w:tcPr>
            <w:tcW w:w="49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Net provisions </w:t>
      </w:r>
      <w:r>
        <w:rPr>
          <w:rFonts w:ascii="Arial" w:cs="Arial" w:eastAsia="Arial" w:hAnsi="Arial"/>
          <w:sz w:val="17"/>
          <w:szCs w:val="17"/>
          <w:color w:val="auto"/>
        </w:rPr>
        <w:t>increased 53% to US$ 16.9 million in 1Q08. This is the result of higher gross provisions due to a more conservative provisioning policy</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implemented this year, increasing the provision requirements for the retail business. Thus, gross provisions reached US$ 25.9 million, while recoveries were still strong at US$ 8.9 million. The latter includes the recoveries related to a very old problem loan which was finally settled.</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4.0% </w:t>
      </w:r>
      <w:r>
        <w:rPr>
          <w:rFonts w:ascii="Arial" w:cs="Arial" w:eastAsia="Arial" w:hAnsi="Arial"/>
          <w:sz w:val="18"/>
          <w:szCs w:val="18"/>
          <w:i w:val="1"/>
          <w:iCs w:val="1"/>
          <w:color w:val="auto"/>
        </w:rPr>
        <w:t>fee income</w:t>
      </w:r>
      <w:r>
        <w:rPr>
          <w:rFonts w:ascii="Arial" w:cs="Arial" w:eastAsia="Arial" w:hAnsi="Arial"/>
          <w:sz w:val="18"/>
          <w:szCs w:val="18"/>
          <w:color w:val="auto"/>
        </w:rPr>
        <w:t xml:space="preserve"> growth stems from higher account maintenance fees, transactional fees, credit card fees and operational charges. Though higher fee income was reported, a drop in the average number of monthly transactions from 33.3 million to 32.3 million QoQ is explained by the seasonal all-year high recorded every 4Q of the year due to the holiday season.</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FX-transactions </w:t>
      </w:r>
      <w:r>
        <w:rPr>
          <w:rFonts w:ascii="Arial" w:cs="Arial" w:eastAsia="Arial" w:hAnsi="Arial"/>
          <w:sz w:val="18"/>
          <w:szCs w:val="18"/>
          <w:color w:val="auto"/>
        </w:rPr>
        <w:t>gains were 7.1% lower QoQ, mainly because of the high transactional level of the year end in 2007 which set a high base of comparison and</w:t>
      </w:r>
      <w:r>
        <w:rPr>
          <w:rFonts w:ascii="Arial" w:cs="Arial" w:eastAsia="Arial" w:hAnsi="Arial"/>
          <w:sz w:val="18"/>
          <w:szCs w:val="18"/>
          <w:i w:val="1"/>
          <w:iCs w:val="1"/>
          <w:color w:val="auto"/>
        </w:rPr>
        <w:t xml:space="preserve"> </w:t>
      </w:r>
      <w:r>
        <w:rPr>
          <w:rFonts w:ascii="Arial" w:cs="Arial" w:eastAsia="Arial" w:hAnsi="Arial"/>
          <w:sz w:val="18"/>
          <w:szCs w:val="18"/>
          <w:color w:val="auto"/>
        </w:rPr>
        <w:t>despite the currency fluctuation this 1Q08.</w:t>
      </w:r>
    </w:p>
    <w:p>
      <w:pPr>
        <w:spacing w:after="0" w:line="2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Gains on the sale of securities</w:t>
      </w:r>
      <w:r>
        <w:rPr>
          <w:rFonts w:ascii="Arial" w:cs="Arial" w:eastAsia="Arial" w:hAnsi="Arial"/>
          <w:sz w:val="18"/>
          <w:szCs w:val="18"/>
          <w:color w:val="auto"/>
        </w:rPr>
        <w:t>, on the other hand, reported a jump from US$2.7 million in 4Q07 to US$22.7 million. The Visa Inc. IPO explains completely</w:t>
      </w:r>
      <w:r>
        <w:rPr>
          <w:rFonts w:ascii="Arial" w:cs="Arial" w:eastAsia="Arial" w:hAnsi="Arial"/>
          <w:sz w:val="18"/>
          <w:szCs w:val="18"/>
          <w:i w:val="1"/>
          <w:iCs w:val="1"/>
          <w:color w:val="auto"/>
        </w:rPr>
        <w:t xml:space="preserve"> </w:t>
      </w:r>
      <w:r>
        <w:rPr>
          <w:rFonts w:ascii="Arial" w:cs="Arial" w:eastAsia="Arial" w:hAnsi="Arial"/>
          <w:sz w:val="18"/>
          <w:szCs w:val="18"/>
          <w:color w:val="auto"/>
        </w:rPr>
        <w:t>this jump since it resulted in gains for BCP and BCP Bolivia, which reached US$17.9 million.</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the cost side, </w:t>
      </w:r>
      <w:r>
        <w:rPr>
          <w:rFonts w:ascii="Arial" w:cs="Arial" w:eastAsia="Arial" w:hAnsi="Arial"/>
          <w:sz w:val="18"/>
          <w:szCs w:val="18"/>
          <w:i w:val="1"/>
          <w:iCs w:val="1"/>
          <w:color w:val="auto"/>
        </w:rPr>
        <w:t>operating costs</w:t>
      </w:r>
      <w:r>
        <w:rPr>
          <w:rFonts w:ascii="Arial" w:cs="Arial" w:eastAsia="Arial" w:hAnsi="Arial"/>
          <w:sz w:val="18"/>
          <w:szCs w:val="18"/>
          <w:color w:val="auto"/>
        </w:rPr>
        <w:t xml:space="preserve"> dropped 8.9% despite the inflating effect of our Soles denominated costs due to the revaluation in US Dollar accounting for two reasons: (1) the seasonality reflected by the year-end related expense hike of the last 4Q07 which set a high comparison base, and (2) the evolution of BCP’s expansion costs, which are in reality not as linear as projections. Thus, personnel costs and administrative costs dropped 6.1% and 18.1% respectively in the 1Q08, despite, as said before, the revaluation effect of the soles denominated costs.</w:t>
      </w:r>
    </w:p>
    <w:p>
      <w:pPr>
        <w:spacing w:after="0" w:line="24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Finally, as indicated at the beginning, </w:t>
      </w:r>
      <w:r>
        <w:rPr>
          <w:rFonts w:ascii="Arial" w:cs="Arial" w:eastAsia="Arial" w:hAnsi="Arial"/>
          <w:sz w:val="17"/>
          <w:szCs w:val="17"/>
          <w:i w:val="1"/>
          <w:iCs w:val="1"/>
          <w:color w:val="auto"/>
        </w:rPr>
        <w:t>translation results</w:t>
      </w:r>
      <w:r>
        <w:rPr>
          <w:rFonts w:ascii="Arial" w:cs="Arial" w:eastAsia="Arial" w:hAnsi="Arial"/>
          <w:sz w:val="17"/>
          <w:szCs w:val="17"/>
          <w:color w:val="auto"/>
        </w:rPr>
        <w:t xml:space="preserve"> were significantly higher this quarter given the strong revaluation of the Nuevo Sol vis-a-vis the US Dollar which went from S/.2.996 in December 2007 to S/.2.744 by the end of March 2008, i.e. a devaluation of the US Dollar of 8.41%. Furthermore, such devaluation expectations fueled by the monetary policy of the BCR which increased the Soles interest rates and the speculative trade opportunities generated by this evolution, which also attracted significant foreign capital, led to a change in BCP’s decisions related to its US Dollar / Soles positions. Thus, BCP intentionally reduced its US Dollar position significantly, generating an even large gain in US Dollar NIIF accounting.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US$ Averag. net</w:t>
            </w: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rPr>
              <w:t>Nuevos Soles</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left="190"/>
              <w:spacing w:after="0"/>
              <w:rPr>
                <w:sz w:val="20"/>
                <w:szCs w:val="20"/>
                <w:color w:val="auto"/>
              </w:rPr>
            </w:pPr>
            <w:r>
              <w:rPr>
                <w:rFonts w:ascii="Arial" w:cs="Arial" w:eastAsia="Arial" w:hAnsi="Arial"/>
                <w:sz w:val="18"/>
                <w:szCs w:val="18"/>
                <w:b w:val="1"/>
                <w:bCs w:val="1"/>
                <w:color w:val="auto"/>
                <w:w w:val="95"/>
              </w:rPr>
              <w:t>Monthly</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Calculated</w:t>
            </w:r>
          </w:p>
        </w:tc>
        <w:tc>
          <w:tcPr>
            <w:tcW w:w="1680" w:type="dxa"/>
            <w:vAlign w:val="bottom"/>
            <w:gridSpan w:val="2"/>
          </w:tcPr>
          <w:p>
            <w:pPr>
              <w:ind w:left="340"/>
              <w:spacing w:after="0"/>
              <w:rPr>
                <w:sz w:val="20"/>
                <w:szCs w:val="20"/>
                <w:color w:val="auto"/>
              </w:rPr>
            </w:pPr>
            <w:r>
              <w:rPr>
                <w:rFonts w:ascii="Arial" w:cs="Arial" w:eastAsia="Arial" w:hAnsi="Arial"/>
                <w:sz w:val="18"/>
                <w:szCs w:val="18"/>
                <w:b w:val="1"/>
                <w:bCs w:val="1"/>
                <w:color w:val="auto"/>
              </w:rPr>
              <w:t>Translation</w:t>
            </w:r>
          </w:p>
        </w:tc>
      </w:tr>
      <w:tr>
        <w:trPr>
          <w:trHeight w:val="234"/>
        </w:trPr>
        <w:tc>
          <w:tcPr>
            <w:tcW w:w="150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Month</w:t>
            </w:r>
          </w:p>
        </w:tc>
        <w:tc>
          <w:tcPr>
            <w:tcW w:w="22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asset position</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Averag. net asset</w:t>
            </w:r>
          </w:p>
        </w:tc>
        <w:tc>
          <w:tcPr>
            <w:tcW w:w="120" w:type="dxa"/>
            <w:vAlign w:val="bottom"/>
          </w:tcPr>
          <w:p>
            <w:pPr>
              <w:spacing w:after="0"/>
              <w:rPr>
                <w:sz w:val="20"/>
                <w:szCs w:val="20"/>
                <w:color w:val="auto"/>
              </w:rPr>
            </w:pPr>
          </w:p>
        </w:tc>
        <w:tc>
          <w:tcPr>
            <w:tcW w:w="14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Exchange rate</w:t>
            </w:r>
          </w:p>
        </w:tc>
        <w:tc>
          <w:tcPr>
            <w:tcW w:w="120" w:type="dxa"/>
            <w:vAlign w:val="bottom"/>
          </w:tcPr>
          <w:p>
            <w:pPr>
              <w:spacing w:after="0"/>
              <w:rPr>
                <w:sz w:val="20"/>
                <w:szCs w:val="20"/>
                <w:color w:val="auto"/>
              </w:rPr>
            </w:pPr>
          </w:p>
        </w:tc>
        <w:tc>
          <w:tcPr>
            <w:tcW w:w="118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9"/>
              </w:rPr>
              <w:t>devaluation</w:t>
            </w:r>
          </w:p>
        </w:tc>
        <w:tc>
          <w:tcPr>
            <w:tcW w:w="2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translation</w:t>
            </w:r>
          </w:p>
        </w:tc>
        <w:tc>
          <w:tcPr>
            <w:tcW w:w="120" w:type="dxa"/>
            <w:vAlign w:val="bottom"/>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registered on P&amp;L</w:t>
            </w:r>
          </w:p>
        </w:tc>
        <w:tc>
          <w:tcPr>
            <w:tcW w:w="100" w:type="dxa"/>
            <w:vAlign w:val="bottom"/>
          </w:tcPr>
          <w:p>
            <w:pPr>
              <w:spacing w:after="0"/>
              <w:rPr>
                <w:sz w:val="20"/>
                <w:szCs w:val="20"/>
                <w:color w:val="auto"/>
              </w:rPr>
            </w:pPr>
          </w:p>
        </w:tc>
      </w:tr>
      <w:tr>
        <w:trPr>
          <w:trHeight w:val="237"/>
        </w:trPr>
        <w:tc>
          <w:tcPr>
            <w:tcW w:w="1500" w:type="dxa"/>
            <w:vAlign w:val="bottom"/>
            <w:shd w:val="clear" w:color="auto" w:fill="CCFFCC"/>
          </w:tcPr>
          <w:p>
            <w:pPr>
              <w:ind w:left="520"/>
              <w:spacing w:after="0"/>
              <w:rPr>
                <w:sz w:val="20"/>
                <w:szCs w:val="20"/>
                <w:color w:val="auto"/>
              </w:rPr>
            </w:pPr>
            <w:r>
              <w:rPr>
                <w:rFonts w:ascii="Arial" w:cs="Arial" w:eastAsia="Arial" w:hAnsi="Arial"/>
                <w:sz w:val="18"/>
                <w:szCs w:val="18"/>
                <w:color w:val="auto"/>
              </w:rPr>
              <w:t>Jan-08</w:t>
            </w:r>
          </w:p>
        </w:tc>
        <w:tc>
          <w:tcPr>
            <w:tcW w:w="18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245,207</w:t>
            </w:r>
          </w:p>
        </w:tc>
        <w:tc>
          <w:tcPr>
            <w:tcW w:w="1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529,751</w:t>
            </w:r>
          </w:p>
        </w:tc>
        <w:tc>
          <w:tcPr>
            <w:tcW w:w="17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2.934</w:t>
            </w:r>
          </w:p>
        </w:tc>
        <w:tc>
          <w:tcPr>
            <w:tcW w:w="1180" w:type="dxa"/>
            <w:vAlign w:val="bottom"/>
            <w:shd w:val="clear" w:color="auto" w:fill="CCFFCC"/>
          </w:tcPr>
          <w:p>
            <w:pPr>
              <w:spacing w:after="0"/>
              <w:rPr>
                <w:sz w:val="20"/>
                <w:szCs w:val="20"/>
                <w:color w:val="auto"/>
              </w:rPr>
            </w:pPr>
          </w:p>
        </w:tc>
        <w:tc>
          <w:tcPr>
            <w:tcW w:w="4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w w:val="89"/>
              </w:rPr>
              <w:t>-2.1%</w:t>
            </w:r>
          </w:p>
        </w:tc>
        <w:tc>
          <w:tcPr>
            <w:tcW w:w="15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11,194</w:t>
            </w:r>
          </w:p>
        </w:tc>
        <w:tc>
          <w:tcPr>
            <w:tcW w:w="16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8,145</w:t>
            </w:r>
          </w:p>
        </w:tc>
      </w:tr>
      <w:tr>
        <w:trPr>
          <w:trHeight w:val="243"/>
        </w:trPr>
        <w:tc>
          <w:tcPr>
            <w:tcW w:w="1500" w:type="dxa"/>
            <w:vAlign w:val="bottom"/>
          </w:tcPr>
          <w:p>
            <w:pPr>
              <w:ind w:left="500"/>
              <w:spacing w:after="0"/>
              <w:rPr>
                <w:sz w:val="20"/>
                <w:szCs w:val="20"/>
                <w:color w:val="auto"/>
              </w:rPr>
            </w:pPr>
            <w:r>
              <w:rPr>
                <w:rFonts w:ascii="Arial" w:cs="Arial" w:eastAsia="Arial" w:hAnsi="Arial"/>
                <w:sz w:val="18"/>
                <w:szCs w:val="18"/>
                <w:color w:val="auto"/>
              </w:rPr>
              <w:t>Feb-08</w:t>
            </w:r>
          </w:p>
        </w:tc>
        <w:tc>
          <w:tcPr>
            <w:tcW w:w="1840" w:type="dxa"/>
            <w:vAlign w:val="bottom"/>
            <w:gridSpan w:val="3"/>
          </w:tcPr>
          <w:p>
            <w:pPr>
              <w:jc w:val="right"/>
              <w:ind w:right="120"/>
              <w:spacing w:after="0"/>
              <w:rPr>
                <w:sz w:val="20"/>
                <w:szCs w:val="20"/>
                <w:color w:val="auto"/>
              </w:rPr>
            </w:pPr>
            <w:r>
              <w:rPr>
                <w:rFonts w:ascii="Arial" w:cs="Arial" w:eastAsia="Arial" w:hAnsi="Arial"/>
                <w:sz w:val="18"/>
                <w:szCs w:val="18"/>
                <w:color w:val="auto"/>
              </w:rPr>
              <w:t>187,982</w:t>
            </w:r>
          </w:p>
        </w:tc>
        <w:tc>
          <w:tcPr>
            <w:tcW w:w="1480" w:type="dxa"/>
            <w:vAlign w:val="bottom"/>
          </w:tcPr>
          <w:p>
            <w:pPr>
              <w:jc w:val="right"/>
              <w:spacing w:after="0"/>
              <w:rPr>
                <w:sz w:val="20"/>
                <w:szCs w:val="20"/>
                <w:color w:val="auto"/>
              </w:rPr>
            </w:pPr>
            <w:r>
              <w:rPr>
                <w:rFonts w:ascii="Arial" w:cs="Arial" w:eastAsia="Arial" w:hAnsi="Arial"/>
                <w:sz w:val="18"/>
                <w:szCs w:val="18"/>
                <w:color w:val="auto"/>
              </w:rPr>
              <w:t>625,179</w:t>
            </w:r>
          </w:p>
        </w:tc>
        <w:tc>
          <w:tcPr>
            <w:tcW w:w="1700" w:type="dxa"/>
            <w:vAlign w:val="bottom"/>
            <w:gridSpan w:val="3"/>
          </w:tcPr>
          <w:p>
            <w:pPr>
              <w:jc w:val="right"/>
              <w:ind w:right="120"/>
              <w:spacing w:after="0"/>
              <w:rPr>
                <w:sz w:val="20"/>
                <w:szCs w:val="20"/>
                <w:color w:val="auto"/>
              </w:rPr>
            </w:pPr>
            <w:r>
              <w:rPr>
                <w:rFonts w:ascii="Arial" w:cs="Arial" w:eastAsia="Arial" w:hAnsi="Arial"/>
                <w:sz w:val="18"/>
                <w:szCs w:val="18"/>
                <w:color w:val="auto"/>
              </w:rPr>
              <w:t>2.886</w:t>
            </w:r>
          </w:p>
        </w:tc>
        <w:tc>
          <w:tcPr>
            <w:tcW w:w="1180" w:type="dxa"/>
            <w:vAlign w:val="bottom"/>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-1.6%</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10,398</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11,055</w:t>
            </w:r>
          </w:p>
        </w:tc>
      </w:tr>
      <w:tr>
        <w:trPr>
          <w:trHeight w:val="243"/>
        </w:trPr>
        <w:tc>
          <w:tcPr>
            <w:tcW w:w="1500" w:type="dxa"/>
            <w:vAlign w:val="bottom"/>
            <w:shd w:val="clear" w:color="auto" w:fill="CCFFCC"/>
          </w:tcPr>
          <w:p>
            <w:pPr>
              <w:ind w:left="480"/>
              <w:spacing w:after="0"/>
              <w:rPr>
                <w:sz w:val="20"/>
                <w:szCs w:val="20"/>
                <w:color w:val="auto"/>
              </w:rPr>
            </w:pPr>
            <w:r>
              <w:rPr>
                <w:rFonts w:ascii="Arial" w:cs="Arial" w:eastAsia="Arial" w:hAnsi="Arial"/>
                <w:sz w:val="18"/>
                <w:szCs w:val="18"/>
                <w:color w:val="auto"/>
              </w:rPr>
              <w:t>Mar-08</w:t>
            </w:r>
          </w:p>
        </w:tc>
        <w:tc>
          <w:tcPr>
            <w:tcW w:w="18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137,347</w:t>
            </w:r>
          </w:p>
        </w:tc>
        <w:tc>
          <w:tcPr>
            <w:tcW w:w="1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725,057</w:t>
            </w:r>
          </w:p>
        </w:tc>
        <w:tc>
          <w:tcPr>
            <w:tcW w:w="17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2.744</w:t>
            </w:r>
          </w:p>
        </w:tc>
        <w:tc>
          <w:tcPr>
            <w:tcW w:w="1180" w:type="dxa"/>
            <w:vAlign w:val="bottom"/>
            <w:shd w:val="clear" w:color="auto" w:fill="CCFFCC"/>
          </w:tcPr>
          <w:p>
            <w:pPr>
              <w:spacing w:after="0"/>
              <w:rPr>
                <w:sz w:val="21"/>
                <w:szCs w:val="21"/>
                <w:color w:val="auto"/>
              </w:rPr>
            </w:pPr>
          </w:p>
        </w:tc>
        <w:tc>
          <w:tcPr>
            <w:tcW w:w="4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w w:val="89"/>
              </w:rPr>
              <w:t>-4.9%</w:t>
            </w:r>
          </w:p>
        </w:tc>
        <w:tc>
          <w:tcPr>
            <w:tcW w:w="15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37,521</w:t>
            </w:r>
          </w:p>
        </w:tc>
        <w:tc>
          <w:tcPr>
            <w:tcW w:w="16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38,049</w:t>
            </w:r>
          </w:p>
        </w:tc>
      </w:tr>
      <w:tr>
        <w:trPr>
          <w:trHeight w:val="270"/>
        </w:trPr>
        <w:tc>
          <w:tcPr>
            <w:tcW w:w="1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60" w:type="dxa"/>
            <w:vAlign w:val="bottom"/>
            <w:gridSpan w:val="3"/>
          </w:tcPr>
          <w:p>
            <w:pPr>
              <w:ind w:left="880"/>
              <w:spacing w:after="0"/>
              <w:rPr>
                <w:sz w:val="20"/>
                <w:szCs w:val="20"/>
                <w:color w:val="auto"/>
              </w:rPr>
            </w:pPr>
            <w:r>
              <w:rPr>
                <w:rFonts w:ascii="Arial" w:cs="Arial" w:eastAsia="Arial" w:hAnsi="Arial"/>
                <w:sz w:val="18"/>
                <w:szCs w:val="18"/>
                <w:b w:val="1"/>
                <w:bCs w:val="1"/>
                <w:color w:val="auto"/>
              </w:rPr>
              <w:t>Translation 1Q08</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59,114</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57,249</w:t>
            </w:r>
          </w:p>
        </w:tc>
      </w:tr>
      <w:tr>
        <w:trPr>
          <w:trHeight w:val="20"/>
        </w:trPr>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consequence of all the above, quarterly ratios for BCP are extremely good at: 47.5% efficiency ratio explained by the lower operating costs reported while income increased, 0.8% PDL/Total loans reflecting excellent portfolio quality with a 313.2% coverage ratio, and an unusual ROAE of 57.0% which includes the translation gains.</w:t>
      </w:r>
    </w:p>
    <w:p>
      <w:pPr>
        <w:ind w:left="1134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3" w:right="239" w:bottom="861"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II.1 Interest Earning Assets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Market evolution leads to a change in interest earning assets mix with BCP’s investment portfolio driving growth.</w:t>
      </w:r>
    </w:p>
    <w:p>
      <w:pPr>
        <w:sectPr>
          <w:pgSz w:w="11900" w:h="16838" w:orient="portrait"/>
          <w:cols w:equalWidth="0" w:num="1">
            <w:col w:w="11420"/>
          </w:cols>
          <w:pgMar w:left="240" w:top="760" w:right="239" w:bottom="1440" w:gutter="0" w:footer="0" w:header="0"/>
        </w:sect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Earning Assets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US$ 000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BCRP and Other Banks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Interbank funds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Trading Securities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Available For Sale Securities</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Quarter</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r>
      <w:tr>
        <w:trPr>
          <w:trHeight w:val="264"/>
        </w:trPr>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1Q08</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4Q07</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1Q07</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1Q08/1Q07</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1Q08/4Q07</w:t>
            </w:r>
          </w:p>
        </w:tc>
        <w:tc>
          <w:tcPr>
            <w:tcW w:w="140" w:type="dxa"/>
            <w:vAlign w:val="bottom"/>
          </w:tcPr>
          <w:p>
            <w:pPr>
              <w:spacing w:after="0"/>
              <w:rPr>
                <w:sz w:val="22"/>
                <w:szCs w:val="22"/>
                <w:color w:val="auto"/>
              </w:rPr>
            </w:pPr>
          </w:p>
        </w:tc>
      </w:tr>
      <w:tr>
        <w:trPr>
          <w:trHeight w:val="237"/>
        </w:trPr>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2,077,660</w:t>
            </w:r>
          </w:p>
        </w:tc>
        <w:tc>
          <w:tcPr>
            <w:tcW w:w="1140" w:type="dxa"/>
            <w:vAlign w:val="bottom"/>
          </w:tcPr>
          <w:p>
            <w:pPr>
              <w:jc w:val="right"/>
              <w:spacing w:after="0"/>
              <w:rPr>
                <w:sz w:val="20"/>
                <w:szCs w:val="20"/>
                <w:color w:val="auto"/>
              </w:rPr>
            </w:pPr>
            <w:r>
              <w:rPr>
                <w:rFonts w:ascii="Arial" w:cs="Arial" w:eastAsia="Arial" w:hAnsi="Arial"/>
                <w:sz w:val="18"/>
                <w:szCs w:val="18"/>
                <w:color w:val="auto"/>
              </w:rPr>
              <w:t>2,255,572</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1,828,663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1,469</w:t>
            </w:r>
          </w:p>
        </w:tc>
        <w:tc>
          <w:tcPr>
            <w:tcW w:w="1140" w:type="dxa"/>
            <w:vAlign w:val="bottom"/>
          </w:tcPr>
          <w:p>
            <w:pPr>
              <w:jc w:val="right"/>
              <w:spacing w:after="0"/>
              <w:rPr>
                <w:sz w:val="20"/>
                <w:szCs w:val="20"/>
                <w:color w:val="auto"/>
              </w:rPr>
            </w:pPr>
            <w:r>
              <w:rPr>
                <w:rFonts w:ascii="Arial" w:cs="Arial" w:eastAsia="Arial" w:hAnsi="Arial"/>
                <w:sz w:val="18"/>
                <w:szCs w:val="18"/>
                <w:color w:val="auto"/>
              </w:rPr>
              <w:t>5,000</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4,542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-67.7%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-70.6%</w:t>
            </w:r>
          </w:p>
        </w:tc>
      </w:tr>
      <w:tr>
        <w:trPr>
          <w:trHeight w:val="243"/>
        </w:trPr>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38,538</w:t>
            </w:r>
          </w:p>
        </w:tc>
        <w:tc>
          <w:tcPr>
            <w:tcW w:w="1140" w:type="dxa"/>
            <w:vAlign w:val="bottom"/>
          </w:tcPr>
          <w:p>
            <w:pPr>
              <w:jc w:val="right"/>
              <w:spacing w:after="0"/>
              <w:rPr>
                <w:sz w:val="20"/>
                <w:szCs w:val="20"/>
                <w:color w:val="auto"/>
              </w:rPr>
            </w:pPr>
            <w:r>
              <w:rPr>
                <w:rFonts w:ascii="Arial" w:cs="Arial" w:eastAsia="Arial" w:hAnsi="Arial"/>
                <w:sz w:val="18"/>
                <w:szCs w:val="18"/>
                <w:color w:val="auto"/>
              </w:rPr>
              <w:t>102,316</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54,505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-29.3%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-62.3%</w:t>
            </w:r>
          </w:p>
        </w:tc>
      </w:tr>
      <w:tr>
        <w:trPr>
          <w:trHeight w:val="241"/>
        </w:trPr>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3,449,781</w:t>
            </w:r>
          </w:p>
        </w:tc>
        <w:tc>
          <w:tcPr>
            <w:tcW w:w="1140" w:type="dxa"/>
            <w:vAlign w:val="bottom"/>
          </w:tcPr>
          <w:p>
            <w:pPr>
              <w:jc w:val="right"/>
              <w:spacing w:after="0"/>
              <w:rPr>
                <w:sz w:val="20"/>
                <w:szCs w:val="20"/>
                <w:color w:val="auto"/>
              </w:rPr>
            </w:pPr>
            <w:r>
              <w:rPr>
                <w:rFonts w:ascii="Arial" w:cs="Arial" w:eastAsia="Arial" w:hAnsi="Arial"/>
                <w:sz w:val="18"/>
                <w:szCs w:val="18"/>
                <w:color w:val="auto"/>
              </w:rPr>
              <w:t>2,364,084</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1,641,157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110.2%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-615315</wp:posOffset>
            </wp:positionV>
            <wp:extent cx="72466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-306705</wp:posOffset>
            </wp:positionV>
            <wp:extent cx="72466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320" w:space="720"/>
            <w:col w:w="6380"/>
          </w:cols>
          <w:pgMar w:left="240" w:top="760" w:right="2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48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Current Loans, net</w:t>
            </w:r>
          </w:p>
        </w:tc>
        <w:tc>
          <w:tcPr>
            <w:tcW w:w="22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8,767,674</w:t>
            </w:r>
          </w:p>
        </w:tc>
        <w:tc>
          <w:tcPr>
            <w:tcW w:w="10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8,164,334</w:t>
            </w:r>
          </w:p>
        </w:tc>
        <w:tc>
          <w:tcPr>
            <w:tcW w:w="120" w:type="dxa"/>
            <w:vAlign w:val="bottom"/>
            <w:tcBorders>
              <w:bottom w:val="single" w:sz="8" w:color="CCFFCC"/>
            </w:tcBorders>
            <w:shd w:val="clear" w:color="auto" w:fill="CCFFCC"/>
          </w:tcPr>
          <w:p>
            <w:pPr>
              <w:spacing w:after="0"/>
              <w:rPr>
                <w:sz w:val="20"/>
                <w:szCs w:val="20"/>
                <w:color w:val="auto"/>
              </w:rPr>
            </w:pP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6,109,064</w:t>
            </w:r>
          </w:p>
        </w:tc>
        <w:tc>
          <w:tcPr>
            <w:tcW w:w="1320" w:type="dxa"/>
            <w:vAlign w:val="bottom"/>
            <w:tcBorders>
              <w:bottom w:val="single" w:sz="8" w:color="CCFFCC"/>
            </w:tcBorders>
            <w:gridSpan w:val="2"/>
            <w:shd w:val="clear" w:color="auto" w:fill="CCFFCC"/>
          </w:tcPr>
          <w:p>
            <w:pPr>
              <w:ind w:left="820"/>
              <w:spacing w:after="0"/>
              <w:rPr>
                <w:sz w:val="20"/>
                <w:szCs w:val="20"/>
                <w:color w:val="auto"/>
              </w:rPr>
            </w:pPr>
            <w:r>
              <w:rPr>
                <w:rFonts w:ascii="Arial" w:cs="Arial" w:eastAsia="Arial" w:hAnsi="Arial"/>
                <w:sz w:val="18"/>
                <w:szCs w:val="18"/>
                <w:color w:val="auto"/>
                <w:w w:val="93"/>
              </w:rPr>
              <w:t>43.5%</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7.4%</w:t>
            </w:r>
          </w:p>
        </w:tc>
      </w:tr>
      <w:tr>
        <w:trPr>
          <w:trHeight w:val="20"/>
        </w:trPr>
        <w:tc>
          <w:tcPr>
            <w:tcW w:w="48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4820" w:type="dxa"/>
            <w:vAlign w:val="bottom"/>
          </w:tcPr>
          <w:p>
            <w:pPr>
              <w:spacing w:after="0"/>
              <w:rPr>
                <w:sz w:val="20"/>
                <w:szCs w:val="20"/>
                <w:color w:val="auto"/>
              </w:rPr>
            </w:pPr>
            <w:r>
              <w:rPr>
                <w:rFonts w:ascii="Arial" w:cs="Arial" w:eastAsia="Arial" w:hAnsi="Arial"/>
                <w:sz w:val="18"/>
                <w:szCs w:val="18"/>
                <w:b w:val="1"/>
                <w:bCs w:val="1"/>
                <w:color w:val="auto"/>
              </w:rPr>
              <w:t>Total interest earning assets</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14,335,123</w:t>
            </w:r>
          </w:p>
        </w:tc>
        <w:tc>
          <w:tcPr>
            <w:tcW w:w="10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12,891,306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9,637,930</w:t>
            </w:r>
          </w:p>
        </w:tc>
        <w:tc>
          <w:tcPr>
            <w:tcW w:w="1320" w:type="dxa"/>
            <w:vAlign w:val="bottom"/>
            <w:gridSpan w:val="2"/>
          </w:tcPr>
          <w:p>
            <w:pPr>
              <w:ind w:left="820"/>
              <w:spacing w:after="0"/>
              <w:rPr>
                <w:sz w:val="20"/>
                <w:szCs w:val="20"/>
                <w:color w:val="auto"/>
              </w:rPr>
            </w:pPr>
            <w:r>
              <w:rPr>
                <w:rFonts w:ascii="Arial" w:cs="Arial" w:eastAsia="Arial" w:hAnsi="Arial"/>
                <w:sz w:val="18"/>
                <w:szCs w:val="18"/>
                <w:b w:val="1"/>
                <w:bCs w:val="1"/>
                <w:color w:val="auto"/>
                <w:w w:val="93"/>
              </w:rPr>
              <w:t>48.7%</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11.2%</w:t>
            </w: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Growth of IEA this first quarter of 2008 reflects an unexpected market evolution resulting from the combination of the BCR monetary policy to control inflation through an increase of the Soles reference rates, the weakness of the US Dollar, the speculative strong inflow of funds into the Peruvian financial system to benefit from such market opportunity and the intervention of the Central Bank in the FX market to control the fall of the US Dollar exchange rate. The result of these forces result in large soles deposits in the system which excess after loan growth was channeled to CB CD’s which provide a very attractive after tax yield (given their tax shelter). Thus, BCP experienced a strong asset expansion of 11.2% as a result of this evolution, but also to a large extent as a result of the revaluation in US Dollar reporting of its already large Soles denominated investment portfolio. Thus, the significant increase of its investment portfolio of over US$1.1 billion, while its net loan growth for the quarter reached about US$600 million resulted in a charge of its interest earnings asset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165735</wp:posOffset>
            </wp:positionV>
            <wp:extent cx="4330700" cy="14751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30700"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Loan portfolio continues its expanding trend reaching total net loans of US$ 8,768 million as of the end of the March 2008, revealing a 7.4% QoQ and 43.5% YoY growth. Measured by average daily balances for each quarter, which give a better reflection of reality, similar growth rates are reported reaching 9.8% QoQ and 45.2% YoY. This growth numbers, however, do conceal the revaluation impact on the local currency portfolio, which represents a significant 32% of total loan portfolio. We have calculated an approximate “clean” growth number to estimate the potential distortion generated by such currency fluctuations and reached an approximate 8% QoQ growth of average daily balances for the total portfolio, still a robust quarterly growth.</w:t>
      </w:r>
    </w:p>
    <w:p>
      <w:pPr>
        <w:spacing w:after="0" w:line="2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What is however an unexpected evolution, is the continuation of a very strong investment activity in the corporate market which has turned this sector in the fastest growing for the second consecutive quarter, reaching 12.2% QoQ growth (measuring average balances). The growth within the corporate sector reveals some interesting features: US Dollar loans grew stronger than Soles denominated loans which actually stagnated during this first quarter, a relatively logical evolution given the currency and interest rates development. Further, longer term loans grew significantly more than short term loans, giving again a clear indication of the investment activity in the back of this growth. Though this is certainly good news, given the large volumes involved (US$ 3.2 billion portfolio) in the corporate sector, it impacts our loan mix contrary to our expectations and designed strategy to grow the retail segment more, and thus our strategy to protect our NIM. On the other hand, we are certainly reinforcing our dominant position in this market which allows BCP to capture and/or participate in almost every important investment and has resulted in a further consolidation of its market dominance despite the presence of aggressive international players.</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2567305</wp:posOffset>
            </wp:positionH>
            <wp:positionV relativeFrom="page">
              <wp:posOffset>663575</wp:posOffset>
            </wp:positionV>
            <wp:extent cx="2435225" cy="15862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435225"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Middle Market portfolio (US$ 1,8 billion), though last in the growth ranking after the corporate and retail sectors, still reached good quarterly growth numbers at 7.1% QoQ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151765</wp:posOffset>
            </wp:positionV>
            <wp:extent cx="2383790" cy="15862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8379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Though the corporate sector outperformed all other again this 1Q08, the retail sector continues being the strong performer on a consistent way. Thus, its portfolio reached US$ 3.1 billion in average monthly balances, reporting consistently outstanding quarterly growth of 11.1% this quarter vs. 12.9% the previous quarter. Star performers within the retail segment continue being Consumer loans and SME lending, which reported 14.4% and 14.2% QoQ growth respectively, while Credit Card loans increased by 11.9% QoQ. Mortgages reported the lowest growth rates within the retail segment, but were still extremely good at 7% QoQ growth.</w:t>
      </w:r>
    </w:p>
    <w:p>
      <w:pPr>
        <w:spacing w:after="0" w:line="242"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1478280</wp:posOffset>
            </wp:positionH>
            <wp:positionV relativeFrom="page">
              <wp:posOffset>663575</wp:posOffset>
            </wp:positionV>
            <wp:extent cx="4613910" cy="3576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613910" cy="357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Given the distortion generated by the currency fluctuations and the fact that BCP’s loan portfolio is in both currencies but reported in US Dollars, it is helpful to look at the evolution of the different loan portfolios by currency to see the real growth in each portfolio. The following chart intends to shed some light over such loan growth analysis…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89"/>
              </w:rPr>
              <w:t>Domestic Currency Loans</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90"/>
              </w:rPr>
              <w:t>Foreign Currency Loans</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2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20" w:type="dxa"/>
            <w:vAlign w:val="bottom"/>
            <w:gridSpan w:val="6"/>
          </w:tcPr>
          <w:p>
            <w:pPr>
              <w:jc w:val="center"/>
              <w:ind w:right="140"/>
              <w:spacing w:after="0"/>
              <w:rPr>
                <w:sz w:val="20"/>
                <w:szCs w:val="20"/>
                <w:color w:val="auto"/>
              </w:rPr>
            </w:pPr>
            <w:r>
              <w:rPr>
                <w:rFonts w:ascii="Arial" w:cs="Arial" w:eastAsia="Arial" w:hAnsi="Arial"/>
                <w:sz w:val="18"/>
                <w:szCs w:val="18"/>
                <w:b w:val="1"/>
                <w:bCs w:val="1"/>
                <w:i w:val="1"/>
                <w:iCs w:val="1"/>
                <w:color w:val="auto"/>
                <w:w w:val="86"/>
              </w:rPr>
              <w:t>(Nuevos Soles million)</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gridSpan w:val="4"/>
          </w:tcPr>
          <w:p>
            <w:pPr>
              <w:jc w:val="center"/>
              <w:ind w:right="120"/>
              <w:spacing w:after="0"/>
              <w:rPr>
                <w:sz w:val="20"/>
                <w:szCs w:val="20"/>
                <w:color w:val="auto"/>
              </w:rPr>
            </w:pPr>
            <w:r>
              <w:rPr>
                <w:rFonts w:ascii="Arial" w:cs="Arial" w:eastAsia="Arial" w:hAnsi="Arial"/>
                <w:sz w:val="18"/>
                <w:szCs w:val="18"/>
                <w:b w:val="1"/>
                <w:bCs w:val="1"/>
                <w:i w:val="1"/>
                <w:iCs w:val="1"/>
                <w:color w:val="auto"/>
                <w:w w:val="90"/>
              </w:rPr>
              <w:t>(US$ million)</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0"/>
        </w:trPr>
        <w:tc>
          <w:tcPr>
            <w:tcW w:w="2080" w:type="dxa"/>
            <w:vAlign w:val="bottom"/>
          </w:tcPr>
          <w:p>
            <w:pPr>
              <w:spacing w:after="0"/>
              <w:rPr>
                <w:sz w:val="23"/>
                <w:szCs w:val="23"/>
                <w:color w:val="auto"/>
              </w:rPr>
            </w:pPr>
          </w:p>
        </w:tc>
        <w:tc>
          <w:tcPr>
            <w:tcW w:w="800" w:type="dxa"/>
            <w:vAlign w:val="bottom"/>
            <w:tcBorders>
              <w:bottom w:val="single" w:sz="8" w:color="auto"/>
            </w:tcBorders>
          </w:tcPr>
          <w:p>
            <w:pPr>
              <w:jc w:val="right"/>
              <w:ind w:right="126"/>
              <w:spacing w:after="0"/>
              <w:rPr>
                <w:sz w:val="20"/>
                <w:szCs w:val="20"/>
                <w:color w:val="auto"/>
              </w:rPr>
            </w:pPr>
            <w:r>
              <w:rPr>
                <w:rFonts w:ascii="Arial" w:cs="Arial" w:eastAsia="Arial" w:hAnsi="Arial"/>
                <w:sz w:val="18"/>
                <w:szCs w:val="18"/>
                <w:color w:val="auto"/>
              </w:rPr>
              <w:t>1Q07</w:t>
            </w:r>
          </w:p>
        </w:tc>
        <w:tc>
          <w:tcPr>
            <w:tcW w:w="120" w:type="dxa"/>
            <w:vAlign w:val="bottom"/>
          </w:tcPr>
          <w:p>
            <w:pPr>
              <w:spacing w:after="0"/>
              <w:rPr>
                <w:sz w:val="23"/>
                <w:szCs w:val="23"/>
                <w:color w:val="auto"/>
              </w:rPr>
            </w:pPr>
          </w:p>
        </w:tc>
        <w:tc>
          <w:tcPr>
            <w:tcW w:w="820" w:type="dxa"/>
            <w:vAlign w:val="bottom"/>
            <w:tcBorders>
              <w:bottom w:val="single" w:sz="8" w:color="auto"/>
            </w:tcBorders>
          </w:tcPr>
          <w:p>
            <w:pPr>
              <w:jc w:val="right"/>
              <w:ind w:right="123"/>
              <w:spacing w:after="0"/>
              <w:rPr>
                <w:sz w:val="20"/>
                <w:szCs w:val="20"/>
                <w:color w:val="auto"/>
              </w:rPr>
            </w:pPr>
            <w:r>
              <w:rPr>
                <w:rFonts w:ascii="Arial" w:cs="Arial" w:eastAsia="Arial" w:hAnsi="Arial"/>
                <w:sz w:val="18"/>
                <w:szCs w:val="18"/>
                <w:color w:val="auto"/>
              </w:rPr>
              <w:t>4Q07</w:t>
            </w:r>
          </w:p>
        </w:tc>
        <w:tc>
          <w:tcPr>
            <w:tcW w:w="120" w:type="dxa"/>
            <w:vAlign w:val="bottom"/>
          </w:tcPr>
          <w:p>
            <w:pPr>
              <w:spacing w:after="0"/>
              <w:rPr>
                <w:sz w:val="23"/>
                <w:szCs w:val="2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1Q08</w:t>
            </w:r>
          </w:p>
        </w:tc>
        <w:tc>
          <w:tcPr>
            <w:tcW w:w="120" w:type="dxa"/>
            <w:vAlign w:val="bottom"/>
          </w:tcPr>
          <w:p>
            <w:pPr>
              <w:spacing w:after="0"/>
              <w:rPr>
                <w:sz w:val="23"/>
                <w:szCs w:val="23"/>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YoY</w:t>
            </w:r>
          </w:p>
        </w:tc>
        <w:tc>
          <w:tcPr>
            <w:tcW w:w="140" w:type="dxa"/>
            <w:vAlign w:val="bottom"/>
          </w:tcPr>
          <w:p>
            <w:pPr>
              <w:spacing w:after="0"/>
              <w:rPr>
                <w:sz w:val="23"/>
                <w:szCs w:val="23"/>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QoQ</w:t>
            </w:r>
          </w:p>
        </w:tc>
        <w:tc>
          <w:tcPr>
            <w:tcW w:w="340" w:type="dxa"/>
            <w:vAlign w:val="bottom"/>
          </w:tcPr>
          <w:p>
            <w:pPr>
              <w:spacing w:after="0"/>
              <w:rPr>
                <w:sz w:val="23"/>
                <w:szCs w:val="23"/>
                <w:color w:val="auto"/>
              </w:rPr>
            </w:pPr>
          </w:p>
        </w:tc>
        <w:tc>
          <w:tcPr>
            <w:tcW w:w="780" w:type="dxa"/>
            <w:vAlign w:val="bottom"/>
            <w:tcBorders>
              <w:bottom w:val="single" w:sz="8" w:color="auto"/>
            </w:tcBorders>
          </w:tcPr>
          <w:p>
            <w:pPr>
              <w:jc w:val="right"/>
              <w:ind w:right="126"/>
              <w:spacing w:after="0"/>
              <w:rPr>
                <w:sz w:val="20"/>
                <w:szCs w:val="20"/>
                <w:color w:val="auto"/>
              </w:rPr>
            </w:pPr>
            <w:r>
              <w:rPr>
                <w:rFonts w:ascii="Arial" w:cs="Arial" w:eastAsia="Arial" w:hAnsi="Arial"/>
                <w:sz w:val="18"/>
                <w:szCs w:val="18"/>
                <w:color w:val="auto"/>
              </w:rPr>
              <w:t>1Q07</w:t>
            </w:r>
          </w:p>
        </w:tc>
        <w:tc>
          <w:tcPr>
            <w:tcW w:w="100" w:type="dxa"/>
            <w:vAlign w:val="bottom"/>
          </w:tcPr>
          <w:p>
            <w:pPr>
              <w:spacing w:after="0"/>
              <w:rPr>
                <w:sz w:val="23"/>
                <w:szCs w:val="23"/>
                <w:color w:val="auto"/>
              </w:rPr>
            </w:pPr>
          </w:p>
        </w:tc>
        <w:tc>
          <w:tcPr>
            <w:tcW w:w="800" w:type="dxa"/>
            <w:vAlign w:val="bottom"/>
            <w:tcBorders>
              <w:bottom w:val="single" w:sz="8" w:color="auto"/>
            </w:tcBorders>
          </w:tcPr>
          <w:p>
            <w:pPr>
              <w:jc w:val="right"/>
              <w:ind w:right="124"/>
              <w:spacing w:after="0"/>
              <w:rPr>
                <w:sz w:val="20"/>
                <w:szCs w:val="20"/>
                <w:color w:val="auto"/>
              </w:rPr>
            </w:pPr>
            <w:r>
              <w:rPr>
                <w:rFonts w:ascii="Arial" w:cs="Arial" w:eastAsia="Arial" w:hAnsi="Arial"/>
                <w:sz w:val="18"/>
                <w:szCs w:val="18"/>
                <w:color w:val="auto"/>
              </w:rPr>
              <w:t>4Q07</w:t>
            </w:r>
          </w:p>
        </w:tc>
        <w:tc>
          <w:tcPr>
            <w:tcW w:w="100" w:type="dxa"/>
            <w:vAlign w:val="bottom"/>
          </w:tcPr>
          <w:p>
            <w:pPr>
              <w:spacing w:after="0"/>
              <w:rPr>
                <w:sz w:val="23"/>
                <w:szCs w:val="2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1Q08</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YoY</w:t>
            </w:r>
          </w:p>
        </w:tc>
        <w:tc>
          <w:tcPr>
            <w:tcW w:w="120" w:type="dxa"/>
            <w:vAlign w:val="bottom"/>
          </w:tcPr>
          <w:p>
            <w:pPr>
              <w:spacing w:after="0"/>
              <w:rPr>
                <w:sz w:val="23"/>
                <w:szCs w:val="23"/>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QoQ</w:t>
            </w:r>
          </w:p>
        </w:tc>
        <w:tc>
          <w:tcPr>
            <w:tcW w:w="120" w:type="dxa"/>
            <w:vAlign w:val="bottom"/>
          </w:tcPr>
          <w:p>
            <w:pPr>
              <w:spacing w:after="0"/>
              <w:rPr>
                <w:sz w:val="23"/>
                <w:szCs w:val="23"/>
                <w:color w:val="auto"/>
              </w:rPr>
            </w:pPr>
          </w:p>
        </w:tc>
      </w:tr>
      <w:tr>
        <w:trPr>
          <w:trHeight w:val="237"/>
        </w:trPr>
        <w:tc>
          <w:tcPr>
            <w:tcW w:w="2080" w:type="dxa"/>
            <w:vAlign w:val="bottom"/>
            <w:shd w:val="clear" w:color="auto" w:fill="CCFFCC"/>
          </w:tcPr>
          <w:p>
            <w:pPr>
              <w:spacing w:after="0"/>
              <w:rPr>
                <w:sz w:val="20"/>
                <w:szCs w:val="20"/>
                <w:color w:val="auto"/>
              </w:rPr>
            </w:pPr>
            <w:r>
              <w:rPr>
                <w:rFonts w:ascii="Arial" w:cs="Arial" w:eastAsia="Arial" w:hAnsi="Arial"/>
                <w:sz w:val="18"/>
                <w:szCs w:val="18"/>
                <w:color w:val="auto"/>
              </w:rPr>
              <w:t>Corporate</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2,059.2</w:t>
            </w:r>
          </w:p>
        </w:tc>
        <w:tc>
          <w:tcPr>
            <w:tcW w:w="120" w:type="dxa"/>
            <w:vAlign w:val="bottom"/>
            <w:shd w:val="clear" w:color="auto" w:fill="CCFFCC"/>
          </w:tcPr>
          <w:p>
            <w:pPr>
              <w:spacing w:after="0"/>
              <w:rPr>
                <w:sz w:val="20"/>
                <w:szCs w:val="20"/>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2,506.5</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2,783.7</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35.2%</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11.1%</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1,383.4</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2,002.7</w:t>
            </w: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2,208.8</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59.7%</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10.3%</w:t>
            </w:r>
          </w:p>
        </w:tc>
      </w:tr>
      <w:tr>
        <w:trPr>
          <w:trHeight w:val="243"/>
        </w:trPr>
        <w:tc>
          <w:tcPr>
            <w:tcW w:w="2080" w:type="dxa"/>
            <w:vAlign w:val="bottom"/>
          </w:tcPr>
          <w:p>
            <w:pPr>
              <w:spacing w:after="0"/>
              <w:rPr>
                <w:sz w:val="20"/>
                <w:szCs w:val="20"/>
                <w:color w:val="auto"/>
              </w:rPr>
            </w:pPr>
            <w:r>
              <w:rPr>
                <w:rFonts w:ascii="Arial" w:cs="Arial" w:eastAsia="Arial" w:hAnsi="Arial"/>
                <w:sz w:val="18"/>
                <w:szCs w:val="18"/>
                <w:color w:val="auto"/>
              </w:rPr>
              <w:t>Middle Market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694.4</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861.4</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946.6</w:t>
            </w: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36.3%</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9.9%</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1,158.4</w:t>
            </w:r>
          </w:p>
        </w:tc>
        <w:tc>
          <w:tcPr>
            <w:tcW w:w="800" w:type="dxa"/>
            <w:vAlign w:val="bottom"/>
          </w:tcPr>
          <w:p>
            <w:pPr>
              <w:jc w:val="right"/>
              <w:spacing w:after="0"/>
              <w:rPr>
                <w:sz w:val="20"/>
                <w:szCs w:val="20"/>
                <w:color w:val="auto"/>
              </w:rPr>
            </w:pPr>
            <w:r>
              <w:rPr>
                <w:rFonts w:ascii="Arial" w:cs="Arial" w:eastAsia="Arial" w:hAnsi="Arial"/>
                <w:sz w:val="14"/>
                <w:szCs w:val="14"/>
                <w:color w:val="auto"/>
              </w:rPr>
              <w:t>1,439.5</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1,518.1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31.0%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5.5%</w:t>
            </w:r>
          </w:p>
        </w:tc>
      </w:tr>
      <w:tr>
        <w:trPr>
          <w:trHeight w:val="243"/>
        </w:trPr>
        <w:tc>
          <w:tcPr>
            <w:tcW w:w="2080" w:type="dxa"/>
            <w:vAlign w:val="bottom"/>
            <w:shd w:val="clear" w:color="auto" w:fill="CCFFCC"/>
          </w:tcPr>
          <w:p>
            <w:pPr>
              <w:spacing w:after="0"/>
              <w:rPr>
                <w:sz w:val="20"/>
                <w:szCs w:val="20"/>
                <w:color w:val="auto"/>
              </w:rPr>
            </w:pPr>
            <w:r>
              <w:rPr>
                <w:rFonts w:ascii="Arial" w:cs="Arial" w:eastAsia="Arial" w:hAnsi="Arial"/>
                <w:sz w:val="18"/>
                <w:szCs w:val="18"/>
                <w:color w:val="auto"/>
              </w:rPr>
              <w:t>Retail</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2,218.7</w:t>
            </w:r>
          </w:p>
        </w:tc>
        <w:tc>
          <w:tcPr>
            <w:tcW w:w="120" w:type="dxa"/>
            <w:vAlign w:val="bottom"/>
            <w:shd w:val="clear" w:color="auto" w:fill="CCFFCC"/>
          </w:tcPr>
          <w:p>
            <w:pPr>
              <w:spacing w:after="0"/>
              <w:rPr>
                <w:sz w:val="21"/>
                <w:szCs w:val="21"/>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3,555.6</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4,015.6</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81.0%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12.9%</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1,310.3</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1,610.6</w:t>
            </w: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1,697.7</w:t>
            </w: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29.6%</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5.4%</w:t>
            </w:r>
          </w:p>
        </w:tc>
      </w:tr>
      <w:tr>
        <w:trPr>
          <w:trHeight w:val="243"/>
        </w:trPr>
        <w:tc>
          <w:tcPr>
            <w:tcW w:w="2080" w:type="dxa"/>
            <w:vAlign w:val="bottom"/>
          </w:tcPr>
          <w:p>
            <w:pPr>
              <w:ind w:left="180"/>
              <w:spacing w:after="0"/>
              <w:rPr>
                <w:sz w:val="20"/>
                <w:szCs w:val="20"/>
                <w:color w:val="auto"/>
              </w:rPr>
            </w:pPr>
            <w:r>
              <w:rPr>
                <w:rFonts w:ascii="Arial" w:cs="Arial" w:eastAsia="Arial" w:hAnsi="Arial"/>
                <w:sz w:val="18"/>
                <w:szCs w:val="18"/>
                <w:i w:val="1"/>
                <w:iCs w:val="1"/>
                <w:color w:val="auto"/>
              </w:rPr>
              <w:t>SME</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935.0</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1,270.9</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1,393.8</w:t>
            </w: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49.1%</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9.7%</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304.9</w:t>
            </w:r>
          </w:p>
        </w:tc>
        <w:tc>
          <w:tcPr>
            <w:tcW w:w="800" w:type="dxa"/>
            <w:vAlign w:val="bottom"/>
          </w:tcPr>
          <w:p>
            <w:pPr>
              <w:jc w:val="right"/>
              <w:spacing w:after="0"/>
              <w:rPr>
                <w:sz w:val="20"/>
                <w:szCs w:val="20"/>
                <w:color w:val="auto"/>
              </w:rPr>
            </w:pPr>
            <w:r>
              <w:rPr>
                <w:rFonts w:ascii="Arial" w:cs="Arial" w:eastAsia="Arial" w:hAnsi="Arial"/>
                <w:sz w:val="14"/>
                <w:szCs w:val="14"/>
                <w:color w:val="auto"/>
              </w:rPr>
              <w:t>476.7</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color w:val="auto"/>
              </w:rPr>
              <w:t>539.2</w:t>
            </w:r>
          </w:p>
        </w:tc>
        <w:tc>
          <w:tcPr>
            <w:tcW w:w="12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76.9%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13.1%</w:t>
            </w:r>
          </w:p>
        </w:tc>
      </w:tr>
      <w:tr>
        <w:trPr>
          <w:trHeight w:val="243"/>
        </w:trPr>
        <w:tc>
          <w:tcPr>
            <w:tcW w:w="2080" w:type="dxa"/>
            <w:vAlign w:val="bottom"/>
            <w:shd w:val="clear" w:color="auto" w:fill="CCFFCC"/>
          </w:tcPr>
          <w:p>
            <w:pPr>
              <w:ind w:left="180"/>
              <w:spacing w:after="0"/>
              <w:rPr>
                <w:sz w:val="20"/>
                <w:szCs w:val="20"/>
                <w:color w:val="auto"/>
              </w:rPr>
            </w:pPr>
            <w:r>
              <w:rPr>
                <w:rFonts w:ascii="Arial" w:cs="Arial" w:eastAsia="Arial" w:hAnsi="Arial"/>
                <w:sz w:val="18"/>
                <w:szCs w:val="18"/>
                <w:i w:val="1"/>
                <w:iCs w:val="1"/>
                <w:color w:val="auto"/>
              </w:rPr>
              <w:t>Mortgages</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320.5</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735.5</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891.9</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178.3%</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21.3%</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792.7</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866.5</w:t>
            </w: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876.7</w:t>
            </w:r>
          </w:p>
        </w:tc>
        <w:tc>
          <w:tcPr>
            <w:tcW w:w="12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10.6%</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1.2%</w:t>
            </w:r>
          </w:p>
        </w:tc>
      </w:tr>
      <w:tr>
        <w:trPr>
          <w:trHeight w:val="243"/>
        </w:trPr>
        <w:tc>
          <w:tcPr>
            <w:tcW w:w="2080" w:type="dxa"/>
            <w:vAlign w:val="bottom"/>
          </w:tcPr>
          <w:p>
            <w:pPr>
              <w:ind w:left="180"/>
              <w:spacing w:after="0"/>
              <w:rPr>
                <w:sz w:val="20"/>
                <w:szCs w:val="20"/>
                <w:color w:val="auto"/>
              </w:rPr>
            </w:pPr>
            <w:r>
              <w:rPr>
                <w:rFonts w:ascii="Arial" w:cs="Arial" w:eastAsia="Arial" w:hAnsi="Arial"/>
                <w:sz w:val="18"/>
                <w:szCs w:val="18"/>
                <w:i w:val="1"/>
                <w:iCs w:val="1"/>
                <w:color w:val="auto"/>
              </w:rPr>
              <w:t>Consumer</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310.4</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722.3</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836.7</w:t>
            </w: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169.5%</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15.8%</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169.9</w:t>
            </w:r>
          </w:p>
        </w:tc>
        <w:tc>
          <w:tcPr>
            <w:tcW w:w="800" w:type="dxa"/>
            <w:vAlign w:val="bottom"/>
          </w:tcPr>
          <w:p>
            <w:pPr>
              <w:jc w:val="right"/>
              <w:spacing w:after="0"/>
              <w:rPr>
                <w:sz w:val="20"/>
                <w:szCs w:val="20"/>
                <w:color w:val="auto"/>
              </w:rPr>
            </w:pPr>
            <w:r>
              <w:rPr>
                <w:rFonts w:ascii="Arial" w:cs="Arial" w:eastAsia="Arial" w:hAnsi="Arial"/>
                <w:sz w:val="14"/>
                <w:szCs w:val="14"/>
                <w:color w:val="auto"/>
              </w:rPr>
              <w:t>212.6</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color w:val="auto"/>
              </w:rPr>
              <w:t>225.1</w:t>
            </w:r>
          </w:p>
        </w:tc>
        <w:tc>
          <w:tcPr>
            <w:tcW w:w="12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32.5%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5.9%</w:t>
            </w:r>
          </w:p>
        </w:tc>
      </w:tr>
      <w:tr>
        <w:trPr>
          <w:trHeight w:val="275"/>
        </w:trPr>
        <w:tc>
          <w:tcPr>
            <w:tcW w:w="20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i w:val="1"/>
                <w:iCs w:val="1"/>
                <w:color w:val="auto"/>
              </w:rPr>
              <w:t>Credit Cards</w:t>
            </w:r>
          </w:p>
        </w:tc>
        <w:tc>
          <w:tcPr>
            <w:tcW w:w="9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652.8</w:t>
            </w:r>
          </w:p>
        </w:tc>
        <w:tc>
          <w:tcPr>
            <w:tcW w:w="9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826.9</w:t>
            </w:r>
          </w:p>
        </w:tc>
        <w:tc>
          <w:tcPr>
            <w:tcW w:w="9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893.3</w:t>
            </w:r>
          </w:p>
        </w:tc>
        <w:tc>
          <w:tcPr>
            <w:tcW w:w="960" w:type="dxa"/>
            <w:vAlign w:val="bottom"/>
            <w:tcBorders>
              <w:bottom w:val="single" w:sz="8" w:color="CCFFCC"/>
            </w:tcBorders>
            <w:gridSpan w:val="2"/>
            <w:shd w:val="clear" w:color="auto" w:fill="CCFFCC"/>
          </w:tcPr>
          <w:p>
            <w:pPr>
              <w:jc w:val="right"/>
              <w:ind w:right="20"/>
              <w:spacing w:after="0" w:line="243" w:lineRule="exact"/>
              <w:rPr>
                <w:sz w:val="20"/>
                <w:szCs w:val="20"/>
                <w:color w:val="auto"/>
              </w:rPr>
            </w:pPr>
            <w:r>
              <w:rPr>
                <w:rFonts w:ascii="Arial" w:cs="Arial" w:eastAsia="Arial" w:hAnsi="Arial"/>
                <w:sz w:val="14"/>
                <w:szCs w:val="14"/>
                <w:color w:val="auto"/>
              </w:rPr>
              <w:t>36.8</w:t>
            </w:r>
            <w:r>
              <w:rPr>
                <w:rFonts w:ascii="Arial" w:cs="Arial" w:eastAsia="Arial" w:hAnsi="Arial"/>
                <w:sz w:val="28"/>
                <w:szCs w:val="28"/>
                <w:color w:val="auto"/>
                <w:vertAlign w:val="superscript"/>
              </w:rPr>
              <w:t>%</w:t>
            </w:r>
          </w:p>
        </w:tc>
        <w:tc>
          <w:tcPr>
            <w:tcW w:w="1120" w:type="dxa"/>
            <w:vAlign w:val="bottom"/>
            <w:tcBorders>
              <w:bottom w:val="single" w:sz="8" w:color="CCFFCC"/>
            </w:tcBorders>
            <w:gridSpan w:val="2"/>
            <w:shd w:val="clear" w:color="auto" w:fill="CCFFCC"/>
          </w:tcPr>
          <w:p>
            <w:pPr>
              <w:jc w:val="right"/>
              <w:ind w:right="220"/>
              <w:spacing w:after="0" w:line="243" w:lineRule="exact"/>
              <w:rPr>
                <w:sz w:val="20"/>
                <w:szCs w:val="20"/>
                <w:color w:val="auto"/>
              </w:rPr>
            </w:pPr>
            <w:r>
              <w:rPr>
                <w:rFonts w:ascii="Arial" w:cs="Arial" w:eastAsia="Arial" w:hAnsi="Arial"/>
                <w:sz w:val="14"/>
                <w:szCs w:val="14"/>
                <w:color w:val="auto"/>
              </w:rPr>
              <w:t>8.0</w:t>
            </w:r>
            <w:r>
              <w:rPr>
                <w:rFonts w:ascii="Arial" w:cs="Arial" w:eastAsia="Arial" w:hAnsi="Arial"/>
                <w:sz w:val="28"/>
                <w:szCs w:val="28"/>
                <w:color w:val="auto"/>
                <w:vertAlign w:val="superscript"/>
              </w:rPr>
              <w:t>%</w:t>
            </w:r>
          </w:p>
        </w:tc>
        <w:tc>
          <w:tcPr>
            <w:tcW w:w="8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42.8</w:t>
            </w: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54.8</w:t>
            </w:r>
          </w:p>
        </w:tc>
        <w:tc>
          <w:tcPr>
            <w:tcW w:w="1000" w:type="dxa"/>
            <w:vAlign w:val="bottom"/>
            <w:tcBorders>
              <w:bottom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56.8</w:t>
            </w:r>
          </w:p>
        </w:tc>
        <w:tc>
          <w:tcPr>
            <w:tcW w:w="12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gridSpan w:val="2"/>
            <w:shd w:val="clear" w:color="auto" w:fill="CCFFCC"/>
          </w:tcPr>
          <w:p>
            <w:pPr>
              <w:jc w:val="right"/>
              <w:spacing w:after="0" w:line="243" w:lineRule="exact"/>
              <w:rPr>
                <w:sz w:val="20"/>
                <w:szCs w:val="20"/>
                <w:color w:val="auto"/>
              </w:rPr>
            </w:pPr>
            <w:r>
              <w:rPr>
                <w:rFonts w:ascii="Arial" w:cs="Arial" w:eastAsia="Arial" w:hAnsi="Arial"/>
                <w:sz w:val="14"/>
                <w:szCs w:val="14"/>
                <w:color w:val="auto"/>
              </w:rPr>
              <w:t>32.8</w:t>
            </w:r>
            <w:r>
              <w:rPr>
                <w:rFonts w:ascii="Arial" w:cs="Arial" w:eastAsia="Arial" w:hAnsi="Arial"/>
                <w:sz w:val="28"/>
                <w:szCs w:val="28"/>
                <w:color w:val="auto"/>
                <w:vertAlign w:val="superscript"/>
              </w:rPr>
              <w:t>%</w:t>
            </w:r>
          </w:p>
        </w:tc>
        <w:tc>
          <w:tcPr>
            <w:tcW w:w="900" w:type="dxa"/>
            <w:vAlign w:val="bottom"/>
            <w:tcBorders>
              <w:bottom w:val="single" w:sz="8" w:color="CCFFCC"/>
            </w:tcBorders>
            <w:gridSpan w:val="2"/>
            <w:shd w:val="clear" w:color="auto" w:fill="CCFFCC"/>
          </w:tcPr>
          <w:p>
            <w:pPr>
              <w:jc w:val="right"/>
              <w:spacing w:after="0" w:line="243" w:lineRule="exact"/>
              <w:rPr>
                <w:sz w:val="20"/>
                <w:szCs w:val="20"/>
                <w:color w:val="auto"/>
              </w:rPr>
            </w:pPr>
            <w:r>
              <w:rPr>
                <w:rFonts w:ascii="Arial" w:cs="Arial" w:eastAsia="Arial" w:hAnsi="Arial"/>
                <w:sz w:val="14"/>
                <w:szCs w:val="14"/>
                <w:color w:val="auto"/>
              </w:rPr>
              <w:t>3.7</w:t>
            </w:r>
            <w:r>
              <w:rPr>
                <w:rFonts w:ascii="Arial" w:cs="Arial" w:eastAsia="Arial" w:hAnsi="Arial"/>
                <w:sz w:val="28"/>
                <w:szCs w:val="28"/>
                <w:color w:val="auto"/>
                <w:vertAlign w:val="superscript"/>
              </w:rPr>
              <w:t>%</w:t>
            </w:r>
          </w:p>
        </w:tc>
      </w:tr>
      <w:tr>
        <w:trPr>
          <w:trHeight w:val="264"/>
        </w:trPr>
        <w:tc>
          <w:tcPr>
            <w:tcW w:w="2080" w:type="dxa"/>
            <w:vAlign w:val="bottom"/>
            <w:tcBorders>
              <w:top w:val="single" w:sz="8" w:color="CCFFCC"/>
            </w:tcBorders>
          </w:tcPr>
          <w:p>
            <w:pPr>
              <w:spacing w:after="0"/>
              <w:rPr>
                <w:sz w:val="22"/>
                <w:szCs w:val="22"/>
                <w:color w:val="auto"/>
              </w:rPr>
            </w:pPr>
          </w:p>
        </w:tc>
        <w:tc>
          <w:tcPr>
            <w:tcW w:w="8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8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8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8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CCFFCC"/>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CCFFCC"/>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c>
          <w:tcPr>
            <w:tcW w:w="8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r>
      <w:tr>
        <w:trPr>
          <w:trHeight w:val="244"/>
        </w:trPr>
        <w:tc>
          <w:tcPr>
            <w:tcW w:w="20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Consolidated total</w:t>
            </w: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4,993.0</w:t>
            </w:r>
          </w:p>
        </w:tc>
        <w:tc>
          <w:tcPr>
            <w:tcW w:w="12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6,950.2</w:t>
            </w:r>
          </w:p>
        </w:tc>
        <w:tc>
          <w:tcPr>
            <w:tcW w:w="9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7,764.2</w:t>
            </w:r>
          </w:p>
        </w:tc>
        <w:tc>
          <w:tcPr>
            <w:tcW w:w="960" w:type="dxa"/>
            <w:vAlign w:val="bottom"/>
            <w:tcBorders>
              <w:bottom w:val="single" w:sz="8" w:color="CCFFCC"/>
            </w:tcBorders>
            <w:gridSpan w:val="2"/>
            <w:shd w:val="clear" w:color="auto" w:fill="CCFFCC"/>
          </w:tcPr>
          <w:p>
            <w:pPr>
              <w:jc w:val="right"/>
              <w:ind w:right="20"/>
              <w:spacing w:after="0" w:line="236" w:lineRule="exact"/>
              <w:rPr>
                <w:sz w:val="20"/>
                <w:szCs w:val="20"/>
                <w:color w:val="auto"/>
              </w:rPr>
            </w:pPr>
            <w:r>
              <w:rPr>
                <w:rFonts w:ascii="Arial" w:cs="Arial" w:eastAsia="Arial" w:hAnsi="Arial"/>
                <w:sz w:val="14"/>
                <w:szCs w:val="14"/>
                <w:color w:val="auto"/>
              </w:rPr>
              <w:t>55.5</w:t>
            </w:r>
            <w:r>
              <w:rPr>
                <w:rFonts w:ascii="Arial" w:cs="Arial" w:eastAsia="Arial" w:hAnsi="Arial"/>
                <w:sz w:val="27"/>
                <w:szCs w:val="27"/>
                <w:color w:val="auto"/>
                <w:vertAlign w:val="superscript"/>
              </w:rPr>
              <w:t>%</w:t>
            </w:r>
          </w:p>
        </w:tc>
        <w:tc>
          <w:tcPr>
            <w:tcW w:w="1120" w:type="dxa"/>
            <w:vAlign w:val="bottom"/>
            <w:tcBorders>
              <w:bottom w:val="single" w:sz="8" w:color="CCFFCC"/>
            </w:tcBorders>
            <w:gridSpan w:val="2"/>
            <w:shd w:val="clear" w:color="auto" w:fill="CCFFCC"/>
          </w:tcPr>
          <w:p>
            <w:pPr>
              <w:jc w:val="right"/>
              <w:ind w:right="220"/>
              <w:spacing w:after="0" w:line="236" w:lineRule="exact"/>
              <w:rPr>
                <w:sz w:val="20"/>
                <w:szCs w:val="20"/>
                <w:color w:val="auto"/>
              </w:rPr>
            </w:pPr>
            <w:r>
              <w:rPr>
                <w:rFonts w:ascii="Arial" w:cs="Arial" w:eastAsia="Arial" w:hAnsi="Arial"/>
                <w:sz w:val="14"/>
                <w:szCs w:val="14"/>
                <w:color w:val="auto"/>
              </w:rPr>
              <w:t>11.7</w:t>
            </w:r>
            <w:r>
              <w:rPr>
                <w:rFonts w:ascii="Arial" w:cs="Arial" w:eastAsia="Arial" w:hAnsi="Arial"/>
                <w:sz w:val="27"/>
                <w:szCs w:val="27"/>
                <w:color w:val="auto"/>
                <w:vertAlign w:val="superscript"/>
              </w:rPr>
              <w:t>%</w:t>
            </w:r>
          </w:p>
        </w:tc>
        <w:tc>
          <w:tcPr>
            <w:tcW w:w="8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4,441.9</w:t>
            </w: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5,625.5</w:t>
            </w:r>
          </w:p>
        </w:tc>
        <w:tc>
          <w:tcPr>
            <w:tcW w:w="8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4"/>
                <w:szCs w:val="14"/>
                <w:color w:val="auto"/>
              </w:rPr>
              <w:t>5,997.1</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gridSpan w:val="2"/>
            <w:shd w:val="clear" w:color="auto" w:fill="CCFFCC"/>
          </w:tcPr>
          <w:p>
            <w:pPr>
              <w:jc w:val="right"/>
              <w:spacing w:after="0" w:line="236" w:lineRule="exact"/>
              <w:rPr>
                <w:sz w:val="20"/>
                <w:szCs w:val="20"/>
                <w:color w:val="auto"/>
              </w:rPr>
            </w:pPr>
            <w:r>
              <w:rPr>
                <w:rFonts w:ascii="Arial" w:cs="Arial" w:eastAsia="Arial" w:hAnsi="Arial"/>
                <w:sz w:val="14"/>
                <w:szCs w:val="14"/>
                <w:color w:val="auto"/>
              </w:rPr>
              <w:t>35.0</w:t>
            </w:r>
            <w:r>
              <w:rPr>
                <w:rFonts w:ascii="Arial" w:cs="Arial" w:eastAsia="Arial" w:hAnsi="Arial"/>
                <w:sz w:val="27"/>
                <w:szCs w:val="27"/>
                <w:color w:val="auto"/>
                <w:vertAlign w:val="superscript"/>
              </w:rPr>
              <w:t>%</w:t>
            </w:r>
          </w:p>
        </w:tc>
        <w:tc>
          <w:tcPr>
            <w:tcW w:w="900" w:type="dxa"/>
            <w:vAlign w:val="bottom"/>
            <w:tcBorders>
              <w:bottom w:val="single" w:sz="8" w:color="CCFFCC"/>
            </w:tcBorders>
            <w:gridSpan w:val="2"/>
            <w:shd w:val="clear" w:color="auto" w:fill="CCFFCC"/>
          </w:tcPr>
          <w:p>
            <w:pPr>
              <w:jc w:val="right"/>
              <w:spacing w:after="0" w:line="236" w:lineRule="exact"/>
              <w:rPr>
                <w:sz w:val="20"/>
                <w:szCs w:val="20"/>
                <w:color w:val="auto"/>
              </w:rPr>
            </w:pPr>
            <w:r>
              <w:rPr>
                <w:rFonts w:ascii="Arial" w:cs="Arial" w:eastAsia="Arial" w:hAnsi="Arial"/>
                <w:sz w:val="14"/>
                <w:szCs w:val="14"/>
                <w:color w:val="auto"/>
              </w:rPr>
              <w:t>6.6</w:t>
            </w:r>
            <w:r>
              <w:rPr>
                <w:rFonts w:ascii="Arial" w:cs="Arial" w:eastAsia="Arial" w:hAnsi="Arial"/>
                <w:sz w:val="27"/>
                <w:szCs w:val="27"/>
                <w:color w:val="auto"/>
                <w:vertAlign w:val="superscript"/>
              </w:rPr>
              <w:t>%</w:t>
            </w:r>
          </w:p>
        </w:tc>
      </w:tr>
      <w:tr>
        <w:trPr>
          <w:trHeight w:val="20"/>
        </w:trPr>
        <w:tc>
          <w:tcPr>
            <w:tcW w:w="208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bl>
    <w:p>
      <w:pPr>
        <w:spacing w:after="0" w:line="265" w:lineRule="exact"/>
        <w:rPr>
          <w:sz w:val="20"/>
          <w:szCs w:val="20"/>
          <w:color w:val="auto"/>
        </w:rPr>
      </w:pPr>
    </w:p>
    <w:p>
      <w:pPr>
        <w:ind w:right="8120" w:firstLine="8"/>
        <w:spacing w:after="0" w:line="293" w:lineRule="auto"/>
        <w:tabs>
          <w:tab w:leader="none" w:pos="108"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work out unit, other banking and BCP Bolivia *Average daily balances for the quarter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revealing the following:</w:t>
      </w:r>
    </w:p>
    <w:p>
      <w:pPr>
        <w:spacing w:after="0" w:line="279" w:lineRule="exact"/>
        <w:rPr>
          <w:sz w:val="20"/>
          <w:szCs w:val="20"/>
          <w:color w:val="auto"/>
        </w:rPr>
      </w:pPr>
    </w:p>
    <w:p>
      <w:pPr>
        <w:jc w:val="both"/>
        <w:ind w:left="500" w:hanging="492"/>
        <w:spacing w:after="0" w:line="256"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corporate sector</w:t>
      </w:r>
      <w:r>
        <w:rPr>
          <w:rFonts w:ascii="Arial" w:cs="Arial" w:eastAsia="Arial" w:hAnsi="Arial"/>
          <w:sz w:val="18"/>
          <w:szCs w:val="18"/>
          <w:color w:val="auto"/>
        </w:rPr>
        <w:t xml:space="preserve"> grows a strong 10.3% its USD portfolio which represents 60% of its total portfolio. The reported 11.1% growth of its Soles portfolio hides minimal growth in the 1Q08, and a very strong growth of its Soles portfolio within the 4Q07, which when comparing averages led to such number.</w:t>
      </w:r>
    </w:p>
    <w:p>
      <w:pPr>
        <w:ind w:left="500" w:hanging="492"/>
        <w:spacing w:after="0"/>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m</w:t>
      </w:r>
      <w:r>
        <w:rPr>
          <w:rFonts w:ascii="Arial" w:cs="Arial" w:eastAsia="Arial" w:hAnsi="Arial"/>
          <w:sz w:val="16"/>
          <w:szCs w:val="16"/>
          <w:i w:val="1"/>
          <w:iCs w:val="1"/>
          <w:color w:val="auto"/>
        </w:rPr>
        <w:t>iddle market segment</w:t>
      </w:r>
      <w:r>
        <w:rPr>
          <w:rFonts w:ascii="Arial" w:cs="Arial" w:eastAsia="Arial" w:hAnsi="Arial"/>
          <w:sz w:val="16"/>
          <w:szCs w:val="16"/>
          <w:color w:val="auto"/>
        </w:rPr>
        <w:t>, which has 82% of its portfolio in USD, reports a moderate 5.5% growth of its loan book, which is in line with projections.</w:t>
      </w:r>
    </w:p>
    <w:p>
      <w:pPr>
        <w:spacing w:after="0" w:line="32" w:lineRule="exact"/>
        <w:rPr>
          <w:rFonts w:ascii="Arial" w:cs="Arial" w:eastAsia="Arial" w:hAnsi="Arial"/>
          <w:sz w:val="16"/>
          <w:szCs w:val="16"/>
          <w:color w:val="auto"/>
        </w:rPr>
      </w:pPr>
    </w:p>
    <w:p>
      <w:pPr>
        <w:ind w:left="500" w:right="20" w:hanging="492"/>
        <w:spacing w:after="0" w:line="261"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retail segment</w:t>
      </w:r>
      <w:r>
        <w:rPr>
          <w:rFonts w:ascii="Arial" w:cs="Arial" w:eastAsia="Arial" w:hAnsi="Arial"/>
          <w:sz w:val="18"/>
          <w:szCs w:val="18"/>
          <w:color w:val="auto"/>
        </w:rPr>
        <w:t xml:space="preserve"> in turn, has half its portfolio in each currency and shows a stronger growth in its Soles loan book of 12.9%, while its USD loan book grows at a more moderate 5.4%.</w:t>
      </w:r>
    </w:p>
    <w:p>
      <w:pPr>
        <w:spacing w:after="0" w:line="238"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Market Share</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BCP’s market share continues leading the market despite the strong competition, characterized by the incursion of new foreign players and the already stronghold position it has. Thus, BCP’s market share of loans placed reached 31.9% as of March 2008, showing a slight decrease in comparison to December 2007 (32.2%). However, there was an increase of 0.4 percentage points in comparison to the second best competitor.</w:t>
      </w:r>
    </w:p>
    <w:p>
      <w:pPr>
        <w:spacing w:after="0" w:line="22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Furthermore, market shares for the corporate and middle market sectors continue revealing BCP’s solid positioning, reaching 48% and 35%, respectively, as of February 2008. These reflect a minor growth in the corporate market and a stable position in the middle market compared to the previous quarter.</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Market shares in the retail market had mixed results during this quarter. Consumer loans were down by 0.2% reaching 17.1%, while Credit Cards and SME decreased 0.2% pps and 0.3% pps, respectively, reaching 18.7% and 18.5%. However, mortgages increased 0.4% pps to 40.1% consolidating its strong position.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Dollarization</w:t>
      </w:r>
    </w:p>
    <w:p>
      <w:pPr>
        <w:spacing w:after="0" w:line="279"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de-dollarization process of BCP’s assets this 1Q08 continued with respect to the previous quarter. Thus, in 1Q08 Nuevos Soles conformed 32.5% of total loan portfolio, which represent a slight increase of 0.5% with respect to 4Q07. In addition, the system continues experiencing further de-dollarization of its loans and deposits, reaching a high 41% of loans in Nuevos Soles and 59% in US Dollar as of March 2008. The de-dollarization process is more intense in deposits specially because the local currency appreciation during this quarter. Thus, the share of deposits in nuevos soles was 51% (vs. 39% for Mar. 2007).</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II.2 Deposits and Mutual Funds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 grew 15% QoQ and 46% YoY, remaining as main funding source to support the strong loan growth</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04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1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w w:val="99"/>
              </w:rPr>
              <w:t>Quarter ended</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2"/>
                <w:szCs w:val="22"/>
                <w:color w:val="auto"/>
              </w:rPr>
            </w:pPr>
          </w:p>
        </w:tc>
      </w:tr>
      <w:tr>
        <w:trPr>
          <w:trHeight w:val="264"/>
        </w:trPr>
        <w:tc>
          <w:tcPr>
            <w:tcW w:w="5040" w:type="dxa"/>
            <w:vAlign w:val="bottom"/>
          </w:tcPr>
          <w:p>
            <w:pPr>
              <w:spacing w:after="0"/>
              <w:rPr>
                <w:sz w:val="20"/>
                <w:szCs w:val="20"/>
                <w:color w:val="auto"/>
              </w:rPr>
            </w:pPr>
            <w:r>
              <w:rPr>
                <w:rFonts w:ascii="Arial" w:cs="Arial" w:eastAsia="Arial" w:hAnsi="Arial"/>
                <w:sz w:val="18"/>
                <w:szCs w:val="18"/>
                <w:color w:val="auto"/>
              </w:rPr>
              <w:t>US$ (000)</w:t>
            </w: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1Q08</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4Q07</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1Q07</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1Q08/1Q07</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1Q08/4Q07</w:t>
            </w:r>
          </w:p>
        </w:tc>
        <w:tc>
          <w:tcPr>
            <w:tcW w:w="180" w:type="dxa"/>
            <w:vAlign w:val="bottom"/>
          </w:tcPr>
          <w:p>
            <w:pPr>
              <w:spacing w:after="0"/>
              <w:rPr>
                <w:sz w:val="22"/>
                <w:szCs w:val="22"/>
                <w:color w:val="auto"/>
              </w:rPr>
            </w:pPr>
          </w:p>
        </w:tc>
      </w:tr>
      <w:tr>
        <w:trPr>
          <w:trHeight w:val="237"/>
        </w:trPr>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Non-interest bearing deposits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2,965,756</w:t>
            </w:r>
          </w:p>
        </w:tc>
        <w:tc>
          <w:tcPr>
            <w:tcW w:w="124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2,729,860</w:t>
            </w:r>
          </w:p>
        </w:tc>
        <w:tc>
          <w:tcPr>
            <w:tcW w:w="12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2,194,439</w:t>
            </w:r>
          </w:p>
        </w:tc>
        <w:tc>
          <w:tcPr>
            <w:tcW w:w="132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w w:val="93"/>
              </w:rPr>
              <w:t>35.1%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8.6%</w:t>
            </w: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Demand deposits</w:t>
            </w:r>
          </w:p>
        </w:tc>
        <w:tc>
          <w:tcPr>
            <w:tcW w:w="1140" w:type="dxa"/>
            <w:vAlign w:val="bottom"/>
          </w:tcPr>
          <w:p>
            <w:pPr>
              <w:jc w:val="right"/>
              <w:spacing w:after="0"/>
              <w:rPr>
                <w:sz w:val="20"/>
                <w:szCs w:val="20"/>
                <w:color w:val="auto"/>
              </w:rPr>
            </w:pPr>
            <w:r>
              <w:rPr>
                <w:rFonts w:ascii="Arial" w:cs="Arial" w:eastAsia="Arial" w:hAnsi="Arial"/>
                <w:sz w:val="18"/>
                <w:szCs w:val="18"/>
                <w:color w:val="auto"/>
              </w:rPr>
              <w:t>761,123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926,817</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604,445</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25.9%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r>
      <w:tr>
        <w:trPr>
          <w:trHeight w:val="243"/>
        </w:trPr>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Saving deposits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2,749,983</w:t>
            </w:r>
          </w:p>
        </w:tc>
        <w:tc>
          <w:tcPr>
            <w:tcW w:w="124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2,381,012</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1,966,838</w:t>
            </w:r>
          </w:p>
        </w:tc>
        <w:tc>
          <w:tcPr>
            <w:tcW w:w="132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w w:val="93"/>
              </w:rPr>
              <w:t>39.8%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15.5%</w:t>
            </w: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Time deposits</w:t>
            </w:r>
          </w:p>
        </w:tc>
        <w:tc>
          <w:tcPr>
            <w:tcW w:w="1140" w:type="dxa"/>
            <w:vAlign w:val="bottom"/>
          </w:tcPr>
          <w:p>
            <w:pPr>
              <w:jc w:val="right"/>
              <w:spacing w:after="0"/>
              <w:rPr>
                <w:sz w:val="20"/>
                <w:szCs w:val="20"/>
                <w:color w:val="auto"/>
              </w:rPr>
            </w:pPr>
            <w:r>
              <w:rPr>
                <w:rFonts w:ascii="Arial" w:cs="Arial" w:eastAsia="Arial" w:hAnsi="Arial"/>
                <w:sz w:val="18"/>
                <w:szCs w:val="18"/>
                <w:color w:val="auto"/>
              </w:rPr>
              <w:t>5,543,993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4,268,233</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3,293,110</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68.4%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29.9%</w:t>
            </w:r>
          </w:p>
        </w:tc>
      </w:tr>
      <w:tr>
        <w:trPr>
          <w:trHeight w:val="243"/>
        </w:trPr>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Severance indemnity deposits (CTS)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859,630</w:t>
            </w:r>
          </w:p>
        </w:tc>
        <w:tc>
          <w:tcPr>
            <w:tcW w:w="124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896,283</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747,065</w:t>
            </w:r>
          </w:p>
        </w:tc>
        <w:tc>
          <w:tcPr>
            <w:tcW w:w="132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w w:val="93"/>
              </w:rPr>
              <w:t>15.1%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-4.1%</w:t>
            </w:r>
          </w:p>
        </w:tc>
      </w:tr>
      <w:tr>
        <w:trPr>
          <w:trHeight w:val="270"/>
        </w:trPr>
        <w:tc>
          <w:tcPr>
            <w:tcW w:w="5040" w:type="dxa"/>
            <w:vAlign w:val="bottom"/>
          </w:tcPr>
          <w:p>
            <w:pPr>
              <w:spacing w:after="0"/>
              <w:rPr>
                <w:sz w:val="20"/>
                <w:szCs w:val="20"/>
                <w:color w:val="auto"/>
              </w:rPr>
            </w:pPr>
            <w:r>
              <w:rPr>
                <w:rFonts w:ascii="Arial" w:cs="Arial" w:eastAsia="Arial" w:hAnsi="Arial"/>
                <w:sz w:val="18"/>
                <w:szCs w:val="18"/>
                <w:color w:val="auto"/>
              </w:rPr>
              <w:t>Interest payable</w:t>
            </w:r>
          </w:p>
        </w:tc>
        <w:tc>
          <w:tcPr>
            <w:tcW w:w="1140" w:type="dxa"/>
            <w:vAlign w:val="bottom"/>
          </w:tcPr>
          <w:p>
            <w:pPr>
              <w:jc w:val="right"/>
              <w:spacing w:after="0"/>
              <w:rPr>
                <w:sz w:val="20"/>
                <w:szCs w:val="20"/>
                <w:color w:val="auto"/>
              </w:rPr>
            </w:pPr>
            <w:r>
              <w:rPr>
                <w:rFonts w:ascii="Arial" w:cs="Arial" w:eastAsia="Arial" w:hAnsi="Arial"/>
                <w:sz w:val="18"/>
                <w:szCs w:val="18"/>
                <w:color w:val="auto"/>
              </w:rPr>
              <w:t>58,442</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46,899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36,759</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59.0%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r>
      <w:tr>
        <w:trPr>
          <w:trHeight w:val="20"/>
        </w:trPr>
        <w:tc>
          <w:tcPr>
            <w:tcW w:w="50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4"/>
        </w:trPr>
        <w:tc>
          <w:tcPr>
            <w:tcW w:w="50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customer deposits</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12,938,927</w:t>
            </w:r>
          </w:p>
        </w:tc>
        <w:tc>
          <w:tcPr>
            <w:tcW w:w="100" w:type="dxa"/>
            <w:vAlign w:val="bottom"/>
            <w:tcBorders>
              <w:left w:val="single" w:sz="8" w:color="CCFFCC"/>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11,249,104</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8,842,655</w:t>
            </w:r>
          </w:p>
        </w:tc>
        <w:tc>
          <w:tcPr>
            <w:tcW w:w="1320" w:type="dxa"/>
            <w:vAlign w:val="bottom"/>
            <w:tcBorders>
              <w:bottom w:val="single" w:sz="8" w:color="CCFFCC"/>
            </w:tcBorders>
            <w:gridSpan w:val="2"/>
            <w:shd w:val="clear" w:color="auto" w:fill="CCFFCC"/>
          </w:tcPr>
          <w:p>
            <w:pPr>
              <w:ind w:left="820"/>
              <w:spacing w:after="0"/>
              <w:rPr>
                <w:sz w:val="20"/>
                <w:szCs w:val="20"/>
                <w:color w:val="auto"/>
              </w:rPr>
            </w:pPr>
            <w:r>
              <w:rPr>
                <w:rFonts w:ascii="Arial" w:cs="Arial" w:eastAsia="Arial" w:hAnsi="Arial"/>
                <w:sz w:val="18"/>
                <w:szCs w:val="18"/>
                <w:b w:val="1"/>
                <w:bCs w:val="1"/>
                <w:color w:val="auto"/>
                <w:w w:val="93"/>
              </w:rPr>
              <w:t>46.3%</w:t>
            </w:r>
          </w:p>
        </w:tc>
        <w:tc>
          <w:tcPr>
            <w:tcW w:w="13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15.0%</w:t>
            </w:r>
          </w:p>
        </w:tc>
      </w:tr>
      <w:tr>
        <w:trPr>
          <w:trHeight w:val="20"/>
        </w:trPr>
        <w:tc>
          <w:tcPr>
            <w:tcW w:w="504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5040" w:type="dxa"/>
            <w:vAlign w:val="bottom"/>
          </w:tcPr>
          <w:p>
            <w:pPr>
              <w:spacing w:after="0"/>
              <w:rPr>
                <w:sz w:val="20"/>
                <w:szCs w:val="20"/>
                <w:color w:val="auto"/>
              </w:rPr>
            </w:pPr>
            <w:r>
              <w:rPr>
                <w:rFonts w:ascii="Arial" w:cs="Arial" w:eastAsia="Arial" w:hAnsi="Arial"/>
                <w:sz w:val="18"/>
                <w:szCs w:val="18"/>
                <w:color w:val="auto"/>
              </w:rPr>
              <w:t>Mutual funds in Perú</w:t>
            </w:r>
          </w:p>
        </w:tc>
        <w:tc>
          <w:tcPr>
            <w:tcW w:w="1140" w:type="dxa"/>
            <w:vAlign w:val="bottom"/>
          </w:tcPr>
          <w:p>
            <w:pPr>
              <w:jc w:val="right"/>
              <w:spacing w:after="0"/>
              <w:rPr>
                <w:sz w:val="20"/>
                <w:szCs w:val="20"/>
                <w:color w:val="auto"/>
              </w:rPr>
            </w:pPr>
            <w:r>
              <w:rPr>
                <w:rFonts w:ascii="Arial" w:cs="Arial" w:eastAsia="Arial" w:hAnsi="Arial"/>
                <w:sz w:val="18"/>
                <w:szCs w:val="18"/>
                <w:color w:val="auto"/>
              </w:rPr>
              <w:t>2,088,039</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1,955,547</w:t>
            </w:r>
          </w:p>
        </w:tc>
        <w:tc>
          <w:tcPr>
            <w:tcW w:w="12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1,432,924</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45.7%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r>
      <w:tr>
        <w:trPr>
          <w:trHeight w:val="20"/>
        </w:trPr>
        <w:tc>
          <w:tcPr>
            <w:tcW w:w="50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4"/>
        </w:trPr>
        <w:tc>
          <w:tcPr>
            <w:tcW w:w="50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Mutual funds in Bolivia</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83,890</w:t>
            </w:r>
          </w:p>
        </w:tc>
        <w:tc>
          <w:tcPr>
            <w:tcW w:w="1360" w:type="dxa"/>
            <w:vAlign w:val="bottom"/>
            <w:tcBorders>
              <w:left w:val="single" w:sz="8" w:color="CCFFCC"/>
              <w:bottom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70,919</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60,201</w:t>
            </w:r>
          </w:p>
        </w:tc>
        <w:tc>
          <w:tcPr>
            <w:tcW w:w="1320" w:type="dxa"/>
            <w:vAlign w:val="bottom"/>
            <w:tcBorders>
              <w:bottom w:val="single" w:sz="8" w:color="CCFFCC"/>
            </w:tcBorders>
            <w:gridSpan w:val="2"/>
            <w:shd w:val="clear" w:color="auto" w:fill="CCFFCC"/>
          </w:tcPr>
          <w:p>
            <w:pPr>
              <w:ind w:left="820"/>
              <w:spacing w:after="0"/>
              <w:rPr>
                <w:sz w:val="20"/>
                <w:szCs w:val="20"/>
                <w:color w:val="auto"/>
              </w:rPr>
            </w:pPr>
            <w:r>
              <w:rPr>
                <w:rFonts w:ascii="Arial" w:cs="Arial" w:eastAsia="Arial" w:hAnsi="Arial"/>
                <w:sz w:val="18"/>
                <w:szCs w:val="18"/>
                <w:color w:val="auto"/>
                <w:w w:val="93"/>
              </w:rPr>
              <w:t>39.3%</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18.3%</w:t>
            </w:r>
          </w:p>
        </w:tc>
      </w:tr>
      <w:tr>
        <w:trPr>
          <w:trHeight w:val="20"/>
        </w:trPr>
        <w:tc>
          <w:tcPr>
            <w:tcW w:w="504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5040" w:type="dxa"/>
            <w:vAlign w:val="bottom"/>
          </w:tcPr>
          <w:p>
            <w:pPr>
              <w:spacing w:after="0"/>
              <w:rPr>
                <w:sz w:val="20"/>
                <w:szCs w:val="20"/>
                <w:color w:val="auto"/>
              </w:rPr>
            </w:pPr>
            <w:r>
              <w:rPr>
                <w:rFonts w:ascii="Arial" w:cs="Arial" w:eastAsia="Arial" w:hAnsi="Arial"/>
                <w:sz w:val="18"/>
                <w:szCs w:val="18"/>
                <w:b w:val="1"/>
                <w:bCs w:val="1"/>
                <w:color w:val="auto"/>
              </w:rPr>
              <w:t>Total customer funds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12,938,927</w:t>
            </w:r>
          </w:p>
        </w:tc>
        <w:tc>
          <w:tcPr>
            <w:tcW w:w="10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11,249,104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8,842,655</w:t>
            </w:r>
          </w:p>
        </w:tc>
        <w:tc>
          <w:tcPr>
            <w:tcW w:w="1320" w:type="dxa"/>
            <w:vAlign w:val="bottom"/>
            <w:gridSpan w:val="2"/>
          </w:tcPr>
          <w:p>
            <w:pPr>
              <w:ind w:left="820"/>
              <w:spacing w:after="0"/>
              <w:rPr>
                <w:sz w:val="20"/>
                <w:szCs w:val="20"/>
                <w:color w:val="auto"/>
              </w:rPr>
            </w:pPr>
            <w:r>
              <w:rPr>
                <w:rFonts w:ascii="Arial" w:cs="Arial" w:eastAsia="Arial" w:hAnsi="Arial"/>
                <w:sz w:val="18"/>
                <w:szCs w:val="18"/>
                <w:b w:val="1"/>
                <w:bCs w:val="1"/>
                <w:color w:val="auto"/>
                <w:w w:val="93"/>
              </w:rPr>
              <w:t>46.3%</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15.0%</w:t>
            </w:r>
          </w:p>
        </w:tc>
      </w:tr>
      <w:tr>
        <w:trPr>
          <w:trHeight w:val="20"/>
        </w:trPr>
        <w:tc>
          <w:tcPr>
            <w:tcW w:w="50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evolution in deposits, especially Nuevos Soles deposits, reflects as well the market environment and significant inflow of capital into the local financial system lured by the speculative opportunity offered by higher Soles rates and US Dollar weakness. This explains the Soles denominated deposits aslo contributed to the high reported deposits growth figures, reaching an overall high 15% deposits’ growth for the quarter.</w:t>
      </w:r>
    </w:p>
    <w:p>
      <w:pPr>
        <w:spacing w:after="0" w:line="220"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While saving deposits continue expanding at a good rate, demand and CTS deposits, which drop in volumes, reflect the tighter competition for deposits in the market and growing sensitivity of our clients to interest rates earned on their funds. Nevertheless, deposits continue being the prime source of low cost funding since 57% of deposits are either low cost or interest free deposits. The retail segment is also of significant importance since 45% of deposits are generated by BCP’s retail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161925</wp:posOffset>
            </wp:positionV>
            <wp:extent cx="3001645" cy="1706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01645" cy="170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Share</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Despite the strong competition for deposits, BCP increased further its market share of deposits to 39.6% by the end of this 1Q08 from 38.8% as of December 2007.</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BCP’s leadership is evident in all deposits, being our CTS market share the strongest with 52%, way above our next competitor with 19.6%. In demand deposits BCP holds 48.4% in local currency and 39.7% in US Dollars, while savings deposits reached 36.2% y 42.5% respectively. Finally, in time deposits BCP’s market share reached 25.6% y 39.6% in local and foreign currency.</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Through Credifondo, BCP maintains its leadership in the mutual funds’ business with a total of US$ 2,088 million administered funds, up 6.8% QoQ and 45.7% YoY. This represents a market share of 43.7% for the end of March 2008. This increase in market share is noteworthy since it has become a more competitive and sophisticated market.</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Another important evolution is the accelerated de-dollarization of deposits, with US Dollar deposits dropping to 61% of the total portfolio, fueled by dollar weakness and higher rates of the Nuevo Sol.</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II.3 Net Interest Income</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Despite an 11.0% QoQ net interest income growth, the re-composition of interest earning assets and loan portfolio impacted negatively on NIM, dropping to 5.07% for 1Q08.</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860" w:type="dxa"/>
            <w:vAlign w:val="bottom"/>
          </w:tcPr>
          <w:p>
            <w:pPr>
              <w:spacing w:after="0"/>
              <w:rPr>
                <w:sz w:val="20"/>
                <w:szCs w:val="20"/>
                <w:color w:val="auto"/>
              </w:rPr>
            </w:pPr>
            <w:r>
              <w:rPr>
                <w:rFonts w:ascii="Arial" w:cs="Arial" w:eastAsia="Arial" w:hAnsi="Arial"/>
                <w:sz w:val="18"/>
                <w:szCs w:val="18"/>
                <w:b w:val="1"/>
                <w:bCs w:val="1"/>
                <w:color w:val="auto"/>
              </w:rPr>
              <w:t>Net interest income</w:t>
            </w:r>
          </w:p>
        </w:tc>
        <w:tc>
          <w:tcPr>
            <w:tcW w:w="1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Quarter</w:t>
            </w:r>
          </w:p>
        </w:tc>
        <w:tc>
          <w:tcPr>
            <w:tcW w:w="114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44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2"/>
                <w:szCs w:val="22"/>
                <w:color w:val="auto"/>
              </w:rPr>
            </w:pPr>
          </w:p>
        </w:tc>
      </w:tr>
      <w:tr>
        <w:trPr>
          <w:trHeight w:val="264"/>
        </w:trPr>
        <w:tc>
          <w:tcPr>
            <w:tcW w:w="4860" w:type="dxa"/>
            <w:vAlign w:val="bottom"/>
          </w:tcPr>
          <w:p>
            <w:pPr>
              <w:spacing w:after="0"/>
              <w:rPr>
                <w:sz w:val="20"/>
                <w:szCs w:val="20"/>
                <w:color w:val="auto"/>
              </w:rPr>
            </w:pPr>
            <w:r>
              <w:rPr>
                <w:rFonts w:ascii="Arial" w:cs="Arial" w:eastAsia="Arial" w:hAnsi="Arial"/>
                <w:sz w:val="18"/>
                <w:szCs w:val="18"/>
                <w:b w:val="1"/>
                <w:bCs w:val="1"/>
                <w:color w:val="auto"/>
              </w:rPr>
              <w:t>US$ 000</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1Q08</w:t>
            </w:r>
          </w:p>
        </w:tc>
        <w:tc>
          <w:tcPr>
            <w:tcW w:w="18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4Q07</w:t>
            </w:r>
          </w:p>
        </w:tc>
        <w:tc>
          <w:tcPr>
            <w:tcW w:w="18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1Q07</w:t>
            </w:r>
          </w:p>
        </w:tc>
        <w:tc>
          <w:tcPr>
            <w:tcW w:w="18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1Q08/1Q07</w:t>
            </w:r>
          </w:p>
        </w:tc>
        <w:tc>
          <w:tcPr>
            <w:tcW w:w="180" w:type="dxa"/>
            <w:vAlign w:val="bottom"/>
          </w:tcPr>
          <w:p>
            <w:pPr>
              <w:spacing w:after="0"/>
              <w:rPr>
                <w:sz w:val="22"/>
                <w:szCs w:val="22"/>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1Q08/4Q07</w:t>
            </w:r>
          </w:p>
        </w:tc>
        <w:tc>
          <w:tcPr>
            <w:tcW w:w="180" w:type="dxa"/>
            <w:vAlign w:val="bottom"/>
          </w:tcPr>
          <w:p>
            <w:pPr>
              <w:spacing w:after="0"/>
              <w:rPr>
                <w:sz w:val="22"/>
                <w:szCs w:val="22"/>
                <w:color w:val="auto"/>
              </w:rPr>
            </w:pPr>
          </w:p>
        </w:tc>
      </w:tr>
      <w:tr>
        <w:trPr>
          <w:trHeight w:val="237"/>
        </w:trPr>
        <w:tc>
          <w:tcPr>
            <w:tcW w:w="48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income</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296,660</w:t>
            </w:r>
          </w:p>
        </w:tc>
        <w:tc>
          <w:tcPr>
            <w:tcW w:w="18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272,204</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195,388</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51.8%</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9.0%</w:t>
            </w:r>
          </w:p>
        </w:tc>
      </w:tr>
      <w:tr>
        <w:trPr>
          <w:trHeight w:val="243"/>
        </w:trPr>
        <w:tc>
          <w:tcPr>
            <w:tcW w:w="4860" w:type="dxa"/>
            <w:vAlign w:val="bottom"/>
          </w:tcPr>
          <w:p>
            <w:pPr>
              <w:ind w:left="340"/>
              <w:spacing w:after="0"/>
              <w:rPr>
                <w:sz w:val="20"/>
                <w:szCs w:val="20"/>
                <w:color w:val="auto"/>
              </w:rPr>
            </w:pPr>
            <w:r>
              <w:rPr>
                <w:rFonts w:ascii="Arial" w:cs="Arial" w:eastAsia="Arial" w:hAnsi="Arial"/>
                <w:sz w:val="18"/>
                <w:szCs w:val="18"/>
                <w:color w:val="auto"/>
              </w:rPr>
              <w:t>Interest on loans</w:t>
            </w:r>
          </w:p>
        </w:tc>
        <w:tc>
          <w:tcPr>
            <w:tcW w:w="1120" w:type="dxa"/>
            <w:vAlign w:val="bottom"/>
          </w:tcPr>
          <w:p>
            <w:pPr>
              <w:jc w:val="right"/>
              <w:spacing w:after="0"/>
              <w:rPr>
                <w:sz w:val="20"/>
                <w:szCs w:val="20"/>
                <w:color w:val="auto"/>
              </w:rPr>
            </w:pPr>
            <w:r>
              <w:rPr>
                <w:rFonts w:ascii="Arial" w:cs="Arial" w:eastAsia="Arial" w:hAnsi="Arial"/>
                <w:sz w:val="18"/>
                <w:szCs w:val="18"/>
                <w:color w:val="auto"/>
              </w:rPr>
              <w:t>213,932</w:t>
            </w:r>
          </w:p>
        </w:tc>
        <w:tc>
          <w:tcPr>
            <w:tcW w:w="1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201,414</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148,943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43.6%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43"/>
        </w:trPr>
        <w:tc>
          <w:tcPr>
            <w:tcW w:w="48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Interest and dividends on investments</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139</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-87.5%</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100</w:t>
            </w:r>
          </w:p>
        </w:tc>
      </w:tr>
      <w:tr>
        <w:trPr>
          <w:trHeight w:val="243"/>
        </w:trPr>
        <w:tc>
          <w:tcPr>
            <w:tcW w:w="4860" w:type="dxa"/>
            <w:vAlign w:val="bottom"/>
          </w:tcPr>
          <w:p>
            <w:pPr>
              <w:ind w:left="340"/>
              <w:spacing w:after="0"/>
              <w:rPr>
                <w:sz w:val="20"/>
                <w:szCs w:val="20"/>
                <w:color w:val="auto"/>
              </w:rPr>
            </w:pPr>
            <w:r>
              <w:rPr>
                <w:rFonts w:ascii="Arial" w:cs="Arial" w:eastAsia="Arial" w:hAnsi="Arial"/>
                <w:sz w:val="18"/>
                <w:szCs w:val="18"/>
                <w:color w:val="auto"/>
              </w:rPr>
              <w:t>Interest on deposits with banks</w:t>
            </w:r>
          </w:p>
        </w:tc>
        <w:tc>
          <w:tcPr>
            <w:tcW w:w="1120" w:type="dxa"/>
            <w:vAlign w:val="bottom"/>
          </w:tcPr>
          <w:p>
            <w:pPr>
              <w:jc w:val="right"/>
              <w:spacing w:after="0"/>
              <w:rPr>
                <w:sz w:val="20"/>
                <w:szCs w:val="20"/>
                <w:color w:val="auto"/>
              </w:rPr>
            </w:pPr>
            <w:r>
              <w:rPr>
                <w:rFonts w:ascii="Arial" w:cs="Arial" w:eastAsia="Arial" w:hAnsi="Arial"/>
                <w:sz w:val="18"/>
                <w:szCs w:val="18"/>
                <w:color w:val="auto"/>
              </w:rPr>
              <w:t>16,924</w:t>
            </w:r>
          </w:p>
        </w:tc>
        <w:tc>
          <w:tcPr>
            <w:tcW w:w="1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17,901</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16,250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r>
      <w:tr>
        <w:trPr>
          <w:trHeight w:val="243"/>
        </w:trPr>
        <w:tc>
          <w:tcPr>
            <w:tcW w:w="48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Interest on trading securities</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54,527</w:t>
            </w:r>
          </w:p>
        </w:tc>
        <w:tc>
          <w:tcPr>
            <w:tcW w:w="18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47,069</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28,545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91.0%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15.8%</w:t>
            </w:r>
          </w:p>
        </w:tc>
      </w:tr>
      <w:tr>
        <w:trPr>
          <w:trHeight w:val="243"/>
        </w:trPr>
        <w:tc>
          <w:tcPr>
            <w:tcW w:w="4860" w:type="dxa"/>
            <w:vAlign w:val="bottom"/>
          </w:tcPr>
          <w:p>
            <w:pPr>
              <w:ind w:left="340"/>
              <w:spacing w:after="0"/>
              <w:rPr>
                <w:sz w:val="20"/>
                <w:szCs w:val="20"/>
                <w:color w:val="auto"/>
              </w:rPr>
            </w:pPr>
            <w:r>
              <w:rPr>
                <w:rFonts w:ascii="Arial" w:cs="Arial" w:eastAsia="Arial" w:hAnsi="Arial"/>
                <w:sz w:val="18"/>
                <w:szCs w:val="18"/>
                <w:color w:val="auto"/>
              </w:rPr>
              <w:t>Other interest income</w:t>
            </w:r>
          </w:p>
        </w:tc>
        <w:tc>
          <w:tcPr>
            <w:tcW w:w="1120" w:type="dxa"/>
            <w:vAlign w:val="bottom"/>
          </w:tcPr>
          <w:p>
            <w:pPr>
              <w:jc w:val="right"/>
              <w:spacing w:after="0"/>
              <w:rPr>
                <w:sz w:val="20"/>
                <w:szCs w:val="20"/>
                <w:color w:val="auto"/>
              </w:rPr>
            </w:pPr>
            <w:r>
              <w:rPr>
                <w:rFonts w:ascii="Arial" w:cs="Arial" w:eastAsia="Arial" w:hAnsi="Arial"/>
                <w:sz w:val="18"/>
                <w:szCs w:val="18"/>
                <w:color w:val="auto"/>
              </w:rPr>
              <w:t>11,276</w:t>
            </w:r>
          </w:p>
        </w:tc>
        <w:tc>
          <w:tcPr>
            <w:tcW w:w="1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5,681</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1,642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586.7%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98.5%</w:t>
            </w:r>
          </w:p>
        </w:tc>
      </w:tr>
      <w:tr>
        <w:trPr>
          <w:trHeight w:val="243"/>
        </w:trPr>
        <w:tc>
          <w:tcPr>
            <w:tcW w:w="48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expense</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124,049</w:t>
            </w:r>
          </w:p>
        </w:tc>
        <w:tc>
          <w:tcPr>
            <w:tcW w:w="18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116,640</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72,099</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72.1%</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6.4%</w:t>
            </w:r>
          </w:p>
        </w:tc>
      </w:tr>
      <w:tr>
        <w:trPr>
          <w:trHeight w:val="243"/>
        </w:trPr>
        <w:tc>
          <w:tcPr>
            <w:tcW w:w="4860" w:type="dxa"/>
            <w:vAlign w:val="bottom"/>
          </w:tcPr>
          <w:p>
            <w:pPr>
              <w:ind w:left="340"/>
              <w:spacing w:after="0"/>
              <w:rPr>
                <w:sz w:val="20"/>
                <w:szCs w:val="20"/>
                <w:color w:val="auto"/>
              </w:rPr>
            </w:pPr>
            <w:r>
              <w:rPr>
                <w:rFonts w:ascii="Arial" w:cs="Arial" w:eastAsia="Arial" w:hAnsi="Arial"/>
                <w:sz w:val="18"/>
                <w:szCs w:val="18"/>
                <w:color w:val="auto"/>
              </w:rPr>
              <w:t>Interest on deposits</w:t>
            </w:r>
          </w:p>
        </w:tc>
        <w:tc>
          <w:tcPr>
            <w:tcW w:w="1120" w:type="dxa"/>
            <w:vAlign w:val="bottom"/>
          </w:tcPr>
          <w:p>
            <w:pPr>
              <w:jc w:val="right"/>
              <w:spacing w:after="0"/>
              <w:rPr>
                <w:sz w:val="20"/>
                <w:szCs w:val="20"/>
                <w:color w:val="auto"/>
              </w:rPr>
            </w:pPr>
            <w:r>
              <w:rPr>
                <w:rFonts w:ascii="Arial" w:cs="Arial" w:eastAsia="Arial" w:hAnsi="Arial"/>
                <w:sz w:val="18"/>
                <w:szCs w:val="18"/>
                <w:color w:val="auto"/>
              </w:rPr>
              <w:t>90,233</w:t>
            </w:r>
          </w:p>
        </w:tc>
        <w:tc>
          <w:tcPr>
            <w:tcW w:w="1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83,039</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54,694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r>
      <w:tr>
        <w:trPr>
          <w:trHeight w:val="243"/>
        </w:trPr>
        <w:tc>
          <w:tcPr>
            <w:tcW w:w="48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Interest on borrowed funds</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15,545</w:t>
            </w:r>
          </w:p>
        </w:tc>
        <w:tc>
          <w:tcPr>
            <w:tcW w:w="18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14,670</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5,632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176.0%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6.0%</w:t>
            </w:r>
          </w:p>
        </w:tc>
      </w:tr>
      <w:tr>
        <w:trPr>
          <w:trHeight w:val="243"/>
        </w:trPr>
        <w:tc>
          <w:tcPr>
            <w:tcW w:w="4860" w:type="dxa"/>
            <w:vAlign w:val="bottom"/>
          </w:tcPr>
          <w:p>
            <w:pPr>
              <w:ind w:left="340"/>
              <w:spacing w:after="0"/>
              <w:rPr>
                <w:sz w:val="20"/>
                <w:szCs w:val="20"/>
                <w:color w:val="auto"/>
              </w:rPr>
            </w:pPr>
            <w:r>
              <w:rPr>
                <w:rFonts w:ascii="Arial" w:cs="Arial" w:eastAsia="Arial" w:hAnsi="Arial"/>
                <w:sz w:val="18"/>
                <w:szCs w:val="18"/>
                <w:color w:val="auto"/>
              </w:rPr>
              <w:t>Interest on bonds and subordinated notes</w:t>
            </w:r>
          </w:p>
        </w:tc>
        <w:tc>
          <w:tcPr>
            <w:tcW w:w="1120" w:type="dxa"/>
            <w:vAlign w:val="bottom"/>
          </w:tcPr>
          <w:p>
            <w:pPr>
              <w:jc w:val="right"/>
              <w:spacing w:after="0"/>
              <w:rPr>
                <w:sz w:val="20"/>
                <w:szCs w:val="20"/>
                <w:color w:val="auto"/>
              </w:rPr>
            </w:pPr>
            <w:r>
              <w:rPr>
                <w:rFonts w:ascii="Arial" w:cs="Arial" w:eastAsia="Arial" w:hAnsi="Arial"/>
                <w:sz w:val="18"/>
                <w:szCs w:val="18"/>
                <w:color w:val="auto"/>
              </w:rPr>
              <w:t>11,480</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11,782</w:t>
            </w:r>
          </w:p>
        </w:tc>
        <w:tc>
          <w:tcPr>
            <w:tcW w:w="1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7,853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46.2%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50"/>
        </w:trPr>
        <w:tc>
          <w:tcPr>
            <w:tcW w:w="4860" w:type="dxa"/>
            <w:vAlign w:val="bottom"/>
            <w:tcBorders>
              <w:bottom w:val="single" w:sz="8" w:color="CCFFCC"/>
            </w:tcBorders>
            <w:shd w:val="clear" w:color="auto" w:fill="CCFFCC"/>
          </w:tcPr>
          <w:p>
            <w:pPr>
              <w:ind w:left="340"/>
              <w:spacing w:after="0"/>
              <w:rPr>
                <w:sz w:val="20"/>
                <w:szCs w:val="20"/>
                <w:color w:val="auto"/>
              </w:rPr>
            </w:pPr>
            <w:r>
              <w:rPr>
                <w:rFonts w:ascii="Arial" w:cs="Arial" w:eastAsia="Arial" w:hAnsi="Arial"/>
                <w:sz w:val="18"/>
                <w:szCs w:val="18"/>
                <w:color w:val="auto"/>
              </w:rPr>
              <w:t>Other interest expense</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6,791</w:t>
            </w:r>
          </w:p>
        </w:tc>
        <w:tc>
          <w:tcPr>
            <w:tcW w:w="18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7,149</w:t>
            </w:r>
          </w:p>
        </w:tc>
        <w:tc>
          <w:tcPr>
            <w:tcW w:w="132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3,920</w:t>
            </w:r>
          </w:p>
        </w:tc>
        <w:tc>
          <w:tcPr>
            <w:tcW w:w="130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73.2%</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-5.0%</w:t>
            </w:r>
          </w:p>
        </w:tc>
      </w:tr>
      <w:tr>
        <w:trPr>
          <w:trHeight w:val="20"/>
        </w:trPr>
        <w:tc>
          <w:tcPr>
            <w:tcW w:w="48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4860" w:type="dxa"/>
            <w:vAlign w:val="bottom"/>
          </w:tcPr>
          <w:p>
            <w:pPr>
              <w:spacing w:after="0"/>
              <w:rPr>
                <w:sz w:val="20"/>
                <w:szCs w:val="20"/>
                <w:color w:val="auto"/>
              </w:rPr>
            </w:pPr>
            <w:r>
              <w:rPr>
                <w:rFonts w:ascii="Arial" w:cs="Arial" w:eastAsia="Arial" w:hAnsi="Arial"/>
                <w:sz w:val="18"/>
                <w:szCs w:val="18"/>
                <w:b w:val="1"/>
                <w:bCs w:val="1"/>
                <w:color w:val="auto"/>
              </w:rPr>
              <w:t>Net interest income</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172,611</w:t>
            </w:r>
          </w:p>
        </w:tc>
        <w:tc>
          <w:tcPr>
            <w:tcW w:w="18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155,564</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123,289</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40.0%</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11.0%</w:t>
            </w:r>
          </w:p>
        </w:tc>
      </w:tr>
      <w:tr>
        <w:trPr>
          <w:trHeight w:val="20"/>
        </w:trPr>
        <w:tc>
          <w:tcPr>
            <w:tcW w:w="48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4"/>
        </w:trPr>
        <w:tc>
          <w:tcPr>
            <w:tcW w:w="48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Average interest earning assets</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13,613,215</w:t>
            </w:r>
          </w:p>
        </w:tc>
        <w:tc>
          <w:tcPr>
            <w:tcW w:w="18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12,031,956</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9,444,029</w:t>
            </w:r>
          </w:p>
        </w:tc>
        <w:tc>
          <w:tcPr>
            <w:tcW w:w="18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44.1%</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13.1%</w:t>
            </w:r>
          </w:p>
        </w:tc>
      </w:tr>
      <w:tr>
        <w:trPr>
          <w:trHeight w:val="20"/>
        </w:trPr>
        <w:tc>
          <w:tcPr>
            <w:tcW w:w="48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4860" w:type="dxa"/>
            <w:vAlign w:val="bottom"/>
          </w:tcPr>
          <w:p>
            <w:pPr>
              <w:spacing w:after="0"/>
              <w:rPr>
                <w:sz w:val="20"/>
                <w:szCs w:val="20"/>
                <w:color w:val="auto"/>
              </w:rPr>
            </w:pPr>
            <w:r>
              <w:rPr>
                <w:rFonts w:ascii="Arial" w:cs="Arial" w:eastAsia="Arial" w:hAnsi="Arial"/>
                <w:sz w:val="18"/>
                <w:szCs w:val="18"/>
                <w:b w:val="1"/>
                <w:bCs w:val="1"/>
                <w:color w:val="auto"/>
              </w:rPr>
              <w:t>Net interest margin*</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5.07%</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5.17%</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5.22%</w:t>
            </w: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0"/>
        </w:trPr>
        <w:tc>
          <w:tcPr>
            <w:tcW w:w="48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income increased by a very significant 9% QoQ, as a result of not only the strong loan portfolio growth which generated 6.2% more interest income, but also the significantly larger investment portfolio leading to a 15.8% higher interest income for the quarter. This, combined with a lower interest expense expansion of 6.4% resulted in a total and impressive 11% net interest income quarterly growth.</w:t>
      </w:r>
    </w:p>
    <w:p>
      <w:pPr>
        <w:spacing w:after="0" w:line="2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is no doubt the result of an unexpected market evolution, since the speculative inflow of large amounts of funds looking to benefit from higher Soles interest rates and the US Dollar weakness together with the revaluation effect on existing assets resulted in the change in BCP's interest earning assets mix that made possible this interest income growth. Excess liquidity was channeled to CBCD’s, which despite carrying a low nominal yield, are extremely attractive on an after tax yield basis given the tax shelter they provide. However, with BCP’s investment portfolio with a lower nominal yield growing significantly more in US Dollar terms (up 45.9%) than its loan portfolio (up 7.4%), and at the same time, its loan portfolio mix also growing more in the corporate sector than in the retail sector as seen before, a drop in a net interest margin (NIM) was unavoidable.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460" w:type="dxa"/>
            <w:vAlign w:val="bottom"/>
          </w:tcPr>
          <w:p>
            <w:pPr>
              <w:spacing w:after="0"/>
              <w:rPr>
                <w:sz w:val="20"/>
                <w:szCs w:val="20"/>
                <w:color w:val="auto"/>
              </w:rPr>
            </w:pPr>
            <w:r>
              <w:rPr>
                <w:rFonts w:ascii="Arial" w:cs="Arial" w:eastAsia="Arial" w:hAnsi="Arial"/>
                <w:sz w:val="18"/>
                <w:szCs w:val="18"/>
                <w:b w:val="1"/>
                <w:bCs w:val="1"/>
                <w:color w:val="auto"/>
                <w:w w:val="93"/>
              </w:rPr>
              <w:t>Quarterly growth of interest earning assets</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4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Balance as of</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4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1"/>
        </w:trPr>
        <w:tc>
          <w:tcPr>
            <w:tcW w:w="3460" w:type="dxa"/>
            <w:vAlign w:val="bottom"/>
            <w:vMerge w:val="restart"/>
          </w:tcPr>
          <w:p>
            <w:pPr>
              <w:spacing w:after="0"/>
              <w:rPr>
                <w:sz w:val="20"/>
                <w:szCs w:val="20"/>
                <w:color w:val="auto"/>
              </w:rPr>
            </w:pPr>
            <w:r>
              <w:rPr>
                <w:rFonts w:ascii="Arial" w:cs="Arial" w:eastAsia="Arial" w:hAnsi="Arial"/>
                <w:sz w:val="18"/>
                <w:szCs w:val="18"/>
                <w:color w:val="auto"/>
              </w:rPr>
              <w:t>US$ 000</w:t>
            </w: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tcBorders>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9"/>
              </w:rPr>
              <w:t>Mar 08/</w:t>
            </w:r>
          </w:p>
        </w:tc>
        <w:tc>
          <w:tcPr>
            <w:tcW w:w="102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rPr>
              <w:t>Mar 08/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60" w:type="dxa"/>
            <w:vAlign w:val="bottom"/>
            <w:vMerge w:val="continue"/>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Mar 08</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Dec 07</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Sept 07</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Mar 07</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´Dec 06</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Mar 07</w:t>
            </w:r>
          </w:p>
        </w:tc>
        <w:tc>
          <w:tcPr>
            <w:tcW w:w="160" w:type="dxa"/>
            <w:vAlign w:val="bottom"/>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Dec 07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60" w:type="dxa"/>
            <w:vAlign w:val="bottom"/>
            <w:shd w:val="clear" w:color="auto" w:fill="CCFFCC"/>
          </w:tcPr>
          <w:p>
            <w:pPr>
              <w:spacing w:after="0"/>
              <w:rPr>
                <w:sz w:val="20"/>
                <w:szCs w:val="20"/>
                <w:color w:val="auto"/>
              </w:rPr>
            </w:pPr>
            <w:r>
              <w:rPr>
                <w:rFonts w:ascii="Arial" w:cs="Arial" w:eastAsia="Arial" w:hAnsi="Arial"/>
                <w:sz w:val="18"/>
                <w:szCs w:val="18"/>
                <w:color w:val="auto"/>
              </w:rPr>
              <w:t>BCRP and Other Banks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2,077,660</w:t>
            </w:r>
          </w:p>
        </w:tc>
        <w:tc>
          <w:tcPr>
            <w:tcW w:w="100" w:type="dxa"/>
            <w:vAlign w:val="bottom"/>
            <w:shd w:val="clear" w:color="auto" w:fill="CCFFCC"/>
          </w:tcPr>
          <w:p>
            <w:pPr>
              <w:spacing w:after="0"/>
              <w:rPr>
                <w:sz w:val="20"/>
                <w:szCs w:val="20"/>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2,255,572</w:t>
            </w:r>
          </w:p>
        </w:tc>
        <w:tc>
          <w:tcPr>
            <w:tcW w:w="10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1,740,636</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1,828,663</w:t>
            </w:r>
          </w:p>
        </w:tc>
        <w:tc>
          <w:tcPr>
            <w:tcW w:w="100" w:type="dxa"/>
            <w:vAlign w:val="bottom"/>
            <w:shd w:val="clear" w:color="auto" w:fill="CCFFCC"/>
          </w:tcPr>
          <w:p>
            <w:pPr>
              <w:spacing w:after="0"/>
              <w:rPr>
                <w:sz w:val="20"/>
                <w:szCs w:val="20"/>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2,031,936</w:t>
            </w:r>
          </w:p>
        </w:tc>
        <w:tc>
          <w:tcPr>
            <w:tcW w:w="12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13.6%</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Interbank funds</w:t>
            </w:r>
          </w:p>
        </w:tc>
        <w:tc>
          <w:tcPr>
            <w:tcW w:w="1020" w:type="dxa"/>
            <w:vAlign w:val="bottom"/>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4,542</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25,079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-67.7%</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43"/>
        </w:trPr>
        <w:tc>
          <w:tcPr>
            <w:tcW w:w="346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38,538</w:t>
            </w:r>
          </w:p>
        </w:tc>
        <w:tc>
          <w:tcPr>
            <w:tcW w:w="10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102,316</w:t>
            </w:r>
          </w:p>
        </w:tc>
        <w:tc>
          <w:tcPr>
            <w:tcW w:w="10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49,465</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54,505</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37,475</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-29.30%</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Available For Sale Securities</w:t>
            </w:r>
          </w:p>
        </w:tc>
        <w:tc>
          <w:tcPr>
            <w:tcW w:w="1020" w:type="dxa"/>
            <w:vAlign w:val="bottom"/>
          </w:tcPr>
          <w:p>
            <w:pPr>
              <w:jc w:val="right"/>
              <w:spacing w:after="0"/>
              <w:rPr>
                <w:sz w:val="20"/>
                <w:szCs w:val="20"/>
                <w:color w:val="auto"/>
              </w:rPr>
            </w:pPr>
            <w:r>
              <w:rPr>
                <w:rFonts w:ascii="Arial" w:cs="Arial" w:eastAsia="Arial" w:hAnsi="Arial"/>
                <w:sz w:val="18"/>
                <w:szCs w:val="18"/>
                <w:color w:val="auto"/>
              </w:rPr>
              <w:t>3,449,781</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2,364,084</w:t>
            </w:r>
          </w:p>
        </w:tc>
        <w:tc>
          <w:tcPr>
            <w:tcW w:w="1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1,998,309</w:t>
            </w:r>
          </w:p>
        </w:tc>
        <w:tc>
          <w:tcPr>
            <w:tcW w:w="1020" w:type="dxa"/>
            <w:vAlign w:val="bottom"/>
          </w:tcPr>
          <w:p>
            <w:pPr>
              <w:jc w:val="right"/>
              <w:spacing w:after="0"/>
              <w:rPr>
                <w:sz w:val="20"/>
                <w:szCs w:val="20"/>
                <w:color w:val="auto"/>
              </w:rPr>
            </w:pPr>
            <w:r>
              <w:rPr>
                <w:rFonts w:ascii="Arial" w:cs="Arial" w:eastAsia="Arial" w:hAnsi="Arial"/>
                <w:sz w:val="18"/>
                <w:szCs w:val="18"/>
                <w:color w:val="auto"/>
              </w:rPr>
              <w:t>1,641,157</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1,359,847</w:t>
            </w:r>
          </w:p>
        </w:tc>
        <w:tc>
          <w:tcPr>
            <w:tcW w:w="1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110.2%</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Current Loans, net</w:t>
            </w: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8,767,674</w:t>
            </w:r>
          </w:p>
        </w:tc>
        <w:tc>
          <w:tcPr>
            <w:tcW w:w="10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8,164,334</w:t>
            </w:r>
          </w:p>
        </w:tc>
        <w:tc>
          <w:tcPr>
            <w:tcW w:w="1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7,383,196</w:t>
            </w: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6,109,064</w:t>
            </w:r>
          </w:p>
        </w:tc>
        <w:tc>
          <w:tcPr>
            <w:tcW w:w="10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5,795,790</w:t>
            </w:r>
          </w:p>
        </w:tc>
        <w:tc>
          <w:tcPr>
            <w:tcW w:w="12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43.5%</w:t>
            </w:r>
          </w:p>
        </w:tc>
        <w:tc>
          <w:tcPr>
            <w:tcW w:w="118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346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460" w:type="dxa"/>
            <w:vAlign w:val="bottom"/>
          </w:tcPr>
          <w:p>
            <w:pPr>
              <w:spacing w:after="0"/>
              <w:rPr>
                <w:sz w:val="20"/>
                <w:szCs w:val="20"/>
                <w:color w:val="auto"/>
              </w:rPr>
            </w:pPr>
            <w:r>
              <w:rPr>
                <w:rFonts w:ascii="Arial" w:cs="Arial" w:eastAsia="Arial" w:hAnsi="Arial"/>
                <w:sz w:val="18"/>
                <w:szCs w:val="18"/>
                <w:b w:val="1"/>
                <w:bCs w:val="1"/>
                <w:color w:val="auto"/>
              </w:rPr>
              <w:t>Total interest earning assets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14,335,123</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12,891,306</w:t>
            </w:r>
          </w:p>
        </w:tc>
        <w:tc>
          <w:tcPr>
            <w:tcW w:w="1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9,637,930</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9,637,930</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9,250,127</w:t>
            </w:r>
          </w:p>
        </w:tc>
        <w:tc>
          <w:tcPr>
            <w:tcW w:w="12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48.7%</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4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average interest earning assets</w:t>
            </w: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13,613,215</w:t>
            </w:r>
          </w:p>
        </w:tc>
        <w:tc>
          <w:tcPr>
            <w:tcW w:w="10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12,031,956</w:t>
            </w:r>
          </w:p>
        </w:tc>
        <w:tc>
          <w:tcPr>
            <w:tcW w:w="1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10,970,685</w:t>
            </w: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9,444,029</w:t>
            </w:r>
          </w:p>
        </w:tc>
        <w:tc>
          <w:tcPr>
            <w:tcW w:w="10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8,854,003</w:t>
            </w:r>
          </w:p>
        </w:tc>
        <w:tc>
          <w:tcPr>
            <w:tcW w:w="12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6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interest rates increases and the impact of the higher reserve requirements on funding costs contributed also to such drop. As a result, NIM fell from 5.17% in 4Q07 to 5.07% in 1Q08.</w:t>
      </w:r>
    </w:p>
    <w:p>
      <w:pPr>
        <w:spacing w:after="0" w:line="22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2550160</wp:posOffset>
            </wp:positionH>
            <wp:positionV relativeFrom="page">
              <wp:posOffset>663575</wp:posOffset>
            </wp:positionV>
            <wp:extent cx="2470150" cy="18865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2470150"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II.4 Loan provisions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Provisions grow following more conservative provisioning policies for the retail portfolio. Portfolio quality ratios remain at excellent levels.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920" w:type="dxa"/>
            <w:vAlign w:val="bottom"/>
          </w:tcPr>
          <w:p>
            <w:pPr>
              <w:spacing w:after="0"/>
              <w:rPr>
                <w:sz w:val="20"/>
                <w:szCs w:val="20"/>
                <w:color w:val="auto"/>
              </w:rPr>
            </w:pPr>
            <w:r>
              <w:rPr>
                <w:rFonts w:ascii="Arial" w:cs="Arial" w:eastAsia="Arial" w:hAnsi="Arial"/>
                <w:sz w:val="18"/>
                <w:szCs w:val="18"/>
                <w:b w:val="1"/>
                <w:bCs w:val="1"/>
                <w:color w:val="auto"/>
              </w:rPr>
              <w:t>Provisión for loan losses</w:t>
            </w:r>
          </w:p>
        </w:tc>
        <w:tc>
          <w:tcPr>
            <w:tcW w:w="1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2"/>
              </w:rPr>
              <w:t>Quarter ended</w:t>
            </w:r>
          </w:p>
        </w:tc>
        <w:tc>
          <w:tcPr>
            <w:tcW w:w="11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4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2"/>
                <w:szCs w:val="22"/>
                <w:color w:val="auto"/>
              </w:rPr>
            </w:pPr>
          </w:p>
        </w:tc>
      </w:tr>
      <w:tr>
        <w:trPr>
          <w:trHeight w:val="264"/>
        </w:trPr>
        <w:tc>
          <w:tcPr>
            <w:tcW w:w="4920" w:type="dxa"/>
            <w:vAlign w:val="bottom"/>
          </w:tcPr>
          <w:p>
            <w:pPr>
              <w:spacing w:after="0"/>
              <w:rPr>
                <w:sz w:val="20"/>
                <w:szCs w:val="20"/>
                <w:color w:val="auto"/>
              </w:rPr>
            </w:pPr>
            <w:r>
              <w:rPr>
                <w:rFonts w:ascii="Arial" w:cs="Arial" w:eastAsia="Arial" w:hAnsi="Arial"/>
                <w:sz w:val="18"/>
                <w:szCs w:val="18"/>
                <w:color w:val="auto"/>
              </w:rPr>
              <w:t>US$ 000</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1Q08</w:t>
            </w:r>
          </w:p>
        </w:tc>
        <w:tc>
          <w:tcPr>
            <w:tcW w:w="16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4Q07</w:t>
            </w:r>
          </w:p>
        </w:tc>
        <w:tc>
          <w:tcPr>
            <w:tcW w:w="16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1Q07</w:t>
            </w:r>
          </w:p>
        </w:tc>
        <w:tc>
          <w:tcPr>
            <w:tcW w:w="16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1Q08/1Q07</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1Q08/4Q07</w:t>
            </w:r>
          </w:p>
        </w:tc>
        <w:tc>
          <w:tcPr>
            <w:tcW w:w="180" w:type="dxa"/>
            <w:vAlign w:val="bottom"/>
          </w:tcPr>
          <w:p>
            <w:pPr>
              <w:spacing w:after="0"/>
              <w:rPr>
                <w:sz w:val="22"/>
                <w:szCs w:val="22"/>
                <w:color w:val="auto"/>
              </w:rPr>
            </w:pPr>
          </w:p>
        </w:tc>
      </w:tr>
      <w:tr>
        <w:trPr>
          <w:trHeight w:val="237"/>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Provisions</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(25,867)</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(19,089)</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(12,371)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109.1%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35.5%</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Loan loss recoveries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8,915</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8,000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6,511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36.9%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provisions, net of recoveries</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(16,951)</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(11,089)</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(5,859)</w:t>
            </w:r>
          </w:p>
        </w:tc>
        <w:tc>
          <w:tcPr>
            <w:tcW w:w="1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189.3%</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52.9%</w:t>
            </w:r>
          </w:p>
        </w:tc>
      </w:tr>
      <w:tr>
        <w:trPr>
          <w:trHeight w:val="243"/>
        </w:trPr>
        <w:tc>
          <w:tcPr>
            <w:tcW w:w="4920" w:type="dxa"/>
            <w:vAlign w:val="bottom"/>
          </w:tcPr>
          <w:p>
            <w:pPr>
              <w:spacing w:after="0"/>
              <w:rPr>
                <w:sz w:val="20"/>
                <w:szCs w:val="20"/>
                <w:color w:val="auto"/>
              </w:rPr>
            </w:pPr>
            <w:r>
              <w:rPr>
                <w:rFonts w:ascii="Arial" w:cs="Arial" w:eastAsia="Arial" w:hAnsi="Arial"/>
                <w:sz w:val="18"/>
                <w:szCs w:val="18"/>
                <w:b w:val="1"/>
                <w:bCs w:val="1"/>
                <w:color w:val="auto"/>
              </w:rPr>
              <w:t>Total loans</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8,837,689</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8,224,613</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6,182,300</w:t>
            </w:r>
          </w:p>
        </w:tc>
        <w:tc>
          <w:tcPr>
            <w:tcW w:w="16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43.0%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Reserve for loan losses (RLL)</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219,295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212,060</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184,627</w:t>
            </w:r>
          </w:p>
        </w:tc>
        <w:tc>
          <w:tcPr>
            <w:tcW w:w="1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18.8%</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3.4%</w:t>
            </w:r>
          </w:p>
        </w:tc>
      </w:tr>
      <w:tr>
        <w:trPr>
          <w:trHeight w:val="243"/>
        </w:trPr>
        <w:tc>
          <w:tcPr>
            <w:tcW w:w="4920" w:type="dxa"/>
            <w:vAlign w:val="bottom"/>
          </w:tcPr>
          <w:p>
            <w:pPr>
              <w:spacing w:after="0"/>
              <w:rPr>
                <w:sz w:val="20"/>
                <w:szCs w:val="20"/>
                <w:color w:val="auto"/>
              </w:rPr>
            </w:pPr>
            <w:r>
              <w:rPr>
                <w:rFonts w:ascii="Arial" w:cs="Arial" w:eastAsia="Arial" w:hAnsi="Arial"/>
                <w:sz w:val="18"/>
                <w:szCs w:val="18"/>
                <w:b w:val="1"/>
                <w:bCs w:val="1"/>
                <w:color w:val="auto"/>
              </w:rPr>
              <w:t>Bcp's Charge-Off amount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9,281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12,034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10,507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r>
      <w:tr>
        <w:trPr>
          <w:trHeight w:val="250"/>
        </w:trPr>
        <w:tc>
          <w:tcPr>
            <w:tcW w:w="49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Past due loans (PDL)</w:t>
            </w: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70,015</w:t>
            </w: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60,279</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73,237</w:t>
            </w:r>
          </w:p>
        </w:tc>
        <w:tc>
          <w:tcPr>
            <w:tcW w:w="132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-4.4%</w:t>
            </w:r>
          </w:p>
        </w:tc>
        <w:tc>
          <w:tcPr>
            <w:tcW w:w="13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16.2%</w:t>
            </w:r>
          </w:p>
        </w:tc>
      </w:tr>
      <w:tr>
        <w:trPr>
          <w:trHeight w:val="20"/>
        </w:trPr>
        <w:tc>
          <w:tcPr>
            <w:tcW w:w="49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37"/>
        </w:trPr>
        <w:tc>
          <w:tcPr>
            <w:tcW w:w="4920" w:type="dxa"/>
            <w:vAlign w:val="bottom"/>
          </w:tcPr>
          <w:p>
            <w:pPr>
              <w:spacing w:after="0"/>
              <w:rPr>
                <w:sz w:val="20"/>
                <w:szCs w:val="20"/>
                <w:color w:val="auto"/>
              </w:rPr>
            </w:pPr>
            <w:r>
              <w:rPr>
                <w:rFonts w:ascii="Arial" w:cs="Arial" w:eastAsia="Arial" w:hAnsi="Arial"/>
                <w:sz w:val="18"/>
                <w:szCs w:val="18"/>
                <w:color w:val="auto"/>
              </w:rPr>
              <w:t>PDL/Total loans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0.79%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0.73%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50"/>
        </w:trPr>
        <w:tc>
          <w:tcPr>
            <w:tcW w:w="49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Coverage</w:t>
            </w:r>
          </w:p>
        </w:tc>
        <w:tc>
          <w:tcPr>
            <w:tcW w:w="12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313.21%</w:t>
            </w:r>
          </w:p>
        </w:tc>
        <w:tc>
          <w:tcPr>
            <w:tcW w:w="12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351.80%</w:t>
            </w:r>
          </w:p>
        </w:tc>
        <w:tc>
          <w:tcPr>
            <w:tcW w:w="130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252.10%</w:t>
            </w:r>
          </w:p>
        </w:tc>
        <w:tc>
          <w:tcPr>
            <w:tcW w:w="1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r>
      <w:tr>
        <w:trPr>
          <w:trHeight w:val="20"/>
        </w:trPr>
        <w:tc>
          <w:tcPr>
            <w:tcW w:w="49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provisions reached US$ 25.9 million in 1Q08, 35.5% higher QoQ, reflecting not only the increase in the loan book, but also a change in provisioning policy for our retail portfolio, raising the minimum provisions for each of the retail products to levels calculated applying a more sophisticated risk assessment methodology.</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Recoveries, on the other hand increased also a strong 11.4% due to the sale of a large and old troubled loan. This transaction represented income from recovery of US$ 1.7 million.</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Past due loans in absolute terms reflect an increase of US$ 10 million, though such relatively small movements compared to the loan portfolio size are not unusual and are not an indicator of any portfolio quality deterioration. Thus, PDL/total loans ratio of 0.79% continues being an excellent ratio, as is the 313% coverage ratio for 1Q08.</w:t>
      </w:r>
    </w:p>
    <w:p>
      <w:pPr>
        <w:spacing w:after="0" w:line="235"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2335530</wp:posOffset>
            </wp:positionH>
            <wp:positionV relativeFrom="page">
              <wp:posOffset>663575</wp:posOffset>
            </wp:positionV>
            <wp:extent cx="2889885" cy="22383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2889885"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II.5 Non Financial Income</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During 1Q08, non financial income was boosted by the extraordinary income generated for financial institutions members of Visa by the Visa IPO.</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040" w:type="dxa"/>
            <w:vAlign w:val="bottom"/>
          </w:tcPr>
          <w:p>
            <w:pPr>
              <w:spacing w:after="0"/>
              <w:rPr>
                <w:sz w:val="20"/>
                <w:szCs w:val="20"/>
                <w:color w:val="auto"/>
              </w:rPr>
            </w:pPr>
            <w:r>
              <w:rPr>
                <w:rFonts w:ascii="Arial" w:cs="Arial" w:eastAsia="Arial" w:hAnsi="Arial"/>
                <w:sz w:val="18"/>
                <w:szCs w:val="18"/>
                <w:b w:val="1"/>
                <w:bCs w:val="1"/>
                <w:color w:val="auto"/>
              </w:rPr>
              <w:t>Non financial income</w:t>
            </w: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2"/>
                <w:szCs w:val="22"/>
                <w:color w:val="auto"/>
              </w:rPr>
            </w:pPr>
          </w:p>
        </w:tc>
      </w:tr>
      <w:tr>
        <w:trPr>
          <w:trHeight w:val="264"/>
        </w:trPr>
        <w:tc>
          <w:tcPr>
            <w:tcW w:w="5040" w:type="dxa"/>
            <w:vAlign w:val="bottom"/>
          </w:tcPr>
          <w:p>
            <w:pPr>
              <w:spacing w:after="0"/>
              <w:rPr>
                <w:sz w:val="20"/>
                <w:szCs w:val="20"/>
                <w:color w:val="auto"/>
              </w:rPr>
            </w:pPr>
            <w:r>
              <w:rPr>
                <w:rFonts w:ascii="Arial" w:cs="Arial" w:eastAsia="Arial" w:hAnsi="Arial"/>
                <w:sz w:val="18"/>
                <w:szCs w:val="18"/>
                <w:color w:val="auto"/>
              </w:rPr>
              <w:t>US$ 000</w:t>
            </w: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1Q08</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4Q07</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1Q07</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1Q08/1Q07</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1Q08/4Q07</w:t>
            </w:r>
          </w:p>
        </w:tc>
        <w:tc>
          <w:tcPr>
            <w:tcW w:w="180" w:type="dxa"/>
            <w:vAlign w:val="bottom"/>
          </w:tcPr>
          <w:p>
            <w:pPr>
              <w:spacing w:after="0"/>
              <w:rPr>
                <w:sz w:val="22"/>
                <w:szCs w:val="22"/>
                <w:color w:val="auto"/>
              </w:rPr>
            </w:pPr>
          </w:p>
        </w:tc>
      </w:tr>
      <w:tr>
        <w:trPr>
          <w:trHeight w:val="237"/>
        </w:trPr>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Fee income</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79,747</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76,708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62,470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4.0%</w:t>
            </w: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Net gain on foreign exchange transactions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19,971</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21,497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11,937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67.3%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r>
      <w:tr>
        <w:trPr>
          <w:trHeight w:val="243"/>
        </w:trPr>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Net gain on sales of securities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22,655</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2,661</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9,210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146.0%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751.4%</w:t>
            </w:r>
          </w:p>
        </w:tc>
      </w:tr>
      <w:tr>
        <w:trPr>
          <w:trHeight w:val="270"/>
        </w:trPr>
        <w:tc>
          <w:tcPr>
            <w:tcW w:w="5040" w:type="dxa"/>
            <w:vAlign w:val="bottom"/>
          </w:tcPr>
          <w:p>
            <w:pPr>
              <w:spacing w:after="0"/>
              <w:rPr>
                <w:sz w:val="20"/>
                <w:szCs w:val="20"/>
                <w:color w:val="auto"/>
              </w:rPr>
            </w:pPr>
            <w:r>
              <w:rPr>
                <w:rFonts w:ascii="Arial" w:cs="Arial" w:eastAsia="Arial" w:hAnsi="Arial"/>
                <w:sz w:val="18"/>
                <w:szCs w:val="18"/>
                <w:color w:val="auto"/>
              </w:rPr>
              <w:t>Other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2,190</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2,592</w:t>
            </w:r>
          </w:p>
        </w:tc>
        <w:tc>
          <w:tcPr>
            <w:tcW w:w="120" w:type="dxa"/>
            <w:vAlign w:val="bottom"/>
          </w:tcPr>
          <w:p>
            <w:pPr>
              <w:spacing w:after="0"/>
              <w:rPr>
                <w:sz w:val="23"/>
                <w:szCs w:val="2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2,638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r>
      <w:tr>
        <w:trPr>
          <w:trHeight w:val="20"/>
        </w:trPr>
        <w:tc>
          <w:tcPr>
            <w:tcW w:w="50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4"/>
        </w:trPr>
        <w:tc>
          <w:tcPr>
            <w:tcW w:w="50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non financial income</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124,563</w:t>
            </w: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103,458</w:t>
            </w:r>
          </w:p>
        </w:tc>
        <w:tc>
          <w:tcPr>
            <w:tcW w:w="1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86,255</w:t>
            </w:r>
          </w:p>
        </w:tc>
        <w:tc>
          <w:tcPr>
            <w:tcW w:w="132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44.4%</w:t>
            </w:r>
          </w:p>
        </w:tc>
        <w:tc>
          <w:tcPr>
            <w:tcW w:w="13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20.4%</w:t>
            </w:r>
          </w:p>
        </w:tc>
      </w:tr>
      <w:tr>
        <w:trPr>
          <w:trHeight w:val="20"/>
        </w:trPr>
        <w:tc>
          <w:tcPr>
            <w:tcW w:w="504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growth of 4% QoQ comes from increased income from account maintenance fees, credit card fees, transactional fees and charges.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gain in FX transactions </w:t>
      </w:r>
      <w:r>
        <w:rPr>
          <w:rFonts w:ascii="Arial" w:cs="Arial" w:eastAsia="Arial" w:hAnsi="Arial"/>
          <w:sz w:val="18"/>
          <w:szCs w:val="18"/>
          <w:color w:val="auto"/>
        </w:rPr>
        <w:t>dropped 7.1% QoQ after having had a significantly higher FX gain in the 4Q07 due to the strong year end activity.</w:t>
      </w:r>
    </w:p>
    <w:p>
      <w:pPr>
        <w:spacing w:after="0" w:line="26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i w:val="1"/>
          <w:iCs w:val="1"/>
          <w:color w:val="auto"/>
        </w:rPr>
        <w:t xml:space="preserve">Net gain in the sale of securities </w:t>
      </w:r>
      <w:r>
        <w:rPr>
          <w:rFonts w:ascii="Arial" w:cs="Arial" w:eastAsia="Arial" w:hAnsi="Arial"/>
          <w:sz w:val="17"/>
          <w:szCs w:val="17"/>
          <w:color w:val="auto"/>
        </w:rPr>
        <w:t>reflects an extraordinary jump from US$2.7 million to US$22.7 million this quarter. This responds to the sale of the Visa</w:t>
      </w:r>
      <w:r>
        <w:rPr>
          <w:rFonts w:ascii="Arial" w:cs="Arial" w:eastAsia="Arial" w:hAnsi="Arial"/>
          <w:sz w:val="17"/>
          <w:szCs w:val="17"/>
          <w:i w:val="1"/>
          <w:iCs w:val="1"/>
          <w:color w:val="auto"/>
        </w:rPr>
        <w:t xml:space="preserve"> </w:t>
      </w:r>
      <w:r>
        <w:rPr>
          <w:rFonts w:ascii="Arial" w:cs="Arial" w:eastAsia="Arial" w:hAnsi="Arial"/>
          <w:sz w:val="17"/>
          <w:szCs w:val="17"/>
          <w:color w:val="auto"/>
        </w:rPr>
        <w:t>shares through the IPO of Visa Inc. which resulted in income of US$17.9 million in 1Q08 and thus accounts for most of the income increase.</w:t>
      </w:r>
    </w:p>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Even though commissions for banking transactions grow, the average number of monthly transactions drops from 33.3 million to 32.3 million, reflecting a drop of 2.9% QoQ. This is a normal seasonal evolution with transaction volume always peeking during the 4Q of every year.</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5"/>
              </w:rPr>
              <w:t>Quarter</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bottom w:val="single" w:sz="8" w:color="auto"/>
            </w:tcBorders>
            <w:gridSpan w:val="3"/>
          </w:tcPr>
          <w:p>
            <w:pPr>
              <w:ind w:left="900"/>
              <w:spacing w:after="0"/>
              <w:rPr>
                <w:sz w:val="20"/>
                <w:szCs w:val="20"/>
                <w:color w:val="auto"/>
              </w:rPr>
            </w:pPr>
            <w:r>
              <w:rPr>
                <w:rFonts w:ascii="Arial" w:cs="Arial" w:eastAsia="Arial" w:hAnsi="Arial"/>
                <w:sz w:val="18"/>
                <w:szCs w:val="18"/>
                <w:b w:val="1"/>
                <w:bCs w:val="1"/>
                <w:color w:val="auto"/>
                <w:w w:val="96"/>
              </w:rPr>
              <w:t>Change</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100" w:type="dxa"/>
            <w:vAlign w:val="bottom"/>
            <w:vMerge w:val="restart"/>
          </w:tcPr>
          <w:p>
            <w:pPr>
              <w:spacing w:after="0"/>
              <w:rPr>
                <w:sz w:val="20"/>
                <w:szCs w:val="20"/>
                <w:color w:val="auto"/>
              </w:rPr>
            </w:pPr>
            <w:r>
              <w:rPr>
                <w:rFonts w:ascii="Arial" w:cs="Arial" w:eastAsia="Arial" w:hAnsi="Arial"/>
                <w:sz w:val="18"/>
                <w:szCs w:val="18"/>
                <w:b w:val="1"/>
                <w:bCs w:val="1"/>
                <w:color w:val="auto"/>
              </w:rPr>
              <w:t>N° of Transactions per Channel</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jc w:val="center"/>
              <w:ind w:right="420"/>
              <w:spacing w:after="0" w:line="191" w:lineRule="exact"/>
              <w:rPr>
                <w:sz w:val="20"/>
                <w:szCs w:val="20"/>
                <w:color w:val="auto"/>
              </w:rPr>
            </w:pPr>
            <w:r>
              <w:rPr>
                <w:rFonts w:ascii="Arial" w:cs="Arial" w:eastAsia="Arial" w:hAnsi="Arial"/>
                <w:sz w:val="18"/>
                <w:szCs w:val="18"/>
                <w:b w:val="1"/>
                <w:bCs w:val="1"/>
                <w:color w:val="auto"/>
                <w:w w:val="93"/>
              </w:rPr>
              <w:t>1Q08/</w:t>
            </w:r>
          </w:p>
        </w:tc>
        <w:tc>
          <w:tcPr>
            <w:tcW w:w="88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w w:val="93"/>
              </w:rPr>
              <w:t>1Q08/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00" w:type="dxa"/>
            <w:vAlign w:val="bottom"/>
            <w:vMerge w:val="continue"/>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Average 1Q08</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Average 4Q07</w:t>
            </w: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Average 1Q07</w:t>
            </w:r>
          </w:p>
        </w:tc>
        <w:tc>
          <w:tcPr>
            <w:tcW w:w="15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5"/>
              </w:rPr>
              <w:t>1Q07</w:t>
            </w:r>
          </w:p>
        </w:tc>
        <w:tc>
          <w:tcPr>
            <w:tcW w:w="10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4Q07</w:t>
            </w:r>
          </w:p>
        </w:tc>
        <w:tc>
          <w:tcPr>
            <w:tcW w:w="0" w:type="dxa"/>
            <w:vAlign w:val="bottom"/>
          </w:tcPr>
          <w:p>
            <w:pPr>
              <w:spacing w:after="0"/>
              <w:rPr>
                <w:sz w:val="1"/>
                <w:szCs w:val="1"/>
                <w:color w:val="auto"/>
              </w:rPr>
            </w:pPr>
          </w:p>
        </w:tc>
      </w:tr>
      <w:tr>
        <w:trPr>
          <w:trHeight w:val="264"/>
        </w:trPr>
        <w:tc>
          <w:tcPr>
            <w:tcW w:w="510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00" w:type="dxa"/>
            <w:vAlign w:val="bottom"/>
            <w:shd w:val="clear" w:color="auto" w:fill="CCFFCC"/>
          </w:tcPr>
          <w:p>
            <w:pPr>
              <w:spacing w:after="0"/>
              <w:rPr>
                <w:sz w:val="20"/>
                <w:szCs w:val="20"/>
                <w:color w:val="auto"/>
              </w:rPr>
            </w:pPr>
            <w:r>
              <w:rPr>
                <w:rFonts w:ascii="Arial" w:cs="Arial" w:eastAsia="Arial" w:hAnsi="Arial"/>
                <w:sz w:val="18"/>
                <w:szCs w:val="18"/>
                <w:color w:val="auto"/>
              </w:rPr>
              <w:t>Teller</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9,091,066</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9,371,270</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8,310,053</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ATMS ViaBCP</w:t>
            </w:r>
          </w:p>
        </w:tc>
        <w:tc>
          <w:tcPr>
            <w:tcW w:w="1140" w:type="dxa"/>
            <w:vAlign w:val="bottom"/>
          </w:tcPr>
          <w:p>
            <w:pPr>
              <w:jc w:val="right"/>
              <w:spacing w:after="0"/>
              <w:rPr>
                <w:sz w:val="20"/>
                <w:szCs w:val="20"/>
                <w:color w:val="auto"/>
              </w:rPr>
            </w:pPr>
            <w:r>
              <w:rPr>
                <w:rFonts w:ascii="Arial" w:cs="Arial" w:eastAsia="Arial" w:hAnsi="Arial"/>
                <w:sz w:val="18"/>
                <w:szCs w:val="18"/>
                <w:color w:val="auto"/>
              </w:rPr>
              <w:t>5373782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5,540,733</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4,191,183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28.2%</w:t>
            </w:r>
          </w:p>
        </w:tc>
        <w:tc>
          <w:tcPr>
            <w:tcW w:w="26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100" w:type="dxa"/>
            <w:vAlign w:val="bottom"/>
            <w:shd w:val="clear" w:color="auto" w:fill="CCFFCC"/>
          </w:tcPr>
          <w:p>
            <w:pPr>
              <w:spacing w:after="0"/>
              <w:rPr>
                <w:sz w:val="20"/>
                <w:szCs w:val="20"/>
                <w:color w:val="auto"/>
              </w:rPr>
            </w:pPr>
            <w:r>
              <w:rPr>
                <w:rFonts w:ascii="Arial" w:cs="Arial" w:eastAsia="Arial" w:hAnsi="Arial"/>
                <w:sz w:val="18"/>
                <w:szCs w:val="18"/>
                <w:color w:val="auto"/>
              </w:rPr>
              <w:t>Balance Inquiries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2,249,668</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2,468,491</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2,022,884</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11.2%</w:t>
            </w:r>
          </w:p>
        </w:tc>
        <w:tc>
          <w:tcPr>
            <w:tcW w:w="26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Telephone Banking</w:t>
            </w:r>
          </w:p>
        </w:tc>
        <w:tc>
          <w:tcPr>
            <w:tcW w:w="1140" w:type="dxa"/>
            <w:vAlign w:val="bottom"/>
          </w:tcPr>
          <w:p>
            <w:pPr>
              <w:jc w:val="right"/>
              <w:spacing w:after="0"/>
              <w:rPr>
                <w:sz w:val="20"/>
                <w:szCs w:val="20"/>
                <w:color w:val="auto"/>
              </w:rPr>
            </w:pPr>
            <w:r>
              <w:rPr>
                <w:rFonts w:ascii="Arial" w:cs="Arial" w:eastAsia="Arial" w:hAnsi="Arial"/>
                <w:sz w:val="18"/>
                <w:szCs w:val="18"/>
                <w:color w:val="auto"/>
              </w:rPr>
              <w:t>1,108,666</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1,203,838</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943,356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26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5100" w:type="dxa"/>
            <w:vAlign w:val="bottom"/>
            <w:shd w:val="clear" w:color="auto" w:fill="CCFFCC"/>
          </w:tcPr>
          <w:p>
            <w:pPr>
              <w:spacing w:after="0"/>
              <w:rPr>
                <w:sz w:val="20"/>
                <w:szCs w:val="20"/>
                <w:color w:val="auto"/>
              </w:rPr>
            </w:pPr>
            <w:r>
              <w:rPr>
                <w:rFonts w:ascii="Arial" w:cs="Arial" w:eastAsia="Arial" w:hAnsi="Arial"/>
                <w:sz w:val="18"/>
                <w:szCs w:val="18"/>
                <w:color w:val="auto"/>
              </w:rPr>
              <w:t>Internet Banking ViaBCP</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7,448,052</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7,284,113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5,891,783</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26.4%</w:t>
            </w:r>
          </w:p>
        </w:tc>
        <w:tc>
          <w:tcPr>
            <w:tcW w:w="26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Agente BCP</w:t>
            </w:r>
          </w:p>
        </w:tc>
        <w:tc>
          <w:tcPr>
            <w:tcW w:w="1140" w:type="dxa"/>
            <w:vAlign w:val="bottom"/>
          </w:tcPr>
          <w:p>
            <w:pPr>
              <w:jc w:val="right"/>
              <w:spacing w:after="0"/>
              <w:rPr>
                <w:sz w:val="20"/>
                <w:szCs w:val="20"/>
                <w:color w:val="auto"/>
              </w:rPr>
            </w:pPr>
            <w:r>
              <w:rPr>
                <w:rFonts w:ascii="Arial" w:cs="Arial" w:eastAsia="Arial" w:hAnsi="Arial"/>
                <w:sz w:val="18"/>
                <w:szCs w:val="18"/>
                <w:color w:val="auto"/>
              </w:rPr>
              <w:t>1,248,203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1,092,778</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497,603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150.8%</w:t>
            </w:r>
          </w:p>
        </w:tc>
        <w:tc>
          <w:tcPr>
            <w:tcW w:w="26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5100" w:type="dxa"/>
            <w:vAlign w:val="bottom"/>
            <w:shd w:val="clear" w:color="auto" w:fill="CCFFCC"/>
          </w:tcPr>
          <w:p>
            <w:pPr>
              <w:spacing w:after="0"/>
              <w:rPr>
                <w:sz w:val="20"/>
                <w:szCs w:val="20"/>
                <w:color w:val="auto"/>
              </w:rPr>
            </w:pPr>
            <w:r>
              <w:rPr>
                <w:rFonts w:ascii="Arial" w:cs="Arial" w:eastAsia="Arial" w:hAnsi="Arial"/>
                <w:sz w:val="18"/>
                <w:szCs w:val="18"/>
                <w:color w:val="auto"/>
              </w:rPr>
              <w:t>Telecrédito</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2,884,387</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3,374,932</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2,532,613</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Direct Debit</w:t>
            </w:r>
          </w:p>
        </w:tc>
        <w:tc>
          <w:tcPr>
            <w:tcW w:w="1140" w:type="dxa"/>
            <w:vAlign w:val="bottom"/>
          </w:tcPr>
          <w:p>
            <w:pPr>
              <w:jc w:val="right"/>
              <w:spacing w:after="0"/>
              <w:rPr>
                <w:sz w:val="20"/>
                <w:szCs w:val="20"/>
                <w:color w:val="auto"/>
              </w:rPr>
            </w:pPr>
            <w:r>
              <w:rPr>
                <w:rFonts w:ascii="Arial" w:cs="Arial" w:eastAsia="Arial" w:hAnsi="Arial"/>
                <w:sz w:val="18"/>
                <w:szCs w:val="18"/>
                <w:color w:val="auto"/>
              </w:rPr>
              <w:t>341,265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346,710</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281,029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26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5100" w:type="dxa"/>
            <w:vAlign w:val="bottom"/>
            <w:shd w:val="clear" w:color="auto" w:fill="CCFFCC"/>
          </w:tcPr>
          <w:p>
            <w:pPr>
              <w:spacing w:after="0"/>
              <w:rPr>
                <w:sz w:val="20"/>
                <w:szCs w:val="20"/>
                <w:color w:val="auto"/>
              </w:rPr>
            </w:pPr>
            <w:r>
              <w:rPr>
                <w:rFonts w:ascii="Arial" w:cs="Arial" w:eastAsia="Arial" w:hAnsi="Arial"/>
                <w:sz w:val="18"/>
                <w:szCs w:val="18"/>
                <w:color w:val="auto"/>
              </w:rPr>
              <w:t>P.O.S.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2,466,764</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2,489,588</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1,983,368</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24.4%</w:t>
            </w:r>
          </w:p>
        </w:tc>
        <w:tc>
          <w:tcPr>
            <w:tcW w:w="26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Other ATM network</w:t>
            </w:r>
          </w:p>
        </w:tc>
        <w:tc>
          <w:tcPr>
            <w:tcW w:w="1140" w:type="dxa"/>
            <w:vAlign w:val="bottom"/>
          </w:tcPr>
          <w:p>
            <w:pPr>
              <w:jc w:val="right"/>
              <w:spacing w:after="0"/>
              <w:rPr>
                <w:sz w:val="20"/>
                <w:szCs w:val="20"/>
                <w:color w:val="auto"/>
              </w:rPr>
            </w:pPr>
            <w:r>
              <w:rPr>
                <w:rFonts w:ascii="Arial" w:cs="Arial" w:eastAsia="Arial" w:hAnsi="Arial"/>
                <w:sz w:val="18"/>
                <w:szCs w:val="18"/>
                <w:color w:val="auto"/>
              </w:rPr>
              <w:t>173,343</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168,839</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139,280</w:t>
            </w:r>
          </w:p>
        </w:tc>
        <w:tc>
          <w:tcPr>
            <w:tcW w:w="10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26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1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transactions</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32,385,197</w:t>
            </w: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33,341,293</w:t>
            </w: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26,793,154</w:t>
            </w:r>
          </w:p>
        </w:tc>
        <w:tc>
          <w:tcPr>
            <w:tcW w:w="1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20.9%</w:t>
            </w:r>
          </w:p>
        </w:tc>
        <w:tc>
          <w:tcPr>
            <w:tcW w:w="26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the chart above, the evolution of the number of transactions done through the “Agente BCP” is truly noteworthy, reflecting its significance; as well as the evolution of electronic channels vis-à-vis the traditional teller transactions.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Quarter</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Change</w:t>
            </w:r>
          </w:p>
        </w:tc>
      </w:tr>
      <w:tr>
        <w:trPr>
          <w:trHeight w:val="195"/>
        </w:trPr>
        <w:tc>
          <w:tcPr>
            <w:tcW w:w="49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top w:val="single" w:sz="8" w:color="auto"/>
            </w:tcBorders>
            <w:gridSpan w:val="2"/>
          </w:tcPr>
          <w:p>
            <w:pPr>
              <w:ind w:left="140"/>
              <w:spacing w:after="0" w:line="195" w:lineRule="exact"/>
              <w:rPr>
                <w:sz w:val="20"/>
                <w:szCs w:val="20"/>
                <w:color w:val="auto"/>
              </w:rPr>
            </w:pPr>
            <w:r>
              <w:rPr>
                <w:rFonts w:ascii="Arial" w:cs="Arial" w:eastAsia="Arial" w:hAnsi="Arial"/>
                <w:sz w:val="18"/>
                <w:szCs w:val="18"/>
                <w:color w:val="auto"/>
              </w:rPr>
              <w:t>Mar. 08/</w:t>
            </w: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Mar. 08/</w:t>
            </w:r>
          </w:p>
        </w:tc>
        <w:tc>
          <w:tcPr>
            <w:tcW w:w="180" w:type="dxa"/>
            <w:vAlign w:val="bottom"/>
          </w:tcPr>
          <w:p>
            <w:pPr>
              <w:spacing w:after="0"/>
              <w:rPr>
                <w:sz w:val="16"/>
                <w:szCs w:val="16"/>
                <w:color w:val="auto"/>
              </w:rPr>
            </w:pPr>
          </w:p>
        </w:tc>
      </w:tr>
      <w:tr>
        <w:trPr>
          <w:trHeight w:val="230"/>
        </w:trPr>
        <w:tc>
          <w:tcPr>
            <w:tcW w:w="490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Mar-08</w:t>
            </w:r>
          </w:p>
        </w:tc>
        <w:tc>
          <w:tcPr>
            <w:tcW w:w="120" w:type="dxa"/>
            <w:vAlign w:val="bottom"/>
          </w:tcPr>
          <w:p>
            <w:pPr>
              <w:spacing w:after="0"/>
              <w:rPr>
                <w:sz w:val="20"/>
                <w:szCs w:val="20"/>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Dec-07</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Sep-07</w:t>
            </w:r>
          </w:p>
        </w:tc>
        <w:tc>
          <w:tcPr>
            <w:tcW w:w="14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Mar-07</w:t>
            </w:r>
          </w:p>
        </w:tc>
        <w:tc>
          <w:tcPr>
            <w:tcW w:w="1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Dec-06</w:t>
            </w:r>
          </w:p>
        </w:tc>
        <w:tc>
          <w:tcPr>
            <w:tcW w:w="120" w:type="dxa"/>
            <w:vAlign w:val="bottom"/>
          </w:tcPr>
          <w:p>
            <w:pPr>
              <w:spacing w:after="0"/>
              <w:rPr>
                <w:sz w:val="20"/>
                <w:szCs w:val="20"/>
                <w:color w:val="auto"/>
              </w:rPr>
            </w:pP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6"/>
              </w:rPr>
              <w:t>Dec. 07</w:t>
            </w:r>
          </w:p>
        </w:tc>
        <w:tc>
          <w:tcPr>
            <w:tcW w:w="16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Mar. 07</w:t>
            </w:r>
          </w:p>
        </w:tc>
        <w:tc>
          <w:tcPr>
            <w:tcW w:w="180" w:type="dxa"/>
            <w:vAlign w:val="bottom"/>
          </w:tcPr>
          <w:p>
            <w:pPr>
              <w:spacing w:after="0"/>
              <w:rPr>
                <w:sz w:val="20"/>
                <w:szCs w:val="20"/>
                <w:color w:val="auto"/>
              </w:rPr>
            </w:pPr>
          </w:p>
        </w:tc>
      </w:tr>
      <w:tr>
        <w:trPr>
          <w:trHeight w:val="237"/>
        </w:trPr>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Branches</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FFCC"/>
          </w:tcPr>
          <w:p>
            <w:pPr>
              <w:spacing w:after="0"/>
              <w:rPr>
                <w:sz w:val="20"/>
                <w:szCs w:val="20"/>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273</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254</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245</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237</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w:t>
            </w: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ATMs</w:t>
            </w:r>
          </w:p>
        </w:tc>
        <w:tc>
          <w:tcPr>
            <w:tcW w:w="780" w:type="dxa"/>
            <w:vAlign w:val="bottom"/>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748</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724</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691</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655</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43"/>
        </w:trPr>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Agentes BCP</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1,358</w:t>
            </w:r>
          </w:p>
        </w:tc>
        <w:tc>
          <w:tcPr>
            <w:tcW w:w="12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1,221</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1,017</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703</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551</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w:t>
            </w: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93%</w:t>
            </w:r>
          </w:p>
        </w:tc>
      </w:tr>
      <w:tr>
        <w:trPr>
          <w:trHeight w:val="20"/>
        </w:trPr>
        <w:tc>
          <w:tcPr>
            <w:tcW w:w="490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37"/>
        </w:trPr>
        <w:tc>
          <w:tcPr>
            <w:tcW w:w="490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jc w:val="right"/>
              <w:spacing w:after="0"/>
              <w:rPr>
                <w:sz w:val="20"/>
                <w:szCs w:val="20"/>
                <w:color w:val="auto"/>
              </w:rPr>
            </w:pPr>
            <w:r>
              <w:rPr>
                <w:rFonts w:ascii="Arial" w:cs="Arial" w:eastAsia="Arial" w:hAnsi="Arial"/>
                <w:sz w:val="18"/>
                <w:szCs w:val="18"/>
                <w:color w:val="auto"/>
              </w:rPr>
              <w:t>2,413</w:t>
            </w: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2,242</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1,995</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1,639</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1,443</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20"/>
        </w:trPr>
        <w:tc>
          <w:tcPr>
            <w:tcW w:w="49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II.6 Operating Costs and Efficiency</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efficiency ratio improved this 1Q08 to 47.5%, with operating expenses dropping 8.9% QoQ after the high year end related cost increase reported in 4Q07 and despite the negative impact of the revaluation of Soles denominated costs.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8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5"/>
              </w:rPr>
              <w:t>Quarter</w:t>
            </w:r>
          </w:p>
        </w:tc>
        <w:tc>
          <w:tcPr>
            <w:tcW w:w="112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46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2"/>
                <w:szCs w:val="22"/>
                <w:color w:val="auto"/>
              </w:rPr>
            </w:pPr>
          </w:p>
        </w:tc>
      </w:tr>
      <w:tr>
        <w:trPr>
          <w:trHeight w:val="264"/>
        </w:trPr>
        <w:tc>
          <w:tcPr>
            <w:tcW w:w="4860" w:type="dxa"/>
            <w:vAlign w:val="bottom"/>
          </w:tcPr>
          <w:p>
            <w:pPr>
              <w:spacing w:after="0"/>
              <w:rPr>
                <w:sz w:val="20"/>
                <w:szCs w:val="20"/>
                <w:color w:val="auto"/>
              </w:rPr>
            </w:pPr>
            <w:r>
              <w:rPr>
                <w:rFonts w:ascii="Arial" w:cs="Arial" w:eastAsia="Arial" w:hAnsi="Arial"/>
                <w:sz w:val="18"/>
                <w:szCs w:val="18"/>
                <w:color w:val="auto"/>
              </w:rPr>
              <w:t>US$ 000</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1Q08</w:t>
            </w:r>
          </w:p>
        </w:tc>
        <w:tc>
          <w:tcPr>
            <w:tcW w:w="18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4Q07</w:t>
            </w:r>
          </w:p>
        </w:tc>
        <w:tc>
          <w:tcPr>
            <w:tcW w:w="200" w:type="dxa"/>
            <w:vAlign w:val="bottom"/>
          </w:tcPr>
          <w:p>
            <w:pPr>
              <w:spacing w:after="0"/>
              <w:rPr>
                <w:sz w:val="22"/>
                <w:szCs w:val="22"/>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1Q07</w:t>
            </w:r>
          </w:p>
        </w:tc>
        <w:tc>
          <w:tcPr>
            <w:tcW w:w="180" w:type="dxa"/>
            <w:vAlign w:val="bottom"/>
          </w:tcPr>
          <w:p>
            <w:pPr>
              <w:spacing w:after="0"/>
              <w:rPr>
                <w:sz w:val="22"/>
                <w:szCs w:val="22"/>
                <w:color w:val="auto"/>
              </w:rPr>
            </w:pP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1Q08/1Q07</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1Q08/4Q07</w:t>
            </w:r>
          </w:p>
        </w:tc>
        <w:tc>
          <w:tcPr>
            <w:tcW w:w="180" w:type="dxa"/>
            <w:vAlign w:val="bottom"/>
          </w:tcPr>
          <w:p>
            <w:pPr>
              <w:spacing w:after="0"/>
              <w:rPr>
                <w:sz w:val="22"/>
                <w:szCs w:val="22"/>
                <w:color w:val="auto"/>
              </w:rPr>
            </w:pPr>
          </w:p>
        </w:tc>
      </w:tr>
      <w:tr>
        <w:trPr>
          <w:trHeight w:val="237"/>
        </w:trPr>
        <w:tc>
          <w:tcPr>
            <w:tcW w:w="4860" w:type="dxa"/>
            <w:vAlign w:val="bottom"/>
            <w:shd w:val="clear" w:color="auto" w:fill="CCFFCC"/>
          </w:tcPr>
          <w:p>
            <w:pPr>
              <w:spacing w:after="0"/>
              <w:rPr>
                <w:sz w:val="20"/>
                <w:szCs w:val="20"/>
                <w:color w:val="auto"/>
              </w:rPr>
            </w:pPr>
            <w:r>
              <w:rPr>
                <w:rFonts w:ascii="Arial" w:cs="Arial" w:eastAsia="Arial" w:hAnsi="Arial"/>
                <w:sz w:val="18"/>
                <w:szCs w:val="18"/>
                <w:color w:val="auto"/>
              </w:rPr>
              <w:t>Salaries and employees benefits</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70,553</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75,147</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51,302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-6.1%</w:t>
            </w: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Administrative, general and tax expenses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48,520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59,234</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37,755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28.5%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r>
      <w:tr>
        <w:trPr>
          <w:trHeight w:val="243"/>
        </w:trPr>
        <w:tc>
          <w:tcPr>
            <w:tcW w:w="486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amortizacion</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10,364</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10,000</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9,423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w:t>
            </w:r>
          </w:p>
        </w:tc>
      </w:tr>
      <w:tr>
        <w:trPr>
          <w:trHeight w:val="270"/>
        </w:trPr>
        <w:tc>
          <w:tcPr>
            <w:tcW w:w="4860" w:type="dxa"/>
            <w:vAlign w:val="bottom"/>
          </w:tcPr>
          <w:p>
            <w:pPr>
              <w:spacing w:after="0"/>
              <w:rPr>
                <w:sz w:val="20"/>
                <w:szCs w:val="20"/>
                <w:color w:val="auto"/>
              </w:rPr>
            </w:pPr>
            <w:r>
              <w:rPr>
                <w:rFonts w:ascii="Arial" w:cs="Arial" w:eastAsia="Arial" w:hAnsi="Arial"/>
                <w:sz w:val="18"/>
                <w:szCs w:val="18"/>
                <w:color w:val="auto"/>
              </w:rPr>
              <w:t>Other expenses</w:t>
            </w:r>
          </w:p>
        </w:tc>
        <w:tc>
          <w:tcPr>
            <w:tcW w:w="1120" w:type="dxa"/>
            <w:vAlign w:val="bottom"/>
          </w:tcPr>
          <w:p>
            <w:pPr>
              <w:jc w:val="right"/>
              <w:spacing w:after="0"/>
              <w:rPr>
                <w:sz w:val="20"/>
                <w:szCs w:val="20"/>
                <w:color w:val="auto"/>
              </w:rPr>
            </w:pPr>
            <w:r>
              <w:rPr>
                <w:rFonts w:ascii="Arial" w:cs="Arial" w:eastAsia="Arial" w:hAnsi="Arial"/>
                <w:sz w:val="18"/>
                <w:szCs w:val="18"/>
                <w:color w:val="auto"/>
              </w:rPr>
              <w:t>8,898</w:t>
            </w:r>
          </w:p>
        </w:tc>
        <w:tc>
          <w:tcPr>
            <w:tcW w:w="18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7,485</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9,738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r>
      <w:tr>
        <w:trPr>
          <w:trHeight w:val="20"/>
        </w:trPr>
        <w:tc>
          <w:tcPr>
            <w:tcW w:w="48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4"/>
        </w:trPr>
        <w:tc>
          <w:tcPr>
            <w:tcW w:w="48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operating expenses</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138,335</w:t>
            </w:r>
          </w:p>
        </w:tc>
        <w:tc>
          <w:tcPr>
            <w:tcW w:w="18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151,867</w:t>
            </w:r>
          </w:p>
        </w:tc>
        <w:tc>
          <w:tcPr>
            <w:tcW w:w="130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108,218</w:t>
            </w:r>
          </w:p>
        </w:tc>
        <w:tc>
          <w:tcPr>
            <w:tcW w:w="132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27.8%</w:t>
            </w:r>
          </w:p>
        </w:tc>
        <w:tc>
          <w:tcPr>
            <w:tcW w:w="13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-8.9%</w:t>
            </w:r>
          </w:p>
        </w:tc>
      </w:tr>
      <w:tr>
        <w:trPr>
          <w:trHeight w:val="20"/>
        </w:trPr>
        <w:tc>
          <w:tcPr>
            <w:tcW w:w="48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4860" w:type="dxa"/>
            <w:vAlign w:val="bottom"/>
          </w:tcPr>
          <w:p>
            <w:pPr>
              <w:spacing w:after="0"/>
              <w:rPr>
                <w:sz w:val="20"/>
                <w:szCs w:val="20"/>
                <w:color w:val="auto"/>
              </w:rPr>
            </w:pPr>
            <w:r>
              <w:rPr>
                <w:rFonts w:ascii="Arial" w:cs="Arial" w:eastAsia="Arial" w:hAnsi="Arial"/>
                <w:sz w:val="18"/>
                <w:szCs w:val="18"/>
                <w:b w:val="1"/>
                <w:bCs w:val="1"/>
                <w:color w:val="auto"/>
              </w:rPr>
              <w:t>Efficiency Ratio</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47.53%</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56.89%</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49.81%</w:t>
            </w: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0"/>
        </w:trPr>
        <w:tc>
          <w:tcPr>
            <w:tcW w:w="48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Though fixed Soles denominated salaries expense increased approximately 19% this quarter as the number of employees increased to 13,540 from 12,667 by the end of last year driven by the network expansion plans, on a comparative base with the previous quarter, a drop of 6.1% is reported due to the high comparison base set by the seasonally higher year end costs (related to performance compensation) and the unusual provisions for the retirement of a few members of senior management in the 4Q07. The differential between quarters in personnel expenses was in fact stronger than reported since the revaluation effect of the Soles works exacerbating in dollar terms the increased nominal soles payroll. This is more evident in a YoY comparison where a 37.5% growth is observed, which is certainly exacerbated by the Soles revaluation. Nevertheless, despite the 19% nominal payroll increase, this was below expectations and explained by a non linear progression in expenses related to the network expansion, which resulted in less expense growth for the beginning of the year than projected.</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50" w:right="239" w:bottom="1440" w:gutter="0" w:footer="0" w:header="0"/>
        </w:sectPr>
      </w:pPr>
    </w:p>
    <w:bookmarkStart w:id="17" w:name="page18"/>
    <w:bookmarkEnd w:id="17"/>
    <w:p>
      <w:pPr>
        <w:ind w:right="80"/>
        <w:spacing w:after="0" w:line="276" w:lineRule="auto"/>
        <w:rPr>
          <w:sz w:val="20"/>
          <w:szCs w:val="20"/>
          <w:color w:val="auto"/>
        </w:rPr>
      </w:pPr>
      <w:r>
        <w:rPr>
          <w:rFonts w:ascii="Arial" w:cs="Arial" w:eastAsia="Arial" w:hAnsi="Arial"/>
          <w:sz w:val="17"/>
          <w:szCs w:val="17"/>
          <w:color w:val="auto"/>
        </w:rPr>
        <w:t>Administrative expenses on the other side, also reported a significant drop of 18.1% from the previous quarter. Once again, the year end strong increases in expenses in 4Q07, in all sectors such as marketing, systems support, consultancy jobs and transportation, set a high expense level for last quarter, and given the normalized level of expenses and also the mentioned non linear distribution of such, helps explains the drop reported. In fact marketing expenses dropped 58.7% QoQ and systems support expenses were down 24.4%. We would however like to point out, that the network expansion plan and systems support investments are going full speed ahead and will result in expense increases along the year.</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Such administrative expense expansion is thus better reflected by the yearly growth reported of a total of 28.5%.</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580" w:type="dxa"/>
            <w:vAlign w:val="bottom"/>
          </w:tcPr>
          <w:p>
            <w:pPr>
              <w:spacing w:after="0"/>
              <w:rPr>
                <w:sz w:val="20"/>
                <w:szCs w:val="20"/>
                <w:color w:val="auto"/>
              </w:rPr>
            </w:pPr>
            <w:r>
              <w:rPr>
                <w:rFonts w:ascii="Arial" w:cs="Arial" w:eastAsia="Arial" w:hAnsi="Arial"/>
                <w:sz w:val="18"/>
                <w:szCs w:val="18"/>
                <w:b w:val="1"/>
                <w:bCs w:val="1"/>
                <w:color w:val="auto"/>
              </w:rPr>
              <w:t>Administrative expenses</w:t>
            </w:r>
          </w:p>
        </w:tc>
        <w:tc>
          <w:tcPr>
            <w:tcW w:w="7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w w:val="95"/>
              </w:rPr>
              <w:t>Quarter</w:t>
            </w:r>
          </w:p>
        </w:tc>
        <w:tc>
          <w:tcPr>
            <w:tcW w:w="1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2"/>
                <w:szCs w:val="22"/>
                <w:color w:val="auto"/>
              </w:rPr>
            </w:pPr>
          </w:p>
        </w:tc>
      </w:tr>
      <w:tr>
        <w:trPr>
          <w:trHeight w:val="264"/>
        </w:trPr>
        <w:tc>
          <w:tcPr>
            <w:tcW w:w="3580" w:type="dxa"/>
            <w:vAlign w:val="bottom"/>
          </w:tcPr>
          <w:p>
            <w:pPr>
              <w:spacing w:after="0"/>
              <w:rPr>
                <w:sz w:val="20"/>
                <w:szCs w:val="20"/>
                <w:color w:val="auto"/>
              </w:rPr>
            </w:pPr>
            <w:r>
              <w:rPr>
                <w:rFonts w:ascii="Arial" w:cs="Arial" w:eastAsia="Arial" w:hAnsi="Arial"/>
                <w:sz w:val="18"/>
                <w:szCs w:val="18"/>
                <w:color w:val="auto"/>
              </w:rPr>
              <w:t>US$ 000</w:t>
            </w: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1Q08</w:t>
            </w:r>
          </w:p>
        </w:tc>
        <w:tc>
          <w:tcPr>
            <w:tcW w:w="140" w:type="dxa"/>
            <w:vAlign w:val="bottom"/>
          </w:tcPr>
          <w:p>
            <w:pPr>
              <w:spacing w:after="0"/>
              <w:rPr>
                <w:sz w:val="22"/>
                <w:szCs w:val="22"/>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4Q07</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30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1Q07</w:t>
            </w:r>
          </w:p>
        </w:tc>
        <w:tc>
          <w:tcPr>
            <w:tcW w:w="120" w:type="dxa"/>
            <w:vAlign w:val="bottom"/>
          </w:tcPr>
          <w:p>
            <w:pPr>
              <w:spacing w:after="0"/>
              <w:rPr>
                <w:sz w:val="22"/>
                <w:szCs w:val="22"/>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6"/>
              </w:rPr>
              <w:t>1Q08/1Q07</w:t>
            </w:r>
          </w:p>
        </w:tc>
        <w:tc>
          <w:tcPr>
            <w:tcW w:w="200" w:type="dxa"/>
            <w:vAlign w:val="bottom"/>
          </w:tcPr>
          <w:p>
            <w:pPr>
              <w:spacing w:after="0"/>
              <w:rPr>
                <w:sz w:val="22"/>
                <w:szCs w:val="22"/>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6"/>
              </w:rPr>
              <w:t>1Q08/4Q07</w:t>
            </w:r>
          </w:p>
        </w:tc>
        <w:tc>
          <w:tcPr>
            <w:tcW w:w="220" w:type="dxa"/>
            <w:vAlign w:val="bottom"/>
          </w:tcPr>
          <w:p>
            <w:pPr>
              <w:spacing w:after="0"/>
              <w:rPr>
                <w:sz w:val="22"/>
                <w:szCs w:val="22"/>
                <w:color w:val="auto"/>
              </w:rPr>
            </w:pPr>
          </w:p>
        </w:tc>
      </w:tr>
      <w:tr>
        <w:trPr>
          <w:trHeight w:val="237"/>
        </w:trPr>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Marketing</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5,032</w:t>
            </w:r>
          </w:p>
        </w:tc>
        <w:tc>
          <w:tcPr>
            <w:tcW w:w="140" w:type="dxa"/>
            <w:vAlign w:val="bottom"/>
            <w:shd w:val="clear" w:color="auto" w:fill="CCFFCC"/>
          </w:tcPr>
          <w:p>
            <w:pPr>
              <w:spacing w:after="0"/>
              <w:rPr>
                <w:sz w:val="20"/>
                <w:szCs w:val="20"/>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12,180</w:t>
            </w:r>
          </w:p>
        </w:tc>
        <w:tc>
          <w:tcPr>
            <w:tcW w:w="28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5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3,785</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32.9%</w:t>
            </w: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-58.7%</w:t>
            </w: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Systems</w:t>
            </w:r>
          </w:p>
        </w:tc>
        <w:tc>
          <w:tcPr>
            <w:tcW w:w="740" w:type="dxa"/>
            <w:vAlign w:val="bottom"/>
          </w:tcPr>
          <w:p>
            <w:pPr>
              <w:jc w:val="right"/>
              <w:spacing w:after="0"/>
              <w:rPr>
                <w:sz w:val="20"/>
                <w:szCs w:val="20"/>
                <w:color w:val="auto"/>
              </w:rPr>
            </w:pPr>
            <w:r>
              <w:rPr>
                <w:rFonts w:ascii="Arial" w:cs="Arial" w:eastAsia="Arial" w:hAnsi="Arial"/>
                <w:sz w:val="18"/>
                <w:szCs w:val="18"/>
                <w:color w:val="auto"/>
              </w:rPr>
              <w:t>6,892</w:t>
            </w:r>
          </w:p>
        </w:tc>
        <w:tc>
          <w:tcPr>
            <w:tcW w:w="14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740" w:type="dxa"/>
            <w:vAlign w:val="bottom"/>
          </w:tcPr>
          <w:p>
            <w:pPr>
              <w:jc w:val="right"/>
              <w:spacing w:after="0"/>
              <w:rPr>
                <w:sz w:val="20"/>
                <w:szCs w:val="20"/>
                <w:color w:val="auto"/>
              </w:rPr>
            </w:pPr>
            <w:r>
              <w:rPr>
                <w:rFonts w:ascii="Arial" w:cs="Arial" w:eastAsia="Arial" w:hAnsi="Arial"/>
                <w:sz w:val="18"/>
                <w:szCs w:val="18"/>
                <w:color w:val="auto"/>
              </w:rPr>
              <w:t>9,121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6,967</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-24.4%</w:t>
            </w:r>
          </w:p>
        </w:tc>
      </w:tr>
      <w:tr>
        <w:trPr>
          <w:trHeight w:val="243"/>
        </w:trPr>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Transportation</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4,458</w:t>
            </w:r>
          </w:p>
        </w:tc>
        <w:tc>
          <w:tcPr>
            <w:tcW w:w="14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4,864</w:t>
            </w:r>
          </w:p>
        </w:tc>
        <w:tc>
          <w:tcPr>
            <w:tcW w:w="12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5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3,528</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26.4%</w:t>
            </w: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-8.3%</w:t>
            </w: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Maintenance</w:t>
            </w:r>
          </w:p>
        </w:tc>
        <w:tc>
          <w:tcPr>
            <w:tcW w:w="740" w:type="dxa"/>
            <w:vAlign w:val="bottom"/>
          </w:tcPr>
          <w:p>
            <w:pPr>
              <w:jc w:val="right"/>
              <w:spacing w:after="0"/>
              <w:rPr>
                <w:sz w:val="20"/>
                <w:szCs w:val="20"/>
                <w:color w:val="auto"/>
              </w:rPr>
            </w:pPr>
            <w:r>
              <w:rPr>
                <w:rFonts w:ascii="Arial" w:cs="Arial" w:eastAsia="Arial" w:hAnsi="Arial"/>
                <w:sz w:val="18"/>
                <w:szCs w:val="18"/>
                <w:color w:val="auto"/>
              </w:rPr>
              <w:t>2,444</w:t>
            </w:r>
          </w:p>
        </w:tc>
        <w:tc>
          <w:tcPr>
            <w:tcW w:w="14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740" w:type="dxa"/>
            <w:vAlign w:val="bottom"/>
          </w:tcPr>
          <w:p>
            <w:pPr>
              <w:jc w:val="right"/>
              <w:spacing w:after="0"/>
              <w:rPr>
                <w:sz w:val="20"/>
                <w:szCs w:val="20"/>
                <w:color w:val="auto"/>
              </w:rPr>
            </w:pPr>
            <w:r>
              <w:rPr>
                <w:rFonts w:ascii="Arial" w:cs="Arial" w:eastAsia="Arial" w:hAnsi="Arial"/>
                <w:sz w:val="18"/>
                <w:szCs w:val="18"/>
                <w:color w:val="auto"/>
              </w:rPr>
              <w:t>2,319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1,605</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52.3%</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r>
      <w:tr>
        <w:trPr>
          <w:trHeight w:val="243"/>
        </w:trPr>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Communications</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2,497</w:t>
            </w:r>
          </w:p>
        </w:tc>
        <w:tc>
          <w:tcPr>
            <w:tcW w:w="14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2,217</w:t>
            </w:r>
          </w:p>
        </w:tc>
        <w:tc>
          <w:tcPr>
            <w:tcW w:w="12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5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1,938</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28.9%</w:t>
            </w: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12.6%</w:t>
            </w: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Consulting</w:t>
            </w:r>
          </w:p>
        </w:tc>
        <w:tc>
          <w:tcPr>
            <w:tcW w:w="740" w:type="dxa"/>
            <w:vAlign w:val="bottom"/>
          </w:tcPr>
          <w:p>
            <w:pPr>
              <w:jc w:val="right"/>
              <w:spacing w:after="0"/>
              <w:rPr>
                <w:sz w:val="20"/>
                <w:szCs w:val="20"/>
                <w:color w:val="auto"/>
              </w:rPr>
            </w:pPr>
            <w:r>
              <w:rPr>
                <w:rFonts w:ascii="Arial" w:cs="Arial" w:eastAsia="Arial" w:hAnsi="Arial"/>
                <w:sz w:val="18"/>
                <w:szCs w:val="18"/>
                <w:color w:val="auto"/>
              </w:rPr>
              <w:t>2,207</w:t>
            </w:r>
          </w:p>
        </w:tc>
        <w:tc>
          <w:tcPr>
            <w:tcW w:w="14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740" w:type="dxa"/>
            <w:vAlign w:val="bottom"/>
          </w:tcPr>
          <w:p>
            <w:pPr>
              <w:jc w:val="right"/>
              <w:spacing w:after="0"/>
              <w:rPr>
                <w:sz w:val="20"/>
                <w:szCs w:val="20"/>
                <w:color w:val="auto"/>
              </w:rPr>
            </w:pPr>
            <w:r>
              <w:rPr>
                <w:rFonts w:ascii="Arial" w:cs="Arial" w:eastAsia="Arial" w:hAnsi="Arial"/>
                <w:sz w:val="18"/>
                <w:szCs w:val="18"/>
                <w:color w:val="auto"/>
              </w:rPr>
              <w:t>3,174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1,747</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r>
      <w:tr>
        <w:trPr>
          <w:trHeight w:val="243"/>
        </w:trPr>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Other expenses</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14,195</w:t>
            </w:r>
          </w:p>
        </w:tc>
        <w:tc>
          <w:tcPr>
            <w:tcW w:w="14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16,483</w:t>
            </w:r>
          </w:p>
        </w:tc>
        <w:tc>
          <w:tcPr>
            <w:tcW w:w="28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5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10,057</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41.2%</w:t>
            </w: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-13.9%</w:t>
            </w: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Porperty taxes and others</w:t>
            </w:r>
          </w:p>
        </w:tc>
        <w:tc>
          <w:tcPr>
            <w:tcW w:w="740" w:type="dxa"/>
            <w:vAlign w:val="bottom"/>
          </w:tcPr>
          <w:p>
            <w:pPr>
              <w:jc w:val="right"/>
              <w:spacing w:after="0"/>
              <w:rPr>
                <w:sz w:val="20"/>
                <w:szCs w:val="20"/>
                <w:color w:val="auto"/>
              </w:rPr>
            </w:pPr>
            <w:r>
              <w:rPr>
                <w:rFonts w:ascii="Arial" w:cs="Arial" w:eastAsia="Arial" w:hAnsi="Arial"/>
                <w:sz w:val="18"/>
                <w:szCs w:val="18"/>
                <w:color w:val="auto"/>
              </w:rPr>
              <w:t>5,487</w:t>
            </w:r>
          </w:p>
        </w:tc>
        <w:tc>
          <w:tcPr>
            <w:tcW w:w="14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740" w:type="dxa"/>
            <w:vAlign w:val="bottom"/>
          </w:tcPr>
          <w:p>
            <w:pPr>
              <w:jc w:val="right"/>
              <w:spacing w:after="0"/>
              <w:rPr>
                <w:sz w:val="20"/>
                <w:szCs w:val="20"/>
                <w:color w:val="auto"/>
              </w:rPr>
            </w:pPr>
            <w:r>
              <w:rPr>
                <w:rFonts w:ascii="Arial" w:cs="Arial" w:eastAsia="Arial" w:hAnsi="Arial"/>
                <w:sz w:val="18"/>
                <w:szCs w:val="18"/>
                <w:color w:val="auto"/>
              </w:rPr>
              <w:t>4,897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4,097</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33.9%</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r>
      <w:tr>
        <w:trPr>
          <w:trHeight w:val="243"/>
        </w:trPr>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Other subsidiaries and eliminations, net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5,308</w:t>
            </w:r>
          </w:p>
        </w:tc>
        <w:tc>
          <w:tcPr>
            <w:tcW w:w="14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3,979</w:t>
            </w:r>
          </w:p>
        </w:tc>
        <w:tc>
          <w:tcPr>
            <w:tcW w:w="12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5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4,031</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31.7%</w:t>
            </w: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33.4%</w:t>
            </w:r>
          </w:p>
        </w:tc>
      </w:tr>
      <w:tr>
        <w:trPr>
          <w:trHeight w:val="270"/>
        </w:trPr>
        <w:tc>
          <w:tcPr>
            <w:tcW w:w="3580" w:type="dxa"/>
            <w:vAlign w:val="bottom"/>
          </w:tcPr>
          <w:p>
            <w:pPr>
              <w:spacing w:after="0"/>
              <w:rPr>
                <w:sz w:val="20"/>
                <w:szCs w:val="20"/>
                <w:color w:val="auto"/>
              </w:rPr>
            </w:pPr>
            <w:r>
              <w:rPr>
                <w:rFonts w:ascii="Arial" w:cs="Arial" w:eastAsia="Arial" w:hAnsi="Arial"/>
                <w:sz w:val="18"/>
                <w:szCs w:val="18"/>
                <w:b w:val="1"/>
                <w:bCs w:val="1"/>
                <w:color w:val="auto"/>
              </w:rPr>
              <w:t>Total administrative expenses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48,520</w:t>
            </w:r>
          </w:p>
        </w:tc>
        <w:tc>
          <w:tcPr>
            <w:tcW w:w="140" w:type="dxa"/>
            <w:vAlign w:val="bottom"/>
          </w:tcPr>
          <w:p>
            <w:pPr>
              <w:spacing w:after="0"/>
              <w:rPr>
                <w:sz w:val="23"/>
                <w:szCs w:val="2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59,234</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100%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37,755</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28.5%</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-18.1%</w:t>
            </w:r>
          </w:p>
        </w:tc>
      </w:tr>
      <w:tr>
        <w:trPr>
          <w:trHeight w:val="20"/>
        </w:trPr>
        <w:tc>
          <w:tcPr>
            <w:tcW w:w="3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expenses increased 18.9% QoQ and are explained by the volatility experienced by our own stock during 1Q08 which was reflected in the coverage levels and provisions related to the Stock Appreciation Rights program.</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Thus, a drop in operating costs (excluding others) of 10.4%, while operating income improved 7.3% resulted in a significant recovery of BCP’s efficiency ratio from 56.9% in 4Q07 to 47.5% this 1Q08.</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II.7 Shareholders’ Equity and Regulatory Capital</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540"/>
        </w:trPr>
        <w:tc>
          <w:tcPr>
            <w:tcW w:w="48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11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4"/>
                <w:szCs w:val="24"/>
                <w:color w:val="auto"/>
              </w:rPr>
            </w:pPr>
          </w:p>
        </w:tc>
      </w:tr>
      <w:tr>
        <w:trPr>
          <w:trHeight w:val="264"/>
        </w:trPr>
        <w:tc>
          <w:tcPr>
            <w:tcW w:w="4860" w:type="dxa"/>
            <w:vAlign w:val="bottom"/>
          </w:tcPr>
          <w:p>
            <w:pPr>
              <w:spacing w:after="0"/>
              <w:rPr>
                <w:sz w:val="20"/>
                <w:szCs w:val="20"/>
                <w:color w:val="auto"/>
              </w:rPr>
            </w:pPr>
            <w:r>
              <w:rPr>
                <w:rFonts w:ascii="Arial" w:cs="Arial" w:eastAsia="Arial" w:hAnsi="Arial"/>
                <w:sz w:val="18"/>
                <w:szCs w:val="18"/>
                <w:color w:val="auto"/>
              </w:rPr>
              <w:t>US$ 000</w:t>
            </w: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1Q08</w:t>
            </w:r>
          </w:p>
        </w:tc>
        <w:tc>
          <w:tcPr>
            <w:tcW w:w="180" w:type="dxa"/>
            <w:vAlign w:val="bottom"/>
          </w:tcPr>
          <w:p>
            <w:pPr>
              <w:spacing w:after="0"/>
              <w:rPr>
                <w:sz w:val="22"/>
                <w:szCs w:val="22"/>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4Q07</w:t>
            </w:r>
          </w:p>
        </w:tc>
        <w:tc>
          <w:tcPr>
            <w:tcW w:w="18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1Q07</w:t>
            </w:r>
          </w:p>
        </w:tc>
        <w:tc>
          <w:tcPr>
            <w:tcW w:w="18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1Q08/1Q07</w:t>
            </w:r>
          </w:p>
        </w:tc>
        <w:tc>
          <w:tcPr>
            <w:tcW w:w="180" w:type="dxa"/>
            <w:vAlign w:val="bottom"/>
          </w:tcPr>
          <w:p>
            <w:pPr>
              <w:spacing w:after="0"/>
              <w:rPr>
                <w:sz w:val="22"/>
                <w:szCs w:val="22"/>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1Q08/4Q07</w:t>
            </w:r>
          </w:p>
        </w:tc>
        <w:tc>
          <w:tcPr>
            <w:tcW w:w="180" w:type="dxa"/>
            <w:vAlign w:val="bottom"/>
          </w:tcPr>
          <w:p>
            <w:pPr>
              <w:spacing w:after="0"/>
              <w:rPr>
                <w:sz w:val="22"/>
                <w:szCs w:val="22"/>
                <w:color w:val="auto"/>
              </w:rPr>
            </w:pPr>
          </w:p>
        </w:tc>
      </w:tr>
      <w:tr>
        <w:trPr>
          <w:trHeight w:val="237"/>
        </w:trPr>
        <w:tc>
          <w:tcPr>
            <w:tcW w:w="4860" w:type="dxa"/>
            <w:vAlign w:val="bottom"/>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364,706</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364,706</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364,706</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w:t>
            </w: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Reserves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388,062</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282,189</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282,189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37.5%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37.5%</w:t>
            </w:r>
          </w:p>
        </w:tc>
      </w:tr>
      <w:tr>
        <w:trPr>
          <w:trHeight w:val="243"/>
        </w:trPr>
        <w:tc>
          <w:tcPr>
            <w:tcW w:w="4860" w:type="dxa"/>
            <w:vAlign w:val="bottom"/>
            <w:shd w:val="clear" w:color="auto" w:fill="CCFFCC"/>
          </w:tcPr>
          <w:p>
            <w:pPr>
              <w:spacing w:after="0"/>
              <w:rPr>
                <w:sz w:val="20"/>
                <w:szCs w:val="20"/>
                <w:color w:val="auto"/>
              </w:rPr>
            </w:pPr>
            <w:r>
              <w:rPr>
                <w:rFonts w:ascii="Arial" w:cs="Arial" w:eastAsia="Arial" w:hAnsi="Arial"/>
                <w:sz w:val="18"/>
                <w:szCs w:val="18"/>
                <w:color w:val="auto"/>
              </w:rPr>
              <w:t>Unrealized Gains and Losses</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90,285</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57,771</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65,449</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37.9%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56.3%</w:t>
            </w: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Retained Earnings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186,761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96,245</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96,484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93.6%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94.0%</w:t>
            </w:r>
          </w:p>
        </w:tc>
      </w:tr>
      <w:tr>
        <w:trPr>
          <w:trHeight w:val="243"/>
        </w:trPr>
        <w:tc>
          <w:tcPr>
            <w:tcW w:w="4860" w:type="dxa"/>
            <w:vAlign w:val="bottom"/>
            <w:shd w:val="clear" w:color="auto" w:fill="CCFFCC"/>
          </w:tcPr>
          <w:p>
            <w:pPr>
              <w:spacing w:after="0"/>
              <w:rPr>
                <w:sz w:val="20"/>
                <w:szCs w:val="20"/>
                <w:color w:val="auto"/>
              </w:rPr>
            </w:pPr>
            <w:r>
              <w:rPr>
                <w:rFonts w:ascii="Arial" w:cs="Arial" w:eastAsia="Arial" w:hAnsi="Arial"/>
                <w:sz w:val="18"/>
                <w:szCs w:val="18"/>
                <w:color w:val="auto"/>
              </w:rPr>
              <w:t>Income for the year</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165,772</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331,652</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72,657</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128.2%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-50.0%</w:t>
            </w:r>
          </w:p>
        </w:tc>
      </w:tr>
      <w:tr>
        <w:trPr>
          <w:trHeight w:val="270"/>
        </w:trPr>
        <w:tc>
          <w:tcPr>
            <w:tcW w:w="486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1,195,587</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1,132,564</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881,485</w:t>
            </w:r>
          </w:p>
        </w:tc>
        <w:tc>
          <w:tcPr>
            <w:tcW w:w="18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35.6%</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5.6%</w:t>
            </w:r>
          </w:p>
        </w:tc>
      </w:tr>
      <w:tr>
        <w:trPr>
          <w:trHeight w:val="20"/>
        </w:trPr>
        <w:tc>
          <w:tcPr>
            <w:tcW w:w="48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4"/>
        </w:trPr>
        <w:tc>
          <w:tcPr>
            <w:tcW w:w="48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Return on average equity (ROAE)</w:t>
            </w:r>
          </w:p>
        </w:tc>
        <w:tc>
          <w:tcPr>
            <w:tcW w:w="13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56.96%</w:t>
            </w:r>
          </w:p>
        </w:tc>
        <w:tc>
          <w:tcPr>
            <w:tcW w:w="13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31.67%</w:t>
            </w:r>
          </w:p>
        </w:tc>
        <w:tc>
          <w:tcPr>
            <w:tcW w:w="13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31.50%</w:t>
            </w:r>
          </w:p>
        </w:tc>
        <w:tc>
          <w:tcPr>
            <w:tcW w:w="1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r>
      <w:tr>
        <w:trPr>
          <w:trHeight w:val="20"/>
        </w:trPr>
        <w:tc>
          <w:tcPr>
            <w:tcW w:w="48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shareholders’ equity reached US$ 1,195 million as of March 2008, i.e. up 5.6% QoQ. ROAE however, reached un unprecedented level of 56.96% boosted by the impact of the sudden and strong revaluation of the local currency throughout the results of the bank, leading to the extremely high translation gain of over US$ 57 million..</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At the end of March 2008, the capital adequacy ratio for BCP unconsolidated reached 13.8% (7.3 times), higher than 11.8% (8.4 times) for 4Q07. Therefore, this indicator outperforms the one established by the system (9.1%) and our more conservative internal ratio of 11.5%.</w:t>
      </w:r>
    </w:p>
    <w:p>
      <w:pPr>
        <w:spacing w:after="0" w:line="2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improved BIS ratio responds to the capitalization of retained earnings for US$ 106 million and the reduction of capital requirements as the risk adjusted capital improved as a result of the reduction of BCP’s US Dollar position and consequent reduction of exposure and risk to currency fluctuations.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other hand, Tier I reached US$ 951.9 million. Risk adjusted assets include a significantly reduced US$ 97.9 million market risk, which requires US$ 8.9 million of equity. Total regulatory capital includes US$ 307 million subordinated debt. In addition, US$ 80.8 million of capitalized earnings are included in the present period.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920" w:type="dxa"/>
            <w:vAlign w:val="bottom"/>
          </w:tcPr>
          <w:p>
            <w:pPr>
              <w:spacing w:after="0"/>
              <w:rPr>
                <w:sz w:val="20"/>
                <w:szCs w:val="20"/>
                <w:color w:val="auto"/>
              </w:rPr>
            </w:pPr>
            <w:r>
              <w:rPr>
                <w:rFonts w:ascii="Arial" w:cs="Arial" w:eastAsia="Arial" w:hAnsi="Arial"/>
                <w:sz w:val="18"/>
                <w:szCs w:val="18"/>
                <w:b w:val="1"/>
                <w:bCs w:val="1"/>
                <w:color w:val="auto"/>
              </w:rPr>
              <w:t>Regulatory Capital and Capital Adequacy Ratios</w:t>
            </w:r>
          </w:p>
        </w:tc>
        <w:tc>
          <w:tcPr>
            <w:tcW w:w="1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90"/>
              </w:rPr>
              <w:t>Quarter ended</w:t>
            </w:r>
          </w:p>
        </w:tc>
        <w:tc>
          <w:tcPr>
            <w:tcW w:w="11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4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2"/>
                <w:szCs w:val="22"/>
                <w:color w:val="auto"/>
              </w:rPr>
            </w:pPr>
          </w:p>
        </w:tc>
      </w:tr>
      <w:tr>
        <w:trPr>
          <w:trHeight w:val="264"/>
        </w:trPr>
        <w:tc>
          <w:tcPr>
            <w:tcW w:w="4920" w:type="dxa"/>
            <w:vAlign w:val="bottom"/>
          </w:tcPr>
          <w:p>
            <w:pPr>
              <w:spacing w:after="0"/>
              <w:rPr>
                <w:sz w:val="20"/>
                <w:szCs w:val="20"/>
                <w:color w:val="auto"/>
              </w:rPr>
            </w:pPr>
            <w:r>
              <w:rPr>
                <w:rFonts w:ascii="Arial" w:cs="Arial" w:eastAsia="Arial" w:hAnsi="Arial"/>
                <w:sz w:val="18"/>
                <w:szCs w:val="18"/>
                <w:color w:val="auto"/>
              </w:rPr>
              <w:t>US$ 000</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1Q08</w:t>
            </w:r>
          </w:p>
        </w:tc>
        <w:tc>
          <w:tcPr>
            <w:tcW w:w="160" w:type="dxa"/>
            <w:vAlign w:val="bottom"/>
          </w:tcPr>
          <w:p>
            <w:pPr>
              <w:spacing w:after="0"/>
              <w:rPr>
                <w:sz w:val="22"/>
                <w:szCs w:val="22"/>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4Q07</w:t>
            </w:r>
          </w:p>
        </w:tc>
        <w:tc>
          <w:tcPr>
            <w:tcW w:w="16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1Q07</w:t>
            </w:r>
          </w:p>
        </w:tc>
        <w:tc>
          <w:tcPr>
            <w:tcW w:w="16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1Q08/1Q07</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1Q08/4Q07</w:t>
            </w:r>
          </w:p>
        </w:tc>
        <w:tc>
          <w:tcPr>
            <w:tcW w:w="180" w:type="dxa"/>
            <w:vAlign w:val="bottom"/>
          </w:tcPr>
          <w:p>
            <w:pPr>
              <w:spacing w:after="0"/>
              <w:rPr>
                <w:sz w:val="22"/>
                <w:szCs w:val="22"/>
                <w:color w:val="auto"/>
              </w:rPr>
            </w:pPr>
          </w:p>
        </w:tc>
      </w:tr>
      <w:tr>
        <w:trPr>
          <w:trHeight w:val="237"/>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Capital Stock, net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468,851</w:t>
            </w:r>
          </w:p>
        </w:tc>
        <w:tc>
          <w:tcPr>
            <w:tcW w:w="16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429,415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404,187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9.2%</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Legal and Other capital reserves</w:t>
            </w:r>
          </w:p>
        </w:tc>
        <w:tc>
          <w:tcPr>
            <w:tcW w:w="1120" w:type="dxa"/>
            <w:vAlign w:val="bottom"/>
          </w:tcPr>
          <w:p>
            <w:pPr>
              <w:jc w:val="right"/>
              <w:spacing w:after="0"/>
              <w:rPr>
                <w:sz w:val="20"/>
                <w:szCs w:val="20"/>
                <w:color w:val="auto"/>
              </w:rPr>
            </w:pPr>
            <w:r>
              <w:rPr>
                <w:rFonts w:ascii="Arial" w:cs="Arial" w:eastAsia="Arial" w:hAnsi="Arial"/>
                <w:sz w:val="18"/>
                <w:szCs w:val="18"/>
                <w:color w:val="auto"/>
              </w:rPr>
              <w:t>484,105</w:t>
            </w: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346,418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326,066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48.5%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39.7%</w:t>
            </w: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Generic Contingency loss reserves</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91,469</w:t>
            </w:r>
          </w:p>
        </w:tc>
        <w:tc>
          <w:tcPr>
            <w:tcW w:w="16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85,005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61,130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49.6%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7.6%</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Subordinated Debt</w:t>
            </w:r>
          </w:p>
        </w:tc>
        <w:tc>
          <w:tcPr>
            <w:tcW w:w="1120" w:type="dxa"/>
            <w:vAlign w:val="bottom"/>
          </w:tcPr>
          <w:p>
            <w:pPr>
              <w:jc w:val="right"/>
              <w:spacing w:after="0"/>
              <w:rPr>
                <w:sz w:val="20"/>
                <w:szCs w:val="20"/>
                <w:color w:val="auto"/>
              </w:rPr>
            </w:pPr>
            <w:r>
              <w:rPr>
                <w:rFonts w:ascii="Arial" w:cs="Arial" w:eastAsia="Arial" w:hAnsi="Arial"/>
                <w:sz w:val="18"/>
                <w:szCs w:val="18"/>
                <w:color w:val="auto"/>
              </w:rPr>
              <w:t>307,422</w:t>
            </w: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294,648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137,610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123.4%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Net income capitalized</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80,816</w:t>
            </w:r>
          </w:p>
        </w:tc>
        <w:tc>
          <w:tcPr>
            <w:tcW w:w="16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74,019</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9.2%</w:t>
            </w:r>
          </w:p>
        </w:tc>
      </w:tr>
      <w:tr>
        <w:trPr>
          <w:trHeight w:val="243"/>
        </w:trPr>
        <w:tc>
          <w:tcPr>
            <w:tcW w:w="49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1,432,663</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1,229,505</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928,993</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54.2%</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16.5%</w:t>
            </w: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Less: Investment in multilateral organization and banks</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(158,279)</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(175,762)</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(136,336)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-9.9%</w:t>
            </w:r>
          </w:p>
        </w:tc>
      </w:tr>
      <w:tr>
        <w:trPr>
          <w:trHeight w:val="270"/>
        </w:trPr>
        <w:tc>
          <w:tcPr>
            <w:tcW w:w="4920" w:type="dxa"/>
            <w:vAlign w:val="bottom"/>
          </w:tcPr>
          <w:p>
            <w:pPr>
              <w:spacing w:after="0"/>
              <w:rPr>
                <w:sz w:val="20"/>
                <w:szCs w:val="20"/>
                <w:color w:val="auto"/>
              </w:rPr>
            </w:pPr>
            <w:r>
              <w:rPr>
                <w:rFonts w:ascii="Arial" w:cs="Arial" w:eastAsia="Arial" w:hAnsi="Arial"/>
                <w:sz w:val="18"/>
                <w:szCs w:val="18"/>
                <w:b w:val="1"/>
                <w:bCs w:val="1"/>
                <w:color w:val="auto"/>
              </w:rPr>
              <w:t>Total regulatory capital</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1,274,385</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1,053,743</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792,657</w:t>
            </w:r>
          </w:p>
        </w:tc>
        <w:tc>
          <w:tcPr>
            <w:tcW w:w="160" w:type="dxa"/>
            <w:vAlign w:val="bottom"/>
          </w:tcPr>
          <w:p>
            <w:pPr>
              <w:spacing w:after="0"/>
              <w:rPr>
                <w:sz w:val="23"/>
                <w:szCs w:val="23"/>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60.8%</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20.9%</w:t>
            </w:r>
          </w:p>
        </w:tc>
      </w:tr>
      <w:tr>
        <w:trPr>
          <w:trHeight w:val="20"/>
        </w:trPr>
        <w:tc>
          <w:tcPr>
            <w:tcW w:w="49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4"/>
        </w:trPr>
        <w:tc>
          <w:tcPr>
            <w:tcW w:w="49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Risk-weighted assets (Credit risk)</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9,168,514</w:t>
            </w:r>
          </w:p>
        </w:tc>
        <w:tc>
          <w:tcPr>
            <w:tcW w:w="16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8,603,291</w:t>
            </w:r>
          </w:p>
        </w:tc>
        <w:tc>
          <w:tcPr>
            <w:tcW w:w="1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6,218,204</w:t>
            </w:r>
          </w:p>
        </w:tc>
        <w:tc>
          <w:tcPr>
            <w:tcW w:w="16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47.4%</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6.6%</w:t>
            </w:r>
          </w:p>
        </w:tc>
      </w:tr>
      <w:tr>
        <w:trPr>
          <w:trHeight w:val="20"/>
        </w:trPr>
        <w:tc>
          <w:tcPr>
            <w:tcW w:w="49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4920" w:type="dxa"/>
            <w:vAlign w:val="bottom"/>
          </w:tcPr>
          <w:p>
            <w:pPr>
              <w:spacing w:after="0"/>
              <w:rPr>
                <w:sz w:val="20"/>
                <w:szCs w:val="20"/>
                <w:color w:val="auto"/>
              </w:rPr>
            </w:pPr>
            <w:r>
              <w:rPr>
                <w:rFonts w:ascii="Arial" w:cs="Arial" w:eastAsia="Arial" w:hAnsi="Arial"/>
                <w:sz w:val="18"/>
                <w:szCs w:val="18"/>
                <w:b w:val="1"/>
                <w:bCs w:val="1"/>
                <w:color w:val="auto"/>
              </w:rPr>
              <w:t>Market Risk</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8,893</w:t>
            </w:r>
          </w:p>
        </w:tc>
        <w:tc>
          <w:tcPr>
            <w:tcW w:w="16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26,714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43,093</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-79.4%</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-66.7%</w:t>
            </w:r>
          </w:p>
        </w:tc>
      </w:tr>
      <w:tr>
        <w:trPr>
          <w:trHeight w:val="244"/>
        </w:trPr>
        <w:tc>
          <w:tcPr>
            <w:tcW w:w="49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Capital Ratios:</w:t>
            </w:r>
          </w:p>
        </w:tc>
        <w:tc>
          <w:tcPr>
            <w:tcW w:w="1120" w:type="dxa"/>
            <w:vAlign w:val="bottom"/>
            <w:tcBorders>
              <w:top w:val="single" w:sz="8" w:color="auto"/>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top w:val="single" w:sz="8" w:color="auto"/>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top w:val="single" w:sz="8" w:color="auto"/>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top w:val="single" w:sz="8" w:color="auto"/>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top w:val="single" w:sz="8" w:color="auto"/>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r>
      <w:tr>
        <w:trPr>
          <w:trHeight w:val="20"/>
        </w:trPr>
        <w:tc>
          <w:tcPr>
            <w:tcW w:w="49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4920" w:type="dxa"/>
            <w:vAlign w:val="bottom"/>
          </w:tcPr>
          <w:p>
            <w:pPr>
              <w:spacing w:after="0"/>
              <w:rPr>
                <w:sz w:val="20"/>
                <w:szCs w:val="20"/>
                <w:color w:val="auto"/>
              </w:rPr>
            </w:pPr>
            <w:r>
              <w:rPr>
                <w:rFonts w:ascii="Arial" w:cs="Arial" w:eastAsia="Arial" w:hAnsi="Arial"/>
                <w:sz w:val="18"/>
                <w:szCs w:val="18"/>
                <w:color w:val="auto"/>
              </w:rPr>
              <w:t>Regulatory capital as a percentage of risk-weighted assets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13.75%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11.84%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11.84%</w:t>
            </w: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0"/>
        </w:trPr>
        <w:tc>
          <w:tcPr>
            <w:tcW w:w="49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9"/>
        </w:trPr>
        <w:tc>
          <w:tcPr>
            <w:tcW w:w="49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Ratio of risk-weihted assets to regularoy capital</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7.27</w:t>
            </w:r>
          </w:p>
        </w:tc>
        <w:tc>
          <w:tcPr>
            <w:tcW w:w="160" w:type="dxa"/>
            <w:vAlign w:val="bottom"/>
            <w:tcBorders>
              <w:bottom w:val="single" w:sz="8" w:color="CCFFCC"/>
            </w:tcBorders>
            <w:shd w:val="clear" w:color="auto" w:fill="CCFFCC"/>
          </w:tcPr>
          <w:p>
            <w:pPr>
              <w:spacing w:after="0"/>
              <w:rPr>
                <w:sz w:val="22"/>
                <w:szCs w:val="22"/>
                <w:color w:val="auto"/>
              </w:rPr>
            </w:pP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8.44</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8.44</w:t>
            </w:r>
          </w:p>
        </w:tc>
        <w:tc>
          <w:tcPr>
            <w:tcW w:w="112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spacing w:after="0"/>
              <w:rPr>
                <w:sz w:val="22"/>
                <w:szCs w:val="22"/>
                <w:color w:val="auto"/>
              </w:rPr>
            </w:pPr>
          </w:p>
        </w:tc>
        <w:tc>
          <w:tcPr>
            <w:tcW w:w="180" w:type="dxa"/>
            <w:vAlign w:val="bottom"/>
            <w:tcBorders>
              <w:bottom w:val="single" w:sz="8" w:color="CCFFCC"/>
            </w:tcBorders>
            <w:shd w:val="clear" w:color="auto" w:fill="CCFFCC"/>
          </w:tcPr>
          <w:p>
            <w:pPr>
              <w:spacing w:after="0"/>
              <w:rPr>
                <w:sz w:val="22"/>
                <w:szCs w:val="22"/>
                <w:color w:val="auto"/>
              </w:rPr>
            </w:pPr>
          </w:p>
        </w:tc>
      </w:tr>
      <w:tr>
        <w:trPr>
          <w:trHeight w:val="480"/>
        </w:trPr>
        <w:tc>
          <w:tcPr>
            <w:tcW w:w="4920" w:type="dxa"/>
            <w:vAlign w:val="bottom"/>
            <w:tcBorders>
              <w:top w:val="single" w:sz="8" w:color="CCFFCC"/>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1120" w:type="dxa"/>
            <w:vAlign w:val="bottom"/>
            <w:tcBorders>
              <w:top w:val="single" w:sz="8" w:color="CCFFCC"/>
            </w:tcBorders>
          </w:tcPr>
          <w:p>
            <w:pPr>
              <w:spacing w:after="0"/>
              <w:rPr>
                <w:sz w:val="24"/>
                <w:szCs w:val="24"/>
                <w:color w:val="auto"/>
              </w:rPr>
            </w:pPr>
          </w:p>
        </w:tc>
        <w:tc>
          <w:tcPr>
            <w:tcW w:w="200" w:type="dxa"/>
            <w:vAlign w:val="bottom"/>
            <w:tcBorders>
              <w:top w:val="single" w:sz="8" w:color="CCFFCC"/>
            </w:tcBorders>
          </w:tcPr>
          <w:p>
            <w:pPr>
              <w:spacing w:after="0"/>
              <w:rPr>
                <w:sz w:val="24"/>
                <w:szCs w:val="24"/>
                <w:color w:val="auto"/>
              </w:rPr>
            </w:pPr>
          </w:p>
        </w:tc>
        <w:tc>
          <w:tcPr>
            <w:tcW w:w="1320" w:type="dxa"/>
            <w:vAlign w:val="bottom"/>
            <w:tcBorders>
              <w:top w:val="single" w:sz="8" w:color="CCFFCC"/>
            </w:tcBorders>
            <w:gridSpan w:val="2"/>
          </w:tcPr>
          <w:p>
            <w:pPr>
              <w:jc w:val="right"/>
              <w:spacing w:after="0"/>
              <w:rPr>
                <w:sz w:val="20"/>
                <w:szCs w:val="20"/>
                <w:color w:val="auto"/>
              </w:rPr>
            </w:pPr>
            <w:r>
              <w:rPr>
                <w:rFonts w:ascii="Arial" w:cs="Arial" w:eastAsia="Arial" w:hAnsi="Arial"/>
                <w:sz w:val="18"/>
                <w:szCs w:val="18"/>
                <w:color w:val="auto"/>
              </w:rPr>
              <w:t>17</w:t>
            </w:r>
          </w:p>
        </w:tc>
      </w:tr>
      <w:tr>
        <w:trPr>
          <w:trHeight w:val="118"/>
        </w:trPr>
        <w:tc>
          <w:tcPr>
            <w:tcW w:w="49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III. Banco de Crédito de Bolivia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Bolivian Financial System</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Bolivian Financial System reached US$ 4,719 million in deposits as of March 2008, 32% higher than the US$ 3,585 million registered in the previous year. Total loan volume reached US$ 3,258.2 as of March 2008, +16.6% YoY. In addition, PDL ratio of the loan portfolio reached 5.7% as of March 2008 vs. 5.6% as of December 2007 and 8.8% as of March 2007; while the coverage ratio was 112.2%.</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politically uncertain scenario presented by the country today has resulted in very low levels of investments, which might eventually lead to a downturn in the economy.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1Q08, BCP Bolivia reached a net income of US$ 10.4 million, showing a growth of 7.4% QoQ and 116.7% YoY, mainly as a result of increased interest income (11% QoQ and 39.1% YoY), and higher non financial income (24.6% QoQ and 49.8% YoY).</w:t>
      </w:r>
    </w:p>
    <w:p>
      <w:pPr>
        <w:spacing w:after="0" w:line="2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Higher net interest income was a result of higher volumes of loans and investments and higher interest rates on loans. Non financial income increased mainly as a result of higher profits from the sale of securities (694.7% QoQ and 3,220.8% YoY). It is important to mention that this growth was led by the sale of VISA’s shares during March, which represented US$ 1.9 million boosting significantly the gains on sales of securities in the first quarter 2008.</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Excluding the extraordinary gains from the sale of this investment, BCB’s net income would have been US$8.5 million for the 1Q08.</w:t>
      </w:r>
    </w:p>
    <w:p>
      <w:pPr>
        <w:spacing w:after="0" w:line="2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 conservative credit risk management strategy led to a PDL ratio of 1.7% (1.7% in 4Q07 and 3.6% in 1Q07) and a coverage ratio of 227.8% (240.1% in 4Q07 and 161.1% in 1Q07). BCP Bolivia’s ROAE was 56.1%, 37.3% higher than December 2007. Thus, these figures show that BCP Bolivia had one of the best loan quality ratios within the Bolivian banking system, which reported ratios of 5.7% and 109.6%, respectively.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2008, total loans reached US$ 467.6 million, 0.8% higher than US$ 463.8 million as of December 2007 and 20.3% greater YoY. The smaller quarterly growth is the result of the reduction in economic activity, due to political uncertainty in the country. The political evolution and the low economic activity generated an uncertain situation and discourages businessmen from carrying out greater investments. This has been translated into the stagnation of the Bolivian economy, and therefore in a smaller growth of our loan portfolio QoQ.</w:t>
      </w:r>
    </w:p>
    <w:p>
      <w:pPr>
        <w:spacing w:after="0" w:line="2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1Q08, Retail Banking revealed the highest growth (8.4% TaT and 25.5% AaA), which has an important impact in BCB’s results, given that it represents 46.4% of BCB’s loan portfolio and generates greater margins, while Corporate and Middle Market Banking represents 48.4%. Both segments represent 94.8% of total loans.</w:t>
      </w:r>
    </w:p>
    <w:p>
      <w:pPr>
        <w:spacing w:after="0" w:line="23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Within the Retail Banking segment, Personal loans and SME grew 9.2% and 8.2%, respectively. Both segments represented 28.4% of total retail loans and showed the greatest QoQ growth. In addition, the mortgage segment, which represented 52.8% of total retail portfolio, grew 0.9% TaT and 6.1% AaA.</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0" w:name="page21"/>
    <w:bookmarkEnd w:id="20"/>
    <w:p>
      <w:pPr>
        <w:spacing w:after="0" w:line="277" w:lineRule="auto"/>
        <w:rPr>
          <w:sz w:val="20"/>
          <w:szCs w:val="20"/>
          <w:color w:val="auto"/>
        </w:rPr>
      </w:pPr>
      <w:r>
        <w:rPr>
          <w:rFonts w:ascii="Arial" w:cs="Arial" w:eastAsia="Arial" w:hAnsi="Arial"/>
          <w:sz w:val="18"/>
          <w:szCs w:val="18"/>
          <w:color w:val="auto"/>
        </w:rPr>
        <w:t>In terms of liabilities, BCP Bolivia showed an increase in deposits of 5.6% QoQ and 28.3% YoY. Demand deposits grew 7.3% QoQ and 27.2% YoY, saving deposits, 5.5% QoQ and 45.6% YoY, and time deposits increased 4.1% QoQ and 12.6% YoY.</w:t>
      </w:r>
    </w:p>
    <w:p>
      <w:pPr>
        <w:spacing w:after="0" w:line="2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Shareholders’ equity decreased 10.9% QoQ due to dividends distribution. Nevertheless, this reduction was compensated by net income of the quarter. The net shareholders’ equity grew 21.1% YoY.</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Finally, BCP Bolivia holds market shares of 14.0% and 14.6% of loans and deposits, respectively, which represent the third place in the Bolivian Banking System</w:t>
      </w:r>
      <w:r>
        <w:rPr>
          <w:rFonts w:ascii="Arial" w:cs="Arial" w:eastAsia="Arial" w:hAnsi="Arial"/>
          <w:sz w:val="18"/>
          <w:szCs w:val="18"/>
          <w:color w:val="0000FF"/>
        </w:rPr>
        <w:t>.</w:t>
      </w:r>
    </w:p>
    <w:p>
      <w:pPr>
        <w:sectPr>
          <w:pgSz w:w="11900" w:h="16838" w:orient="portrait"/>
          <w:cols w:equalWidth="0" w:num="1">
            <w:col w:w="11420"/>
          </w:cols>
          <w:pgMar w:left="240" w:top="760" w:right="239" w:bottom="1440"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Banco de Crédito de Bolivia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US$ millon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Total loans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Past due loans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Loan loss reserves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Deposits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Shareholders net equity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PDL/ Total loans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Coveage ratio of PDLs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ROAE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Branches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ATMs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Employees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Change %</w:t>
            </w:r>
          </w:p>
        </w:tc>
        <w:tc>
          <w:tcPr>
            <w:tcW w:w="180" w:type="dxa"/>
            <w:vAlign w:val="bottom"/>
          </w:tcPr>
          <w:p>
            <w:pPr>
              <w:spacing w:after="0"/>
              <w:rPr>
                <w:sz w:val="20"/>
                <w:szCs w:val="20"/>
                <w:color w:val="auto"/>
              </w:rPr>
            </w:pPr>
          </w:p>
        </w:tc>
      </w:tr>
      <w:tr>
        <w:trPr>
          <w:trHeight w:val="264"/>
        </w:trPr>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1Q08</w:t>
            </w:r>
          </w:p>
        </w:tc>
        <w:tc>
          <w:tcPr>
            <w:tcW w:w="140" w:type="dxa"/>
            <w:vAlign w:val="bottom"/>
          </w:tcPr>
          <w:p>
            <w:pPr>
              <w:spacing w:after="0"/>
              <w:rPr>
                <w:sz w:val="22"/>
                <w:szCs w:val="22"/>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4Q07</w:t>
            </w:r>
          </w:p>
        </w:tc>
        <w:tc>
          <w:tcPr>
            <w:tcW w:w="16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1Q07</w:t>
            </w:r>
          </w:p>
        </w:tc>
        <w:tc>
          <w:tcPr>
            <w:tcW w:w="16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1Q08/1Q07</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1Q08/4Q07</w:t>
            </w:r>
          </w:p>
        </w:tc>
        <w:tc>
          <w:tcPr>
            <w:tcW w:w="180" w:type="dxa"/>
            <w:vAlign w:val="bottom"/>
          </w:tcPr>
          <w:p>
            <w:pPr>
              <w:spacing w:after="0"/>
              <w:rPr>
                <w:sz w:val="22"/>
                <w:szCs w:val="22"/>
                <w:color w:val="auto"/>
              </w:rPr>
            </w:pPr>
          </w:p>
        </w:tc>
      </w:tr>
      <w:tr>
        <w:trPr>
          <w:trHeight w:val="237"/>
        </w:trPr>
        <w:tc>
          <w:tcPr>
            <w:tcW w:w="1120" w:type="dxa"/>
            <w:vAlign w:val="bottom"/>
          </w:tcPr>
          <w:p>
            <w:pPr>
              <w:jc w:val="right"/>
              <w:spacing w:after="0"/>
              <w:rPr>
                <w:sz w:val="20"/>
                <w:szCs w:val="20"/>
                <w:color w:val="auto"/>
              </w:rPr>
            </w:pPr>
            <w:r>
              <w:rPr>
                <w:rFonts w:ascii="Arial" w:cs="Arial" w:eastAsia="Arial" w:hAnsi="Arial"/>
                <w:sz w:val="18"/>
                <w:szCs w:val="18"/>
                <w:color w:val="auto"/>
              </w:rPr>
              <w:t>467.6</w:t>
            </w: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463.8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388.8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20.3%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r>
      <w:tr>
        <w:trPr>
          <w:trHeight w:val="243"/>
        </w:trPr>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-42.3%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43"/>
        </w:trPr>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43"/>
        </w:trPr>
        <w:tc>
          <w:tcPr>
            <w:tcW w:w="1120" w:type="dxa"/>
            <w:vAlign w:val="bottom"/>
          </w:tcPr>
          <w:p>
            <w:pPr>
              <w:jc w:val="right"/>
              <w:spacing w:after="0"/>
              <w:rPr>
                <w:sz w:val="20"/>
                <w:szCs w:val="20"/>
                <w:color w:val="auto"/>
              </w:rPr>
            </w:pPr>
            <w:r>
              <w:rPr>
                <w:rFonts w:ascii="Arial" w:cs="Arial" w:eastAsia="Arial" w:hAnsi="Arial"/>
                <w:sz w:val="18"/>
                <w:szCs w:val="18"/>
                <w:color w:val="auto"/>
              </w:rPr>
              <w:t>845.0</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821.9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675.3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43"/>
        </w:trPr>
        <w:tc>
          <w:tcPr>
            <w:tcW w:w="1120" w:type="dxa"/>
            <w:vAlign w:val="bottom"/>
          </w:tcPr>
          <w:p>
            <w:pPr>
              <w:jc w:val="right"/>
              <w:spacing w:after="0"/>
              <w:rPr>
                <w:sz w:val="20"/>
                <w:szCs w:val="20"/>
                <w:color w:val="auto"/>
              </w:rPr>
            </w:pPr>
            <w:r>
              <w:rPr>
                <w:rFonts w:ascii="Arial" w:cs="Arial" w:eastAsia="Arial" w:hAnsi="Arial"/>
                <w:sz w:val="18"/>
                <w:szCs w:val="18"/>
                <w:color w:val="auto"/>
              </w:rPr>
              <w:t>701.0</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663.9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546.3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r>
      <w:tr>
        <w:trPr>
          <w:trHeight w:val="270"/>
        </w:trPr>
        <w:tc>
          <w:tcPr>
            <w:tcW w:w="1120" w:type="dxa"/>
            <w:vAlign w:val="bottom"/>
          </w:tcPr>
          <w:p>
            <w:pPr>
              <w:jc w:val="right"/>
              <w:spacing w:after="0"/>
              <w:rPr>
                <w:sz w:val="20"/>
                <w:szCs w:val="20"/>
                <w:color w:val="auto"/>
              </w:rPr>
            </w:pPr>
            <w:r>
              <w:rPr>
                <w:rFonts w:ascii="Arial" w:cs="Arial" w:eastAsia="Arial" w:hAnsi="Arial"/>
                <w:sz w:val="18"/>
                <w:szCs w:val="18"/>
                <w:color w:val="auto"/>
              </w:rPr>
              <w:t>75.8</w:t>
            </w:r>
          </w:p>
        </w:tc>
        <w:tc>
          <w:tcPr>
            <w:tcW w:w="140" w:type="dxa"/>
            <w:vAlign w:val="bottom"/>
          </w:tcPr>
          <w:p>
            <w:pPr>
              <w:spacing w:after="0"/>
              <w:rPr>
                <w:sz w:val="23"/>
                <w:szCs w:val="2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85.1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62.6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r>
      <w:tr>
        <w:trPr>
          <w:trHeight w:val="20"/>
        </w:trPr>
        <w:tc>
          <w:tcPr>
            <w:tcW w:w="1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4"/>
        </w:trPr>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4.8</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116.7%</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7.4%</w:t>
            </w:r>
          </w:p>
        </w:tc>
      </w:tr>
      <w:tr>
        <w:trPr>
          <w:trHeight w:val="20"/>
        </w:trPr>
        <w:tc>
          <w:tcPr>
            <w:tcW w:w="1120" w:type="dxa"/>
            <w:vAlign w:val="bottom"/>
            <w:tcBorders>
              <w:right w:val="single" w:sz="8" w:color="CCFFCC"/>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237"/>
        </w:trPr>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227.8%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240.1%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161.1%</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1260" w:type="dxa"/>
            <w:vAlign w:val="bottom"/>
            <w:gridSpan w:val="2"/>
          </w:tcPr>
          <w:p>
            <w:pPr>
              <w:jc w:val="right"/>
              <w:spacing w:after="0"/>
              <w:rPr>
                <w:sz w:val="20"/>
                <w:szCs w:val="20"/>
                <w:color w:val="auto"/>
              </w:rPr>
            </w:pPr>
            <w:r>
              <w:rPr>
                <w:rFonts w:ascii="Arial" w:cs="Arial" w:eastAsia="Arial" w:hAnsi="Arial"/>
                <w:sz w:val="18"/>
                <w:szCs w:val="18"/>
                <w:color w:val="auto"/>
              </w:rPr>
              <w:t>56.1%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37.3%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27.6%</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112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1120" w:type="dxa"/>
            <w:vAlign w:val="bottom"/>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157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0"/>
        </w:trPr>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w:t>
            </w:r>
          </w:p>
        </w:tc>
        <w:tc>
          <w:tcPr>
            <w:tcW w:w="140" w:type="dxa"/>
            <w:vAlign w:val="bottom"/>
            <w:tcBorders>
              <w:bottom w:val="single" w:sz="8" w:color="CCFFCC"/>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w:t>
            </w:r>
          </w:p>
        </w:tc>
        <w:tc>
          <w:tcPr>
            <w:tcW w:w="160" w:type="dxa"/>
            <w:vAlign w:val="bottom"/>
            <w:tcBorders>
              <w:bottom w:val="single" w:sz="8" w:color="CCFFCC"/>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w:t>
            </w:r>
          </w:p>
        </w:tc>
        <w:tc>
          <w:tcPr>
            <w:tcW w:w="160" w:type="dxa"/>
            <w:vAlign w:val="bottom"/>
            <w:tcBorders>
              <w:bottom w:val="single" w:sz="8" w:color="CCFFCC"/>
            </w:tcBorders>
          </w:tcPr>
          <w:p>
            <w:pPr>
              <w:spacing w:after="0"/>
              <w:rPr>
                <w:sz w:val="23"/>
                <w:szCs w:val="23"/>
                <w:color w:val="auto"/>
              </w:rPr>
            </w:pPr>
          </w:p>
        </w:tc>
        <w:tc>
          <w:tcPr>
            <w:tcW w:w="1120" w:type="dxa"/>
            <w:vAlign w:val="bottom"/>
            <w:tcBorders>
              <w:bottom w:val="single" w:sz="8" w:color="CCFFCC"/>
            </w:tcBorders>
          </w:tcPr>
          <w:p>
            <w:pPr>
              <w:spacing w:after="0"/>
              <w:rPr>
                <w:sz w:val="23"/>
                <w:szCs w:val="23"/>
                <w:color w:val="auto"/>
              </w:rPr>
            </w:pPr>
          </w:p>
        </w:tc>
        <w:tc>
          <w:tcPr>
            <w:tcW w:w="200" w:type="dxa"/>
            <w:vAlign w:val="bottom"/>
            <w:tcBorders>
              <w:bottom w:val="single" w:sz="8" w:color="CCFFCC"/>
            </w:tcBorders>
          </w:tcPr>
          <w:p>
            <w:pPr>
              <w:spacing w:after="0"/>
              <w:rPr>
                <w:sz w:val="23"/>
                <w:szCs w:val="23"/>
                <w:color w:val="auto"/>
              </w:rPr>
            </w:pPr>
          </w:p>
        </w:tc>
        <w:tc>
          <w:tcPr>
            <w:tcW w:w="1140" w:type="dxa"/>
            <w:vAlign w:val="bottom"/>
            <w:tcBorders>
              <w:bottom w:val="single" w:sz="8" w:color="CCFFCC"/>
            </w:tcBorders>
          </w:tcPr>
          <w:p>
            <w:pPr>
              <w:spacing w:after="0"/>
              <w:rPr>
                <w:sz w:val="23"/>
                <w:szCs w:val="23"/>
                <w:color w:val="auto"/>
              </w:rPr>
            </w:pPr>
          </w:p>
        </w:tc>
        <w:tc>
          <w:tcPr>
            <w:tcW w:w="180" w:type="dxa"/>
            <w:vAlign w:val="bottom"/>
            <w:tcBorders>
              <w:bottom w:val="single" w:sz="8" w:color="CCFFCC"/>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-2083435</wp:posOffset>
            </wp:positionV>
            <wp:extent cx="72466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-1774825</wp:posOffset>
            </wp:positionV>
            <wp:extent cx="72466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-1465580</wp:posOffset>
            </wp:positionV>
            <wp:extent cx="72466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-796925</wp:posOffset>
            </wp:positionV>
            <wp:extent cx="72466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-488315</wp:posOffset>
            </wp:positionV>
            <wp:extent cx="72466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-1131570</wp:posOffset>
            </wp:positionV>
            <wp:extent cx="7246620"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-179705</wp:posOffset>
            </wp:positionV>
            <wp:extent cx="7246620"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720"/>
            <w:col w:w="6480"/>
          </w:cols>
          <w:pgMar w:left="240" w:top="760" w:right="239" w:bottom="1440" w:gutter="0" w:footer="0" w:header="0"/>
          <w:type w:val="continuous"/>
        </w:sectPr>
      </w:pPr>
    </w:p>
    <w:p>
      <w:pPr>
        <w:spacing w:after="0" w:line="5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r>
              <w:rPr>
                <w:rFonts w:ascii="Arial" w:cs="Arial" w:eastAsia="Arial" w:hAnsi="Arial"/>
                <w:sz w:val="18"/>
                <w:szCs w:val="18"/>
                <w:b w:val="1"/>
                <w:bCs w:val="1"/>
                <w:color w:val="auto"/>
              </w:rPr>
              <w:t>IV. Atlantic Security Holding Corporation</w:t>
            </w: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4500" w:type="dxa"/>
            <w:vAlign w:val="bottom"/>
          </w:tcPr>
          <w:p>
            <w:pPr>
              <w:spacing w:after="0"/>
              <w:rPr>
                <w:sz w:val="20"/>
                <w:szCs w:val="20"/>
                <w:color w:val="auto"/>
              </w:rPr>
            </w:pPr>
            <w:r>
              <w:rPr>
                <w:rFonts w:ascii="Arial" w:cs="Arial" w:eastAsia="Arial" w:hAnsi="Arial"/>
                <w:sz w:val="18"/>
                <w:szCs w:val="18"/>
                <w:b w:val="1"/>
                <w:bCs w:val="1"/>
                <w:color w:val="auto"/>
              </w:rPr>
              <w:t>ASHC</w:t>
            </w: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Quarter</w:t>
            </w:r>
          </w:p>
        </w:tc>
        <w:tc>
          <w:tcPr>
            <w:tcW w:w="12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tcBorders>
              <w:bottom w:val="single" w:sz="8" w:color="auto"/>
            </w:tcBorders>
            <w:gridSpan w:val="3"/>
          </w:tcPr>
          <w:p>
            <w:pPr>
              <w:jc w:val="right"/>
              <w:ind w:right="810"/>
              <w:spacing w:after="0"/>
              <w:rPr>
                <w:sz w:val="20"/>
                <w:szCs w:val="20"/>
                <w:color w:val="auto"/>
              </w:rPr>
            </w:pPr>
            <w:r>
              <w:rPr>
                <w:rFonts w:ascii="Arial" w:cs="Arial" w:eastAsia="Arial" w:hAnsi="Arial"/>
                <w:sz w:val="18"/>
                <w:szCs w:val="18"/>
                <w:b w:val="1"/>
                <w:bCs w:val="1"/>
                <w:color w:val="auto"/>
              </w:rPr>
              <w:t>Change %</w:t>
            </w:r>
          </w:p>
        </w:tc>
        <w:tc>
          <w:tcPr>
            <w:tcW w:w="100" w:type="dxa"/>
            <w:vAlign w:val="bottom"/>
          </w:tcPr>
          <w:p>
            <w:pPr>
              <w:spacing w:after="0"/>
              <w:rPr>
                <w:sz w:val="24"/>
                <w:szCs w:val="24"/>
                <w:color w:val="auto"/>
              </w:rPr>
            </w:pPr>
          </w:p>
        </w:tc>
      </w:tr>
      <w:tr>
        <w:trPr>
          <w:trHeight w:val="264"/>
        </w:trPr>
        <w:tc>
          <w:tcPr>
            <w:tcW w:w="4500" w:type="dxa"/>
            <w:vAlign w:val="bottom"/>
          </w:tcPr>
          <w:p>
            <w:pPr>
              <w:spacing w:after="0"/>
              <w:rPr>
                <w:sz w:val="20"/>
                <w:szCs w:val="20"/>
                <w:color w:val="auto"/>
              </w:rPr>
            </w:pPr>
            <w:r>
              <w:rPr>
                <w:rFonts w:ascii="Arial" w:cs="Arial" w:eastAsia="Arial" w:hAnsi="Arial"/>
                <w:sz w:val="18"/>
                <w:szCs w:val="18"/>
                <w:b w:val="1"/>
                <w:bCs w:val="1"/>
                <w:color w:val="auto"/>
              </w:rPr>
              <w:t>(US$ Million)</w:t>
            </w: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 2008</w:t>
            </w:r>
          </w:p>
        </w:tc>
        <w:tc>
          <w:tcPr>
            <w:tcW w:w="160" w:type="dxa"/>
            <w:vAlign w:val="bottom"/>
          </w:tcPr>
          <w:p>
            <w:pPr>
              <w:spacing w:after="0"/>
              <w:rPr>
                <w:sz w:val="22"/>
                <w:szCs w:val="22"/>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4Q 2007</w:t>
            </w:r>
          </w:p>
        </w:tc>
        <w:tc>
          <w:tcPr>
            <w:tcW w:w="160" w:type="dxa"/>
            <w:vAlign w:val="bottom"/>
          </w:tcPr>
          <w:p>
            <w:pPr>
              <w:spacing w:after="0"/>
              <w:rPr>
                <w:sz w:val="22"/>
                <w:szCs w:val="22"/>
                <w:color w:val="auto"/>
              </w:rPr>
            </w:pP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 2007</w:t>
            </w:r>
          </w:p>
        </w:tc>
        <w:tc>
          <w:tcPr>
            <w:tcW w:w="160" w:type="dxa"/>
            <w:vAlign w:val="bottom"/>
          </w:tcPr>
          <w:p>
            <w:pPr>
              <w:spacing w:after="0"/>
              <w:rPr>
                <w:sz w:val="22"/>
                <w:szCs w:val="22"/>
                <w:color w:val="auto"/>
              </w:rPr>
            </w:pPr>
          </w:p>
        </w:tc>
        <w:tc>
          <w:tcPr>
            <w:tcW w:w="1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1Q08 / 1Q07</w:t>
            </w:r>
          </w:p>
        </w:tc>
        <w:tc>
          <w:tcPr>
            <w:tcW w:w="100" w:type="dxa"/>
            <w:vAlign w:val="bottom"/>
          </w:tcPr>
          <w:p>
            <w:pPr>
              <w:spacing w:after="0"/>
              <w:rPr>
                <w:sz w:val="22"/>
                <w:szCs w:val="22"/>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1Q08 / 4Q07</w:t>
            </w:r>
          </w:p>
        </w:tc>
        <w:tc>
          <w:tcPr>
            <w:tcW w:w="100" w:type="dxa"/>
            <w:vAlign w:val="bottom"/>
          </w:tcPr>
          <w:p>
            <w:pPr>
              <w:spacing w:after="0"/>
              <w:rPr>
                <w:sz w:val="22"/>
                <w:szCs w:val="22"/>
                <w:color w:val="auto"/>
              </w:rPr>
            </w:pPr>
          </w:p>
        </w:tc>
      </w:tr>
      <w:tr>
        <w:trPr>
          <w:trHeight w:val="237"/>
        </w:trPr>
        <w:tc>
          <w:tcPr>
            <w:tcW w:w="450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FFCC"/>
          </w:tcPr>
          <w:p>
            <w:pPr>
              <w:spacing w:after="0"/>
              <w:rPr>
                <w:sz w:val="20"/>
                <w:szCs w:val="20"/>
                <w:color w:val="auto"/>
              </w:rPr>
            </w:pP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4.3</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34.2</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16.3</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Dividend income</w:t>
            </w:r>
          </w:p>
        </w:tc>
        <w:tc>
          <w:tcPr>
            <w:tcW w:w="124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-99.7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-79.1</w:t>
            </w:r>
          </w:p>
        </w:tc>
      </w:tr>
      <w:tr>
        <w:trPr>
          <w:trHeight w:val="243"/>
        </w:trPr>
        <w:tc>
          <w:tcPr>
            <w:tcW w:w="4500" w:type="dxa"/>
            <w:vAlign w:val="bottom"/>
            <w:shd w:val="clear" w:color="auto" w:fill="CCFFCC"/>
          </w:tcPr>
          <w:p>
            <w:pPr>
              <w:spacing w:after="0"/>
              <w:rPr>
                <w:sz w:val="20"/>
                <w:szCs w:val="20"/>
                <w:color w:val="auto"/>
              </w:rPr>
            </w:pPr>
            <w:r>
              <w:rPr>
                <w:rFonts w:ascii="Arial" w:cs="Arial" w:eastAsia="Arial" w:hAnsi="Arial"/>
                <w:sz w:val="18"/>
                <w:szCs w:val="18"/>
                <w:color w:val="auto"/>
              </w:rPr>
              <w:t>Fees and commissions from services</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FFCC"/>
          </w:tcPr>
          <w:p>
            <w:pPr>
              <w:spacing w:after="0"/>
              <w:rPr>
                <w:sz w:val="21"/>
                <w:szCs w:val="21"/>
                <w:color w:val="auto"/>
              </w:rPr>
            </w:pP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9.3</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Net gains on foreign exchange transactions</w:t>
            </w:r>
          </w:p>
        </w:tc>
        <w:tc>
          <w:tcPr>
            <w:tcW w:w="1240" w:type="dxa"/>
            <w:vAlign w:val="bottom"/>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4,906.9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r>
      <w:tr>
        <w:trPr>
          <w:trHeight w:val="250"/>
        </w:trPr>
        <w:tc>
          <w:tcPr>
            <w:tcW w:w="45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Core Revenues</w:t>
            </w: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8.5</w:t>
            </w:r>
          </w:p>
        </w:tc>
        <w:tc>
          <w:tcPr>
            <w:tcW w:w="160" w:type="dxa"/>
            <w:vAlign w:val="bottom"/>
            <w:tcBorders>
              <w:bottom w:val="single" w:sz="8" w:color="CCFFCC"/>
            </w:tcBorders>
            <w:shd w:val="clear" w:color="auto" w:fill="CCFFCC"/>
          </w:tcPr>
          <w:p>
            <w:pPr>
              <w:spacing w:after="0"/>
              <w:rPr>
                <w:sz w:val="21"/>
                <w:szCs w:val="21"/>
                <w:color w:val="auto"/>
              </w:rPr>
            </w:pPr>
          </w:p>
        </w:tc>
        <w:tc>
          <w:tcPr>
            <w:tcW w:w="142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8.2</w:t>
            </w:r>
          </w:p>
        </w:tc>
        <w:tc>
          <w:tcPr>
            <w:tcW w:w="14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25.3</w:t>
            </w:r>
          </w:p>
        </w:tc>
        <w:tc>
          <w:tcPr>
            <w:tcW w:w="13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-66.3</w:t>
            </w:r>
          </w:p>
        </w:tc>
        <w:tc>
          <w:tcPr>
            <w:tcW w:w="13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4.7</w:t>
            </w:r>
          </w:p>
        </w:tc>
      </w:tr>
      <w:tr>
        <w:trPr>
          <w:trHeight w:val="20"/>
        </w:trPr>
        <w:tc>
          <w:tcPr>
            <w:tcW w:w="450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4500" w:type="dxa"/>
            <w:vAlign w:val="bottom"/>
          </w:tcPr>
          <w:p>
            <w:pPr>
              <w:spacing w:after="0"/>
              <w:rPr>
                <w:sz w:val="20"/>
                <w:szCs w:val="20"/>
                <w:color w:val="auto"/>
              </w:rPr>
            </w:pPr>
            <w:r>
              <w:rPr>
                <w:rFonts w:ascii="Arial" w:cs="Arial" w:eastAsia="Arial" w:hAnsi="Arial"/>
                <w:sz w:val="18"/>
                <w:szCs w:val="18"/>
                <w:color w:val="auto"/>
              </w:rPr>
              <w:t>Total provisions, net of recoveries</w:t>
            </w: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-535.5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r>
      <w:tr>
        <w:trPr>
          <w:trHeight w:val="243"/>
        </w:trPr>
        <w:tc>
          <w:tcPr>
            <w:tcW w:w="4500" w:type="dxa"/>
            <w:vAlign w:val="bottom"/>
            <w:shd w:val="clear" w:color="auto" w:fill="CCFFCC"/>
          </w:tcPr>
          <w:p>
            <w:pPr>
              <w:spacing w:after="0"/>
              <w:rPr>
                <w:sz w:val="20"/>
                <w:szCs w:val="20"/>
                <w:color w:val="auto"/>
              </w:rPr>
            </w:pPr>
            <w:r>
              <w:rPr>
                <w:rFonts w:ascii="Arial" w:cs="Arial" w:eastAsia="Arial" w:hAnsi="Arial"/>
                <w:sz w:val="18"/>
                <w:szCs w:val="18"/>
                <w:color w:val="auto"/>
              </w:rPr>
              <w:t>Net gains from sale of securities</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FFCC"/>
          </w:tcPr>
          <w:p>
            <w:pPr>
              <w:spacing w:after="0"/>
              <w:rPr>
                <w:sz w:val="21"/>
                <w:szCs w:val="21"/>
                <w:color w:val="auto"/>
              </w:rPr>
            </w:pP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0.6</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24.7</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-70.0</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Other income</w:t>
            </w:r>
          </w:p>
        </w:tc>
        <w:tc>
          <w:tcPr>
            <w:tcW w:w="124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95.1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r>
      <w:tr>
        <w:trPr>
          <w:trHeight w:val="250"/>
        </w:trPr>
        <w:tc>
          <w:tcPr>
            <w:tcW w:w="45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CCFFCC"/>
            </w:tcBorders>
            <w:shd w:val="clear" w:color="auto" w:fill="CCFFCC"/>
          </w:tcPr>
          <w:p>
            <w:pPr>
              <w:spacing w:after="0"/>
              <w:rPr>
                <w:sz w:val="21"/>
                <w:szCs w:val="21"/>
                <w:color w:val="auto"/>
              </w:rPr>
            </w:pPr>
          </w:p>
        </w:tc>
        <w:tc>
          <w:tcPr>
            <w:tcW w:w="142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w:t>
            </w:r>
          </w:p>
        </w:tc>
        <w:tc>
          <w:tcPr>
            <w:tcW w:w="14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w:t>
            </w:r>
          </w:p>
        </w:tc>
        <w:tc>
          <w:tcPr>
            <w:tcW w:w="13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13.3</w:t>
            </w:r>
          </w:p>
        </w:tc>
        <w:tc>
          <w:tcPr>
            <w:tcW w:w="13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-26.1</w:t>
            </w:r>
          </w:p>
        </w:tc>
      </w:tr>
      <w:tr>
        <w:trPr>
          <w:trHeight w:val="20"/>
        </w:trPr>
        <w:tc>
          <w:tcPr>
            <w:tcW w:w="450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45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24.0</w:t>
            </w:r>
          </w:p>
        </w:tc>
        <w:tc>
          <w:tcPr>
            <w:tcW w:w="160" w:type="dxa"/>
            <w:vAlign w:val="bottom"/>
          </w:tcPr>
          <w:p>
            <w:pPr>
              <w:spacing w:after="0"/>
              <w:rPr>
                <w:sz w:val="22"/>
                <w:szCs w:val="22"/>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-76.3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13.7</w:t>
            </w:r>
          </w:p>
        </w:tc>
      </w:tr>
      <w:tr>
        <w:trPr>
          <w:trHeight w:val="20"/>
        </w:trPr>
        <w:tc>
          <w:tcPr>
            <w:tcW w:w="4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45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income/share</w:t>
            </w: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-76.3</w:t>
            </w:r>
          </w:p>
        </w:tc>
        <w:tc>
          <w:tcPr>
            <w:tcW w:w="13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13.7</w:t>
            </w:r>
          </w:p>
        </w:tc>
      </w:tr>
      <w:tr>
        <w:trPr>
          <w:trHeight w:val="20"/>
        </w:trPr>
        <w:tc>
          <w:tcPr>
            <w:tcW w:w="450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4500" w:type="dxa"/>
            <w:vAlign w:val="bottom"/>
          </w:tcPr>
          <w:p>
            <w:pPr>
              <w:spacing w:after="0"/>
              <w:rPr>
                <w:sz w:val="20"/>
                <w:szCs w:val="20"/>
                <w:color w:val="auto"/>
              </w:rPr>
            </w:pPr>
            <w:r>
              <w:rPr>
                <w:rFonts w:ascii="Arial" w:cs="Arial" w:eastAsia="Arial" w:hAnsi="Arial"/>
                <w:sz w:val="18"/>
                <w:szCs w:val="18"/>
                <w:color w:val="auto"/>
              </w:rPr>
              <w:t>Total loans</w:t>
            </w:r>
          </w:p>
        </w:tc>
        <w:tc>
          <w:tcPr>
            <w:tcW w:w="1240" w:type="dxa"/>
            <w:vAlign w:val="bottom"/>
          </w:tcPr>
          <w:p>
            <w:pPr>
              <w:jc w:val="right"/>
              <w:spacing w:after="0"/>
              <w:rPr>
                <w:sz w:val="20"/>
                <w:szCs w:val="20"/>
                <w:color w:val="auto"/>
              </w:rPr>
            </w:pPr>
            <w:r>
              <w:rPr>
                <w:rFonts w:ascii="Arial" w:cs="Arial" w:eastAsia="Arial" w:hAnsi="Arial"/>
                <w:sz w:val="18"/>
                <w:szCs w:val="18"/>
                <w:color w:val="auto"/>
              </w:rPr>
              <w:t>146.4</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130.1</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125.4</w:t>
            </w:r>
          </w:p>
        </w:tc>
        <w:tc>
          <w:tcPr>
            <w:tcW w:w="16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r>
      <w:tr>
        <w:trPr>
          <w:trHeight w:val="243"/>
        </w:trPr>
        <w:tc>
          <w:tcPr>
            <w:tcW w:w="4500" w:type="dxa"/>
            <w:vAlign w:val="bottom"/>
            <w:shd w:val="clear" w:color="auto" w:fill="CCFFCC"/>
          </w:tcPr>
          <w:p>
            <w:pPr>
              <w:spacing w:after="0"/>
              <w:rPr>
                <w:sz w:val="20"/>
                <w:szCs w:val="20"/>
                <w:color w:val="auto"/>
              </w:rPr>
            </w:pPr>
            <w:r>
              <w:rPr>
                <w:rFonts w:ascii="Arial" w:cs="Arial" w:eastAsia="Arial" w:hAnsi="Arial"/>
                <w:sz w:val="18"/>
                <w:szCs w:val="18"/>
                <w:color w:val="auto"/>
              </w:rPr>
              <w:t>Total investments available for sale</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824.3</w:t>
            </w:r>
          </w:p>
        </w:tc>
        <w:tc>
          <w:tcPr>
            <w:tcW w:w="160" w:type="dxa"/>
            <w:vAlign w:val="bottom"/>
            <w:shd w:val="clear" w:color="auto" w:fill="CCFFCC"/>
          </w:tcPr>
          <w:p>
            <w:pPr>
              <w:spacing w:after="0"/>
              <w:rPr>
                <w:sz w:val="21"/>
                <w:szCs w:val="21"/>
                <w:color w:val="auto"/>
              </w:rPr>
            </w:pP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853.7</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801.9</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Total asset</w:t>
            </w:r>
          </w:p>
        </w:tc>
        <w:tc>
          <w:tcPr>
            <w:tcW w:w="1240" w:type="dxa"/>
            <w:vAlign w:val="bottom"/>
          </w:tcPr>
          <w:p>
            <w:pPr>
              <w:jc w:val="right"/>
              <w:spacing w:after="0"/>
              <w:rPr>
                <w:sz w:val="20"/>
                <w:szCs w:val="20"/>
                <w:color w:val="auto"/>
              </w:rPr>
            </w:pPr>
            <w:r>
              <w:rPr>
                <w:rFonts w:ascii="Arial" w:cs="Arial" w:eastAsia="Arial" w:hAnsi="Arial"/>
                <w:sz w:val="18"/>
                <w:szCs w:val="18"/>
                <w:color w:val="auto"/>
              </w:rPr>
              <w:t>1,490.7</w:t>
            </w:r>
          </w:p>
        </w:tc>
        <w:tc>
          <w:tcPr>
            <w:tcW w:w="16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1,615.3</w:t>
            </w:r>
          </w:p>
        </w:tc>
        <w:tc>
          <w:tcPr>
            <w:tcW w:w="1240" w:type="dxa"/>
            <w:vAlign w:val="bottom"/>
          </w:tcPr>
          <w:p>
            <w:pPr>
              <w:jc w:val="right"/>
              <w:spacing w:after="0"/>
              <w:rPr>
                <w:sz w:val="20"/>
                <w:szCs w:val="20"/>
                <w:color w:val="auto"/>
              </w:rPr>
            </w:pPr>
            <w:r>
              <w:rPr>
                <w:rFonts w:ascii="Arial" w:cs="Arial" w:eastAsia="Arial" w:hAnsi="Arial"/>
                <w:sz w:val="18"/>
                <w:szCs w:val="18"/>
                <w:color w:val="auto"/>
              </w:rPr>
              <w:t>1,432.2</w:t>
            </w:r>
          </w:p>
        </w:tc>
        <w:tc>
          <w:tcPr>
            <w:tcW w:w="16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r>
      <w:tr>
        <w:trPr>
          <w:trHeight w:val="243"/>
        </w:trPr>
        <w:tc>
          <w:tcPr>
            <w:tcW w:w="4500" w:type="dxa"/>
            <w:vAlign w:val="bottom"/>
            <w:shd w:val="clear" w:color="auto" w:fill="CCFFCC"/>
          </w:tcPr>
          <w:p>
            <w:pPr>
              <w:spacing w:after="0"/>
              <w:rPr>
                <w:sz w:val="20"/>
                <w:szCs w:val="20"/>
                <w:color w:val="auto"/>
              </w:rPr>
            </w:pPr>
            <w:r>
              <w:rPr>
                <w:rFonts w:ascii="Arial" w:cs="Arial" w:eastAsia="Arial" w:hAnsi="Arial"/>
                <w:sz w:val="18"/>
                <w:szCs w:val="18"/>
                <w:color w:val="auto"/>
              </w:rPr>
              <w:t>Total deposits</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1,227.9</w:t>
            </w:r>
          </w:p>
        </w:tc>
        <w:tc>
          <w:tcPr>
            <w:tcW w:w="160" w:type="dxa"/>
            <w:vAlign w:val="bottom"/>
            <w:shd w:val="clear" w:color="auto" w:fill="CCFFCC"/>
          </w:tcPr>
          <w:p>
            <w:pPr>
              <w:spacing w:after="0"/>
              <w:rPr>
                <w:sz w:val="21"/>
                <w:szCs w:val="21"/>
                <w:color w:val="auto"/>
              </w:rPr>
            </w:pP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1,382.9</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1,197.8</w:t>
            </w:r>
          </w:p>
        </w:tc>
        <w:tc>
          <w:tcPr>
            <w:tcW w:w="160" w:type="dxa"/>
            <w:vAlign w:val="bottom"/>
            <w:shd w:val="clear" w:color="auto" w:fill="CCFFCC"/>
          </w:tcPr>
          <w:p>
            <w:pPr>
              <w:spacing w:after="0"/>
              <w:rPr>
                <w:sz w:val="21"/>
                <w:szCs w:val="21"/>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-11.2</w:t>
            </w: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Shareholder's equity</w:t>
            </w:r>
          </w:p>
        </w:tc>
        <w:tc>
          <w:tcPr>
            <w:tcW w:w="1240" w:type="dxa"/>
            <w:vAlign w:val="bottom"/>
          </w:tcPr>
          <w:p>
            <w:pPr>
              <w:jc w:val="right"/>
              <w:spacing w:after="0"/>
              <w:rPr>
                <w:sz w:val="20"/>
                <w:szCs w:val="20"/>
                <w:color w:val="auto"/>
              </w:rPr>
            </w:pPr>
            <w:r>
              <w:rPr>
                <w:rFonts w:ascii="Arial" w:cs="Arial" w:eastAsia="Arial" w:hAnsi="Arial"/>
                <w:sz w:val="18"/>
                <w:szCs w:val="18"/>
                <w:color w:val="auto"/>
              </w:rPr>
              <w:t>208.5</w:t>
            </w: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214.1</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217.6</w:t>
            </w:r>
          </w:p>
        </w:tc>
        <w:tc>
          <w:tcPr>
            <w:tcW w:w="160" w:type="dxa"/>
            <w:vAlign w:val="bottom"/>
          </w:tcPr>
          <w:p>
            <w:pPr>
              <w:spacing w:after="0"/>
              <w:rPr>
                <w:sz w:val="23"/>
                <w:szCs w:val="23"/>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0"/>
        </w:trPr>
        <w:tc>
          <w:tcPr>
            <w:tcW w:w="4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500" w:type="dxa"/>
            <w:vAlign w:val="bottom"/>
            <w:shd w:val="clear" w:color="auto" w:fill="CCFFCC"/>
          </w:tcPr>
          <w:p>
            <w:pPr>
              <w:spacing w:after="0"/>
              <w:rPr>
                <w:sz w:val="20"/>
                <w:szCs w:val="20"/>
                <w:color w:val="auto"/>
              </w:rPr>
            </w:pPr>
            <w:r>
              <w:rPr>
                <w:rFonts w:ascii="Arial" w:cs="Arial" w:eastAsia="Arial" w:hAnsi="Arial"/>
                <w:sz w:val="18"/>
                <w:szCs w:val="18"/>
                <w:color w:val="auto"/>
              </w:rPr>
              <w:t>Net interest margin</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1.66%</w:t>
            </w:r>
          </w:p>
        </w:tc>
        <w:tc>
          <w:tcPr>
            <w:tcW w:w="14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1.34%</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1.34%</w:t>
            </w:r>
          </w:p>
        </w:tc>
        <w:tc>
          <w:tcPr>
            <w:tcW w:w="12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Efficiency ratio</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26.6%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500" w:type="dxa"/>
            <w:vAlign w:val="bottom"/>
            <w:shd w:val="clear" w:color="auto" w:fill="CCFFCC"/>
          </w:tcPr>
          <w:p>
            <w:pPr>
              <w:spacing w:after="0"/>
              <w:rPr>
                <w:sz w:val="20"/>
                <w:szCs w:val="20"/>
                <w:color w:val="auto"/>
              </w:rPr>
            </w:pPr>
            <w:r>
              <w:rPr>
                <w:rFonts w:ascii="Arial" w:cs="Arial" w:eastAsia="Arial" w:hAnsi="Arial"/>
                <w:sz w:val="18"/>
                <w:szCs w:val="18"/>
                <w:color w:val="auto"/>
              </w:rPr>
              <w:t>Return on average equity*</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16.3%</w:t>
            </w:r>
          </w:p>
        </w:tc>
        <w:tc>
          <w:tcPr>
            <w:tcW w:w="14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16.5%</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17.1%</w:t>
            </w:r>
          </w:p>
        </w:tc>
        <w:tc>
          <w:tcPr>
            <w:tcW w:w="12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PDL / Total loans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
        </w:trPr>
        <w:tc>
          <w:tcPr>
            <w:tcW w:w="4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500" w:type="dxa"/>
            <w:vAlign w:val="bottom"/>
            <w:shd w:val="clear" w:color="auto" w:fill="CCFFCC"/>
          </w:tcPr>
          <w:p>
            <w:pPr>
              <w:spacing w:after="0"/>
              <w:rPr>
                <w:sz w:val="20"/>
                <w:szCs w:val="20"/>
                <w:color w:val="auto"/>
              </w:rPr>
            </w:pPr>
            <w:r>
              <w:rPr>
                <w:rFonts w:ascii="Arial" w:cs="Arial" w:eastAsia="Arial" w:hAnsi="Arial"/>
                <w:sz w:val="18"/>
                <w:szCs w:val="18"/>
                <w:color w:val="auto"/>
              </w:rPr>
              <w:t>Cover ratio</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0.9%</w:t>
            </w:r>
          </w:p>
        </w:tc>
        <w:tc>
          <w:tcPr>
            <w:tcW w:w="14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w:t>
            </w:r>
          </w:p>
        </w:tc>
        <w:tc>
          <w:tcPr>
            <w:tcW w:w="12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BIS ratio</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14.93%</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15.07%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16.68%</w:t>
            </w: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0</wp:posOffset>
            </wp:positionV>
            <wp:extent cx="25730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*Figures of ASB</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for Atlantic Security Holding Corporation (ASHC) of USD 5.7 million reflects an important QoQ increase of 13.7%, though on a yearly</w:t>
      </w:r>
      <w:r>
        <w:rPr>
          <w:rFonts w:ascii="Arial" w:cs="Arial" w:eastAsia="Arial" w:hAnsi="Arial"/>
          <w:sz w:val="18"/>
          <w:szCs w:val="18"/>
          <w:i w:val="1"/>
          <w:iCs w:val="1"/>
          <w:color w:val="auto"/>
        </w:rPr>
        <w:t xml:space="preserve"> </w:t>
      </w:r>
      <w:r>
        <w:rPr>
          <w:rFonts w:ascii="Arial" w:cs="Arial" w:eastAsia="Arial" w:hAnsi="Arial"/>
          <w:sz w:val="18"/>
          <w:szCs w:val="18"/>
          <w:color w:val="auto"/>
        </w:rPr>
        <w:t>comparison a distortion is obvious given that the 1Q07 included the Credicorp dividend, which is being paid this year in April. Excluding that distortion, a yearly growth would also be reported.</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Core revenues </w:t>
      </w:r>
      <w:r>
        <w:rPr>
          <w:rFonts w:ascii="Arial" w:cs="Arial" w:eastAsia="Arial" w:hAnsi="Arial"/>
          <w:sz w:val="18"/>
          <w:szCs w:val="18"/>
          <w:color w:val="auto"/>
        </w:rPr>
        <w:t>were up 4.7% for the quarter, and net of the Credicorp dividend, also 16.3% for the year. The driver of this growth is net interest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increased 16.3%. This increase in net interest income is reported in the midst of a declining interest rate environment, which led the bank to react with an active management of its cost of funds, through periodical adjustments to interest rates paid on deposits and careful management of its maturity structure, therefore generating wider margins.</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Commissions and fees </w:t>
      </w:r>
      <w:r>
        <w:rPr>
          <w:rFonts w:ascii="Arial" w:cs="Arial" w:eastAsia="Arial" w:hAnsi="Arial"/>
          <w:sz w:val="18"/>
          <w:szCs w:val="18"/>
          <w:color w:val="auto"/>
        </w:rPr>
        <w:t>income remain stable, and net gains on foreign exchange transactions reflect gains from the appreciation against the US Dollar of</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currency positions maintained by the bank, mainly Peruvian Nuevos Soles.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provisions </w:t>
      </w:r>
      <w:r>
        <w:rPr>
          <w:rFonts w:ascii="Arial" w:cs="Arial" w:eastAsia="Arial" w:hAnsi="Arial"/>
          <w:sz w:val="18"/>
          <w:szCs w:val="18"/>
          <w:color w:val="auto"/>
        </w:rPr>
        <w:t>reported in 1Q08 of US$ 2.0 million were lower in 35.7% when compared to those reported in 4Q07. These respond to the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of an adverse market effect on the Bank’s proprietary investment portfolio; triggered by the current financial markets’ turmoil. Nevertheless, the investment portfolio maintains a significant concentration of 63% in investment grade securities indicating a high credit quality exposure. We estimate that reserves will remain within the same levels reported for 1QT08 in the following quarter.</w:t>
      </w:r>
    </w:p>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Realized </w:t>
      </w:r>
      <w:r>
        <w:rPr>
          <w:rFonts w:ascii="Arial" w:cs="Arial" w:eastAsia="Arial" w:hAnsi="Arial"/>
          <w:sz w:val="18"/>
          <w:szCs w:val="18"/>
          <w:i w:val="1"/>
          <w:iCs w:val="1"/>
          <w:color w:val="auto"/>
        </w:rPr>
        <w:t>gains on the sale of securities</w:t>
      </w:r>
      <w:r>
        <w:rPr>
          <w:rFonts w:ascii="Arial" w:cs="Arial" w:eastAsia="Arial" w:hAnsi="Arial"/>
          <w:sz w:val="18"/>
          <w:szCs w:val="18"/>
          <w:color w:val="auto"/>
        </w:rPr>
        <w:t xml:space="preserve"> show a volatile performance, though we estimate these will remain constant or below current 1Q08 figures for the following months.</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i w:val="1"/>
          <w:iCs w:val="1"/>
          <w:color w:val="auto"/>
        </w:rPr>
        <w:t xml:space="preserve">Net interest margin </w:t>
      </w:r>
      <w:r>
        <w:rPr>
          <w:rFonts w:ascii="Arial" w:cs="Arial" w:eastAsia="Arial" w:hAnsi="Arial"/>
          <w:sz w:val="18"/>
          <w:szCs w:val="18"/>
          <w:color w:val="auto"/>
        </w:rPr>
        <w:t>presents an increase from 1.34% to 1.66% during this 1Q08 mainly due to a reduction of interests on deposits, which were aligned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reductions observed in the LIBOR rate.</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Efficiency ratio </w:t>
      </w:r>
      <w:r>
        <w:rPr>
          <w:rFonts w:ascii="Arial" w:cs="Arial" w:eastAsia="Arial" w:hAnsi="Arial"/>
          <w:sz w:val="18"/>
          <w:szCs w:val="18"/>
          <w:color w:val="auto"/>
        </w:rPr>
        <w:t>presented a slight reduction from 26.6% in 4Q07 to 22.0% this 1Q08. This improvement is a result of the slightly increased net income. The</w:t>
      </w:r>
      <w:r>
        <w:rPr>
          <w:rFonts w:ascii="Arial" w:cs="Arial" w:eastAsia="Arial" w:hAnsi="Arial"/>
          <w:sz w:val="18"/>
          <w:szCs w:val="18"/>
          <w:i w:val="1"/>
          <w:iCs w:val="1"/>
          <w:color w:val="auto"/>
        </w:rPr>
        <w:t xml:space="preserve"> </w:t>
      </w:r>
      <w:r>
        <w:rPr>
          <w:rFonts w:ascii="Arial" w:cs="Arial" w:eastAsia="Arial" w:hAnsi="Arial"/>
          <w:sz w:val="18"/>
          <w:szCs w:val="18"/>
          <w:color w:val="auto"/>
        </w:rPr>
        <w:t>1Q07 efficiency ratio reported of 7.3% is totally distorted again by the extraordinary Cerdicorp dividend income in that period. Net of that distortion, the ratio is 26%, i.e. similar to ratios reported during the last quarters.</w:t>
      </w:r>
    </w:p>
    <w:p>
      <w:pPr>
        <w:spacing w:after="0" w:line="2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asset levels decreased by 7.7% on QoQ due to outgoing customers’ deposits and their migration to structured products managed off-balance sheet for customers motivated by higher yields.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Earning Assets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earning assets reached US$ 1.358 MM, as shown in the table below. This figure dropped 8.1% on a QoQ basis, while an increase of 6.1% YoY is observed. This follows the migration mentioned above of deposits to off-balance sheet investment opportunities and outgoing funds from customers’ accounts during this 1QT08.</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 of investment-grade securities in the investment portfolio is 63%, emphasizing ASB’s prudent investment policy of concentrating its portfolio in high credit quality, high liquidity securities.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040" w:type="dxa"/>
            <w:vAlign w:val="bottom"/>
          </w:tcPr>
          <w:p>
            <w:pPr>
              <w:spacing w:after="0"/>
              <w:rPr>
                <w:sz w:val="20"/>
                <w:szCs w:val="20"/>
                <w:color w:val="auto"/>
              </w:rPr>
            </w:pPr>
            <w:r>
              <w:rPr>
                <w:rFonts w:ascii="Arial" w:cs="Arial" w:eastAsia="Arial" w:hAnsi="Arial"/>
                <w:sz w:val="18"/>
                <w:szCs w:val="18"/>
                <w:b w:val="1"/>
                <w:bCs w:val="1"/>
                <w:color w:val="auto"/>
              </w:rPr>
              <w:t>INTEREST EARNING ASSETS*</w:t>
            </w: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6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 Change</w:t>
            </w:r>
          </w:p>
        </w:tc>
        <w:tc>
          <w:tcPr>
            <w:tcW w:w="180" w:type="dxa"/>
            <w:vAlign w:val="bottom"/>
          </w:tcPr>
          <w:p>
            <w:pPr>
              <w:spacing w:after="0"/>
              <w:rPr>
                <w:sz w:val="22"/>
                <w:szCs w:val="22"/>
                <w:color w:val="auto"/>
              </w:rPr>
            </w:pPr>
          </w:p>
        </w:tc>
      </w:tr>
      <w:tr>
        <w:trPr>
          <w:trHeight w:val="264"/>
        </w:trPr>
        <w:tc>
          <w:tcPr>
            <w:tcW w:w="5040" w:type="dxa"/>
            <w:vAlign w:val="bottom"/>
          </w:tcPr>
          <w:p>
            <w:pPr>
              <w:spacing w:after="0"/>
              <w:rPr>
                <w:sz w:val="20"/>
                <w:szCs w:val="20"/>
                <w:color w:val="auto"/>
              </w:rPr>
            </w:pPr>
            <w:r>
              <w:rPr>
                <w:rFonts w:ascii="Arial" w:cs="Arial" w:eastAsia="Arial" w:hAnsi="Arial"/>
                <w:sz w:val="18"/>
                <w:szCs w:val="18"/>
                <w:b w:val="1"/>
                <w:bCs w:val="1"/>
                <w:color w:val="auto"/>
              </w:rPr>
              <w:t>(US$ Million)</w:t>
            </w: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1Q 2008</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4Q 2007</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1Q 2007</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1Q08/ 1Q07</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1Q08/ 4Q07</w:t>
            </w:r>
          </w:p>
        </w:tc>
        <w:tc>
          <w:tcPr>
            <w:tcW w:w="180" w:type="dxa"/>
            <w:vAlign w:val="bottom"/>
          </w:tcPr>
          <w:p>
            <w:pPr>
              <w:spacing w:after="0"/>
              <w:rPr>
                <w:sz w:val="22"/>
                <w:szCs w:val="22"/>
                <w:color w:val="auto"/>
              </w:rPr>
            </w:pPr>
          </w:p>
        </w:tc>
      </w:tr>
      <w:tr>
        <w:trPr>
          <w:trHeight w:val="237"/>
        </w:trPr>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Due from banks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FFCC"/>
          </w:tcPr>
          <w:p>
            <w:pPr>
              <w:spacing w:after="0"/>
              <w:rPr>
                <w:sz w:val="20"/>
                <w:szCs w:val="20"/>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548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-20.2%</w:t>
            </w: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Loans</w:t>
            </w:r>
          </w:p>
        </w:tc>
        <w:tc>
          <w:tcPr>
            <w:tcW w:w="114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r>
      <w:tr>
        <w:trPr>
          <w:trHeight w:val="250"/>
        </w:trPr>
        <w:tc>
          <w:tcPr>
            <w:tcW w:w="50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Investments</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799</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752</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-3.2%</w:t>
            </w:r>
          </w:p>
        </w:tc>
      </w:tr>
      <w:tr>
        <w:trPr>
          <w:trHeight w:val="20"/>
        </w:trPr>
        <w:tc>
          <w:tcPr>
            <w:tcW w:w="504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5040" w:type="dxa"/>
            <w:vAlign w:val="bottom"/>
          </w:tcPr>
          <w:p>
            <w:pPr>
              <w:spacing w:after="0"/>
              <w:rPr>
                <w:sz w:val="20"/>
                <w:szCs w:val="20"/>
                <w:color w:val="auto"/>
              </w:rPr>
            </w:pPr>
            <w:r>
              <w:rPr>
                <w:rFonts w:ascii="Arial" w:cs="Arial" w:eastAsia="Arial" w:hAnsi="Arial"/>
                <w:sz w:val="18"/>
                <w:szCs w:val="18"/>
                <w:b w:val="1"/>
                <w:bCs w:val="1"/>
                <w:color w:val="auto"/>
              </w:rPr>
              <w:t>Total interest-earning assets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1,358</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1,478</w:t>
            </w:r>
          </w:p>
        </w:tc>
        <w:tc>
          <w:tcPr>
            <w:tcW w:w="12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1,280</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6.1%</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-8.1%</w:t>
            </w:r>
          </w:p>
        </w:tc>
      </w:tr>
      <w:tr>
        <w:trPr>
          <w:trHeight w:val="20"/>
        </w:trPr>
        <w:tc>
          <w:tcPr>
            <w:tcW w:w="50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 Excludes investments in equities and mutual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184150</wp:posOffset>
            </wp:positionV>
            <wp:extent cx="3858895" cy="14147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58895"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Asset Management Business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Asset Management business we include customers’ deposits, and investments such as proprietary mutual funds and securities custody. The total of these funds dropped by 1.9% QoQ and 25.9% YoY. Such drop is basically explained by the market valuation of the portfolio, since the outgoing funds from our deposits were completely captured by our asset management products. Thus, total funds under management shows a valuation of 3,556 million vs. US$3,625 million in 4Q07. The management of third party funds in off-balance sheet accounts continues to be the focus of our new business development of ASHC.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163195</wp:posOffset>
            </wp:positionV>
            <wp:extent cx="3747770" cy="19894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747770"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3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V. PRIMA AFP</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Developments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1Q08, competition in the Private Pension Fund System slightly decreased in comparison to the previous quarter. Thus, the level of transfers dropped to an average of 24 thousand per month in 1Q08 from an average of 27 thousand per month in 4Q07. Reduction in sales force has not affected significantly new affiliations, which increased from an average level of 18 thousand to 21 thousand during 1Q08.</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terms of funds under management (FuM), there was an increase with respect to December 2007 of 9.3%, mainly due to the strong domestic currency appreciation, reaching a total of US$ 22.3 billion. Market behavior affected voluntary contributions, which showed a decreasing trend.</w:t>
      </w:r>
    </w:p>
    <w:p>
      <w:pPr>
        <w:spacing w:after="0" w:line="2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Financially, companies have shown a positive evolution in terms of earnings and expenses, supported by the strong local currency appreciation. It is important to mention that this development took place despite the double accrued earnings effect in the first month of the year.</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4080" w:type="dxa"/>
            <w:vAlign w:val="bottom"/>
            <w:gridSpan w:val="4"/>
          </w:tcPr>
          <w:p>
            <w:pPr>
              <w:ind w:left="320"/>
              <w:spacing w:after="0"/>
              <w:rPr>
                <w:sz w:val="20"/>
                <w:szCs w:val="20"/>
                <w:color w:val="auto"/>
              </w:rPr>
            </w:pPr>
            <w:r>
              <w:rPr>
                <w:rFonts w:ascii="Arial" w:cs="Arial" w:eastAsia="Arial" w:hAnsi="Arial"/>
                <w:sz w:val="18"/>
                <w:szCs w:val="18"/>
                <w:b w:val="1"/>
                <w:bCs w:val="1"/>
                <w:color w:val="auto"/>
                <w:w w:val="94"/>
              </w:rPr>
              <w:t>Private Pension Fund System: Main Indicators</w:t>
            </w: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540"/>
        </w:trPr>
        <w:tc>
          <w:tcPr>
            <w:tcW w:w="3020" w:type="dxa"/>
            <w:vAlign w:val="bottom"/>
          </w:tcPr>
          <w:p>
            <w:pPr>
              <w:spacing w:after="0"/>
              <w:rPr>
                <w:sz w:val="20"/>
                <w:szCs w:val="20"/>
                <w:color w:val="auto"/>
              </w:rPr>
            </w:pPr>
            <w:r>
              <w:rPr>
                <w:rFonts w:ascii="Arial" w:cs="Arial" w:eastAsia="Arial" w:hAnsi="Arial"/>
                <w:sz w:val="18"/>
                <w:szCs w:val="18"/>
                <w:b w:val="1"/>
                <w:bCs w:val="1"/>
                <w:color w:val="auto"/>
              </w:rPr>
              <w:t>At the end of period:</w:t>
            </w:r>
          </w:p>
        </w:tc>
        <w:tc>
          <w:tcPr>
            <w:tcW w:w="1780" w:type="dxa"/>
            <w:vAlign w:val="bottom"/>
          </w:tcPr>
          <w:p>
            <w:pPr>
              <w:spacing w:after="0"/>
              <w:rPr>
                <w:sz w:val="24"/>
                <w:szCs w:val="24"/>
                <w:color w:val="auto"/>
              </w:rPr>
            </w:pPr>
          </w:p>
        </w:tc>
        <w:tc>
          <w:tcPr>
            <w:tcW w:w="16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1Q08</w:t>
            </w:r>
          </w:p>
        </w:tc>
        <w:tc>
          <w:tcPr>
            <w:tcW w:w="2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4Q07</w:t>
            </w:r>
          </w:p>
        </w:tc>
        <w:tc>
          <w:tcPr>
            <w:tcW w:w="200" w:type="dxa"/>
            <w:vAlign w:val="bottom"/>
          </w:tcPr>
          <w:p>
            <w:pPr>
              <w:spacing w:after="0"/>
              <w:rPr>
                <w:sz w:val="24"/>
                <w:szCs w:val="24"/>
                <w:color w:val="auto"/>
              </w:rPr>
            </w:pPr>
          </w:p>
        </w:tc>
        <w:tc>
          <w:tcPr>
            <w:tcW w:w="16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1Q07</w:t>
            </w:r>
          </w:p>
        </w:tc>
        <w:tc>
          <w:tcPr>
            <w:tcW w:w="160" w:type="dxa"/>
            <w:vAlign w:val="bottom"/>
          </w:tcPr>
          <w:p>
            <w:pPr>
              <w:spacing w:after="0"/>
              <w:rPr>
                <w:sz w:val="24"/>
                <w:szCs w:val="24"/>
                <w:color w:val="auto"/>
              </w:rPr>
            </w:pPr>
          </w:p>
        </w:tc>
      </w:tr>
      <w:tr>
        <w:trPr>
          <w:trHeight w:val="237"/>
        </w:trPr>
        <w:tc>
          <w:tcPr>
            <w:tcW w:w="3020" w:type="dxa"/>
            <w:vAlign w:val="bottom"/>
            <w:shd w:val="clear" w:color="auto" w:fill="CCFFCC"/>
          </w:tcPr>
          <w:p>
            <w:pPr>
              <w:spacing w:after="0"/>
              <w:rPr>
                <w:sz w:val="20"/>
                <w:szCs w:val="20"/>
                <w:color w:val="auto"/>
              </w:rPr>
            </w:pPr>
            <w:r>
              <w:rPr>
                <w:rFonts w:ascii="Arial" w:cs="Arial" w:eastAsia="Arial" w:hAnsi="Arial"/>
                <w:sz w:val="18"/>
                <w:szCs w:val="18"/>
                <w:color w:val="auto"/>
              </w:rPr>
              <w:t>Affiliates (thousand)</w:t>
            </w:r>
          </w:p>
        </w:tc>
        <w:tc>
          <w:tcPr>
            <w:tcW w:w="34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4,156</w:t>
            </w:r>
          </w:p>
        </w:tc>
        <w:tc>
          <w:tcPr>
            <w:tcW w:w="200" w:type="dxa"/>
            <w:vAlign w:val="bottom"/>
            <w:shd w:val="clear" w:color="auto" w:fill="CCFFCC"/>
          </w:tcPr>
          <w:p>
            <w:pPr>
              <w:spacing w:after="0"/>
              <w:rPr>
                <w:sz w:val="20"/>
                <w:szCs w:val="20"/>
                <w:color w:val="auto"/>
              </w:rPr>
            </w:pPr>
          </w:p>
        </w:tc>
        <w:tc>
          <w:tcPr>
            <w:tcW w:w="460" w:type="dxa"/>
            <w:vAlign w:val="bottom"/>
            <w:shd w:val="clear" w:color="auto" w:fill="CCFFCC"/>
          </w:tcPr>
          <w:p>
            <w:pPr>
              <w:spacing w:after="0"/>
              <w:rPr>
                <w:sz w:val="20"/>
                <w:szCs w:val="20"/>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4,101</w:t>
            </w:r>
          </w:p>
        </w:tc>
        <w:tc>
          <w:tcPr>
            <w:tcW w:w="200" w:type="dxa"/>
            <w:vAlign w:val="bottom"/>
            <w:shd w:val="clear" w:color="auto" w:fill="CCFFCC"/>
          </w:tcPr>
          <w:p>
            <w:pPr>
              <w:spacing w:after="0"/>
              <w:rPr>
                <w:sz w:val="20"/>
                <w:szCs w:val="20"/>
                <w:color w:val="auto"/>
              </w:rPr>
            </w:pPr>
          </w:p>
        </w:tc>
        <w:tc>
          <w:tcPr>
            <w:tcW w:w="1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3,939</w:t>
            </w:r>
          </w:p>
        </w:tc>
        <w:tc>
          <w:tcPr>
            <w:tcW w:w="160" w:type="dxa"/>
            <w:vAlign w:val="bottom"/>
            <w:shd w:val="clear" w:color="auto" w:fill="CCFFCC"/>
          </w:tcPr>
          <w:p>
            <w:pPr>
              <w:spacing w:after="0"/>
              <w:rPr>
                <w:sz w:val="20"/>
                <w:szCs w:val="20"/>
                <w:color w:val="auto"/>
              </w:rPr>
            </w:pPr>
          </w:p>
        </w:tc>
      </w:tr>
      <w:tr>
        <w:trPr>
          <w:trHeight w:val="270"/>
        </w:trPr>
        <w:tc>
          <w:tcPr>
            <w:tcW w:w="3020" w:type="dxa"/>
            <w:vAlign w:val="bottom"/>
          </w:tcPr>
          <w:p>
            <w:pPr>
              <w:spacing w:after="0"/>
              <w:rPr>
                <w:sz w:val="20"/>
                <w:szCs w:val="20"/>
                <w:color w:val="auto"/>
              </w:rPr>
            </w:pPr>
            <w:r>
              <w:rPr>
                <w:rFonts w:ascii="Arial" w:cs="Arial" w:eastAsia="Arial" w:hAnsi="Arial"/>
                <w:sz w:val="18"/>
                <w:szCs w:val="18"/>
                <w:color w:val="auto"/>
              </w:rPr>
              <w:t>% Change (1)</w:t>
            </w:r>
          </w:p>
        </w:tc>
        <w:tc>
          <w:tcPr>
            <w:tcW w:w="1780" w:type="dxa"/>
            <w:vAlign w:val="bottom"/>
          </w:tcPr>
          <w:p>
            <w:pPr>
              <w:spacing w:after="0"/>
              <w:rPr>
                <w:sz w:val="23"/>
                <w:szCs w:val="23"/>
                <w:color w:val="auto"/>
              </w:rPr>
            </w:pP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23"/>
                <w:szCs w:val="23"/>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69"/>
        </w:trPr>
        <w:tc>
          <w:tcPr>
            <w:tcW w:w="30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Sales force</w:t>
            </w:r>
          </w:p>
        </w:tc>
        <w:tc>
          <w:tcPr>
            <w:tcW w:w="1780" w:type="dxa"/>
            <w:vAlign w:val="bottom"/>
            <w:tcBorders>
              <w:bottom w:val="single" w:sz="8" w:color="CCFFCC"/>
            </w:tcBorders>
            <w:shd w:val="clear" w:color="auto" w:fill="CCFFCC"/>
          </w:tcPr>
          <w:p>
            <w:pPr>
              <w:spacing w:after="0"/>
              <w:rPr>
                <w:sz w:val="22"/>
                <w:szCs w:val="22"/>
                <w:color w:val="auto"/>
              </w:rPr>
            </w:pPr>
          </w:p>
        </w:tc>
        <w:tc>
          <w:tcPr>
            <w:tcW w:w="164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2,031</w:t>
            </w:r>
          </w:p>
        </w:tc>
        <w:tc>
          <w:tcPr>
            <w:tcW w:w="200" w:type="dxa"/>
            <w:vAlign w:val="bottom"/>
            <w:tcBorders>
              <w:bottom w:val="single" w:sz="8" w:color="CCFFCC"/>
            </w:tcBorders>
            <w:shd w:val="clear" w:color="auto" w:fill="CCFFCC"/>
          </w:tcPr>
          <w:p>
            <w:pPr>
              <w:spacing w:after="0"/>
              <w:rPr>
                <w:sz w:val="22"/>
                <w:szCs w:val="22"/>
                <w:color w:val="auto"/>
              </w:rPr>
            </w:pPr>
          </w:p>
        </w:tc>
        <w:tc>
          <w:tcPr>
            <w:tcW w:w="460" w:type="dxa"/>
            <w:vAlign w:val="bottom"/>
            <w:tcBorders>
              <w:top w:val="single" w:sz="8" w:color="auto"/>
              <w:bottom w:val="single" w:sz="8" w:color="CCFFCC"/>
            </w:tcBorders>
            <w:shd w:val="clear" w:color="auto" w:fill="CCFFCC"/>
          </w:tcPr>
          <w:p>
            <w:pPr>
              <w:spacing w:after="0"/>
              <w:rPr>
                <w:sz w:val="22"/>
                <w:szCs w:val="22"/>
                <w:color w:val="auto"/>
              </w:rPr>
            </w:pPr>
          </w:p>
        </w:tc>
        <w:tc>
          <w:tcPr>
            <w:tcW w:w="118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2,340</w:t>
            </w:r>
          </w:p>
        </w:tc>
        <w:tc>
          <w:tcPr>
            <w:tcW w:w="200" w:type="dxa"/>
            <w:vAlign w:val="bottom"/>
            <w:tcBorders>
              <w:bottom w:val="single" w:sz="8" w:color="CCFFCC"/>
            </w:tcBorders>
            <w:shd w:val="clear" w:color="auto" w:fill="CCFFCC"/>
          </w:tcPr>
          <w:p>
            <w:pPr>
              <w:spacing w:after="0"/>
              <w:rPr>
                <w:sz w:val="22"/>
                <w:szCs w:val="22"/>
                <w:color w:val="auto"/>
              </w:rPr>
            </w:pPr>
          </w:p>
        </w:tc>
        <w:tc>
          <w:tcPr>
            <w:tcW w:w="164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5,179</w:t>
            </w:r>
          </w:p>
        </w:tc>
        <w:tc>
          <w:tcPr>
            <w:tcW w:w="160" w:type="dxa"/>
            <w:vAlign w:val="bottom"/>
            <w:tcBorders>
              <w:bottom w:val="single" w:sz="8" w:color="CCFFCC"/>
            </w:tcBorders>
            <w:shd w:val="clear" w:color="auto" w:fill="CCFFCC"/>
          </w:tcPr>
          <w:p>
            <w:pPr>
              <w:spacing w:after="0"/>
              <w:rPr>
                <w:sz w:val="22"/>
                <w:szCs w:val="22"/>
                <w:color w:val="auto"/>
              </w:rPr>
            </w:pPr>
          </w:p>
        </w:tc>
      </w:tr>
      <w:tr>
        <w:trPr>
          <w:trHeight w:val="237"/>
        </w:trPr>
        <w:tc>
          <w:tcPr>
            <w:tcW w:w="3020" w:type="dxa"/>
            <w:vAlign w:val="bottom"/>
            <w:tcBorders>
              <w:top w:val="single" w:sz="8" w:color="CCFFCC"/>
            </w:tcBorders>
          </w:tcPr>
          <w:p>
            <w:pPr>
              <w:spacing w:after="0"/>
              <w:rPr>
                <w:sz w:val="20"/>
                <w:szCs w:val="20"/>
                <w:color w:val="auto"/>
              </w:rPr>
            </w:pPr>
            <w:r>
              <w:rPr>
                <w:rFonts w:ascii="Arial" w:cs="Arial" w:eastAsia="Arial" w:hAnsi="Arial"/>
                <w:sz w:val="18"/>
                <w:szCs w:val="18"/>
                <w:color w:val="auto"/>
                <w:w w:val="99"/>
              </w:rPr>
              <w:t>Assets under management (US$ mm)</w:t>
            </w:r>
          </w:p>
        </w:tc>
        <w:tc>
          <w:tcPr>
            <w:tcW w:w="1780" w:type="dxa"/>
            <w:vAlign w:val="bottom"/>
            <w:tcBorders>
              <w:top w:val="single" w:sz="8" w:color="CCFFCC"/>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22,279</w:t>
            </w:r>
          </w:p>
        </w:tc>
        <w:tc>
          <w:tcPr>
            <w:tcW w:w="200" w:type="dxa"/>
            <w:vAlign w:val="bottom"/>
            <w:tcBorders>
              <w:top w:val="single" w:sz="8" w:color="CCFFC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20,371</w:t>
            </w:r>
          </w:p>
        </w:tc>
        <w:tc>
          <w:tcPr>
            <w:tcW w:w="200" w:type="dxa"/>
            <w:vAlign w:val="bottom"/>
            <w:tcBorders>
              <w:top w:val="single" w:sz="8" w:color="CCFFCC"/>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16,763</w:t>
            </w:r>
          </w:p>
        </w:tc>
        <w:tc>
          <w:tcPr>
            <w:tcW w:w="160" w:type="dxa"/>
            <w:vAlign w:val="bottom"/>
            <w:tcBorders>
              <w:top w:val="single" w:sz="8" w:color="CCFFCC"/>
            </w:tcBorders>
          </w:tcPr>
          <w:p>
            <w:pPr>
              <w:spacing w:after="0"/>
              <w:rPr>
                <w:sz w:val="20"/>
                <w:szCs w:val="20"/>
                <w:color w:val="auto"/>
              </w:rPr>
            </w:pPr>
          </w:p>
        </w:tc>
      </w:tr>
      <w:tr>
        <w:trPr>
          <w:trHeight w:val="275"/>
        </w:trPr>
        <w:tc>
          <w:tcPr>
            <w:tcW w:w="30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 Change (1)</w:t>
            </w:r>
          </w:p>
        </w:tc>
        <w:tc>
          <w:tcPr>
            <w:tcW w:w="1780" w:type="dxa"/>
            <w:vAlign w:val="bottom"/>
            <w:tcBorders>
              <w:bottom w:val="single" w:sz="8" w:color="CCFFCC"/>
            </w:tcBorders>
            <w:shd w:val="clear" w:color="auto" w:fill="CCFFCC"/>
          </w:tcPr>
          <w:p>
            <w:pPr>
              <w:spacing w:after="0"/>
              <w:rPr>
                <w:sz w:val="23"/>
                <w:szCs w:val="23"/>
                <w:color w:val="auto"/>
              </w:rPr>
            </w:pPr>
          </w:p>
        </w:tc>
        <w:tc>
          <w:tcPr>
            <w:tcW w:w="184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9.4%</w:t>
            </w:r>
          </w:p>
        </w:tc>
        <w:tc>
          <w:tcPr>
            <w:tcW w:w="460" w:type="dxa"/>
            <w:vAlign w:val="bottom"/>
            <w:tcBorders>
              <w:bottom w:val="single" w:sz="8" w:color="CCFFCC"/>
            </w:tcBorders>
            <w:shd w:val="clear" w:color="auto" w:fill="CCFFCC"/>
          </w:tcPr>
          <w:p>
            <w:pPr>
              <w:spacing w:after="0"/>
              <w:rPr>
                <w:sz w:val="23"/>
                <w:szCs w:val="23"/>
                <w:color w:val="auto"/>
              </w:rPr>
            </w:pPr>
          </w:p>
        </w:tc>
        <w:tc>
          <w:tcPr>
            <w:tcW w:w="138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0.4%</w:t>
            </w:r>
          </w:p>
        </w:tc>
        <w:tc>
          <w:tcPr>
            <w:tcW w:w="180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16.5%</w:t>
            </w:r>
          </w:p>
        </w:tc>
      </w:tr>
      <w:tr>
        <w:trPr>
          <w:trHeight w:val="237"/>
        </w:trPr>
        <w:tc>
          <w:tcPr>
            <w:tcW w:w="302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Income (US$ mm)</w:t>
            </w:r>
          </w:p>
        </w:tc>
        <w:tc>
          <w:tcPr>
            <w:tcW w:w="1780" w:type="dxa"/>
            <w:vAlign w:val="bottom"/>
            <w:tcBorders>
              <w:top w:val="single" w:sz="8" w:color="CCFFCC"/>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200" w:type="dxa"/>
            <w:vAlign w:val="bottom"/>
            <w:tcBorders>
              <w:top w:val="single" w:sz="8" w:color="CCFFC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200" w:type="dxa"/>
            <w:vAlign w:val="bottom"/>
            <w:tcBorders>
              <w:top w:val="single" w:sz="8" w:color="CCFFCC"/>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60" w:type="dxa"/>
            <w:vAlign w:val="bottom"/>
            <w:tcBorders>
              <w:top w:val="single" w:sz="8" w:color="CCFFCC"/>
            </w:tcBorders>
          </w:tcPr>
          <w:p>
            <w:pPr>
              <w:spacing w:after="0"/>
              <w:rPr>
                <w:sz w:val="20"/>
                <w:szCs w:val="20"/>
                <w:color w:val="auto"/>
              </w:rPr>
            </w:pPr>
          </w:p>
        </w:tc>
      </w:tr>
      <w:tr>
        <w:trPr>
          <w:trHeight w:val="243"/>
        </w:trPr>
        <w:tc>
          <w:tcPr>
            <w:tcW w:w="302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 (US$ mm)</w:t>
            </w:r>
          </w:p>
        </w:tc>
        <w:tc>
          <w:tcPr>
            <w:tcW w:w="34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44.1</w:t>
            </w:r>
          </w:p>
        </w:tc>
        <w:tc>
          <w:tcPr>
            <w:tcW w:w="20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43.9</w:t>
            </w:r>
          </w:p>
        </w:tc>
        <w:tc>
          <w:tcPr>
            <w:tcW w:w="200" w:type="dxa"/>
            <w:vAlign w:val="bottom"/>
            <w:shd w:val="clear" w:color="auto" w:fill="CCFFCC"/>
          </w:tcPr>
          <w:p>
            <w:pPr>
              <w:spacing w:after="0"/>
              <w:rPr>
                <w:sz w:val="21"/>
                <w:szCs w:val="21"/>
                <w:color w:val="auto"/>
              </w:rPr>
            </w:pPr>
          </w:p>
        </w:tc>
        <w:tc>
          <w:tcPr>
            <w:tcW w:w="1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44.5</w:t>
            </w:r>
          </w:p>
        </w:tc>
        <w:tc>
          <w:tcPr>
            <w:tcW w:w="160" w:type="dxa"/>
            <w:vAlign w:val="bottom"/>
            <w:shd w:val="clear" w:color="auto" w:fill="CCFFCC"/>
          </w:tcPr>
          <w:p>
            <w:pPr>
              <w:spacing w:after="0"/>
              <w:rPr>
                <w:sz w:val="21"/>
                <w:szCs w:val="21"/>
                <w:color w:val="auto"/>
              </w:rPr>
            </w:pPr>
          </w:p>
        </w:tc>
      </w:tr>
      <w:tr>
        <w:trPr>
          <w:trHeight w:val="243"/>
        </w:trPr>
        <w:tc>
          <w:tcPr>
            <w:tcW w:w="3020" w:type="dxa"/>
            <w:vAlign w:val="bottom"/>
          </w:tcPr>
          <w:p>
            <w:pPr>
              <w:spacing w:after="0"/>
              <w:rPr>
                <w:sz w:val="20"/>
                <w:szCs w:val="20"/>
                <w:color w:val="auto"/>
              </w:rPr>
            </w:pPr>
            <w:r>
              <w:rPr>
                <w:rFonts w:ascii="Arial" w:cs="Arial" w:eastAsia="Arial" w:hAnsi="Arial"/>
                <w:sz w:val="18"/>
                <w:szCs w:val="18"/>
                <w:color w:val="auto"/>
              </w:rPr>
              <w:t>Operating income (US$ mm)</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21"/>
                <w:szCs w:val="21"/>
                <w:color w:val="auto"/>
              </w:rPr>
            </w:pPr>
          </w:p>
        </w:tc>
      </w:tr>
      <w:tr>
        <w:trPr>
          <w:trHeight w:val="250"/>
        </w:trPr>
        <w:tc>
          <w:tcPr>
            <w:tcW w:w="30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Income (US$ mm)</w:t>
            </w:r>
          </w:p>
        </w:tc>
        <w:tc>
          <w:tcPr>
            <w:tcW w:w="1780" w:type="dxa"/>
            <w:vAlign w:val="bottom"/>
            <w:tcBorders>
              <w:bottom w:val="single" w:sz="8" w:color="CCFFCC"/>
            </w:tcBorders>
            <w:shd w:val="clear" w:color="auto" w:fill="CCFFCC"/>
          </w:tcPr>
          <w:p>
            <w:pPr>
              <w:spacing w:after="0"/>
              <w:rPr>
                <w:sz w:val="21"/>
                <w:szCs w:val="21"/>
                <w:color w:val="auto"/>
              </w:rPr>
            </w:pPr>
          </w:p>
        </w:tc>
        <w:tc>
          <w:tcPr>
            <w:tcW w:w="1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FFCC"/>
            </w:tcBorders>
            <w:shd w:val="clear" w:color="auto" w:fill="CCFFCC"/>
          </w:tcPr>
          <w:p>
            <w:pPr>
              <w:spacing w:after="0"/>
              <w:rPr>
                <w:sz w:val="21"/>
                <w:szCs w:val="21"/>
                <w:color w:val="auto"/>
              </w:rPr>
            </w:pPr>
          </w:p>
        </w:tc>
        <w:tc>
          <w:tcPr>
            <w:tcW w:w="1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Borders>
              <w:bottom w:val="single" w:sz="8" w:color="CCFFCC"/>
            </w:tcBorders>
            <w:shd w:val="clear" w:color="auto" w:fill="CCFFCC"/>
          </w:tcPr>
          <w:p>
            <w:pPr>
              <w:spacing w:after="0"/>
              <w:rPr>
                <w:sz w:val="21"/>
                <w:szCs w:val="21"/>
                <w:color w:val="auto"/>
              </w:rPr>
            </w:pPr>
          </w:p>
        </w:tc>
      </w:tr>
      <w:tr>
        <w:trPr>
          <w:trHeight w:val="20"/>
        </w:trPr>
        <w:tc>
          <w:tcPr>
            <w:tcW w:w="3020" w:type="dxa"/>
            <w:vAlign w:val="bottom"/>
            <w:shd w:val="clear" w:color="auto" w:fill="CCFFCC"/>
          </w:tcPr>
          <w:p>
            <w:pPr>
              <w:spacing w:after="0" w:line="20" w:lineRule="exact"/>
              <w:rPr>
                <w:sz w:val="1"/>
                <w:szCs w:val="1"/>
                <w:color w:val="auto"/>
              </w:rPr>
            </w:pPr>
          </w:p>
        </w:tc>
        <w:tc>
          <w:tcPr>
            <w:tcW w:w="1780" w:type="dxa"/>
            <w:vAlign w:val="bottom"/>
            <w:shd w:val="clear" w:color="auto" w:fill="CCFFC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Source: CONASEV, SBS: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Quarter variation.</w:t>
      </w:r>
    </w:p>
    <w:p>
      <w:pPr>
        <w:spacing w:after="0" w:line="21" w:lineRule="exact"/>
        <w:rPr>
          <w:sz w:val="20"/>
          <w:szCs w:val="20"/>
          <w:color w:val="auto"/>
        </w:rPr>
      </w:pPr>
    </w:p>
    <w:p>
      <w:pPr>
        <w:ind w:right="5040"/>
        <w:spacing w:after="0" w:line="272" w:lineRule="auto"/>
        <w:rPr>
          <w:sz w:val="20"/>
          <w:szCs w:val="20"/>
          <w:color w:val="auto"/>
        </w:rPr>
      </w:pPr>
      <w:r>
        <w:rPr>
          <w:rFonts w:ascii="Arial" w:cs="Arial" w:eastAsia="Arial" w:hAnsi="Arial"/>
          <w:sz w:val="14"/>
          <w:szCs w:val="14"/>
          <w:i w:val="1"/>
          <w:iCs w:val="1"/>
          <w:color w:val="auto"/>
        </w:rPr>
        <w:t>In local Peruvian accounting, legal reserves are included in the income statement as opposed to the IFRS. There is no information for results adjusted to international financial reporting standards for the Total System. The first and third quarter include double collection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 AFP</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1Q08, Prima AFP maintained a good performance in terms of commercial and investment activities. In commercial terms, Prima AFP reduced the number of affiliates as a consequence of more transfers to other pension funds, potentially a consequence of being the leader in the reduction of the sale force. However, despite the reduced sale force, Prima AFP continued increasing its volumes of funds as a result of its increased sales force productivity and the quality of its contributors’ portfolio.</w:t>
      </w:r>
    </w:p>
    <w:p>
      <w:pPr>
        <w:spacing w:after="0" w:line="24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Prima AFP maintained its leadership in the market in terms of collections and voluntary contributions. Likewise, in comparison to the previous quarter position, Prima’s market share was superior despite the reduction in volume of voluntary contributions as a consequence of the market volatility.</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26"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PRIMA 1Q08</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System 1Q08</w:t>
            </w:r>
          </w:p>
        </w:tc>
        <w:tc>
          <w:tcPr>
            <w:tcW w:w="1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 Share 1Q08</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PRIMA 4Q07</w:t>
            </w:r>
          </w:p>
        </w:tc>
        <w:tc>
          <w:tcPr>
            <w:tcW w:w="1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 Share 4Q07</w:t>
            </w:r>
          </w:p>
        </w:tc>
        <w:tc>
          <w:tcPr>
            <w:tcW w:w="160" w:type="dxa"/>
            <w:vAlign w:val="bottom"/>
          </w:tcPr>
          <w:p>
            <w:pPr>
              <w:spacing w:after="0"/>
              <w:rPr>
                <w:sz w:val="20"/>
                <w:szCs w:val="20"/>
                <w:color w:val="auto"/>
              </w:rPr>
            </w:pPr>
          </w:p>
        </w:tc>
      </w:tr>
      <w:tr>
        <w:trPr>
          <w:trHeight w:val="237"/>
        </w:trPr>
        <w:tc>
          <w:tcPr>
            <w:tcW w:w="5100" w:type="dxa"/>
            <w:vAlign w:val="bottom"/>
            <w:shd w:val="clear" w:color="auto" w:fill="CCFFCC"/>
          </w:tcPr>
          <w:p>
            <w:pPr>
              <w:spacing w:after="0"/>
              <w:rPr>
                <w:sz w:val="20"/>
                <w:szCs w:val="20"/>
                <w:color w:val="auto"/>
              </w:rPr>
            </w:pPr>
            <w:r>
              <w:rPr>
                <w:rFonts w:ascii="Arial" w:cs="Arial" w:eastAsia="Arial" w:hAnsi="Arial"/>
                <w:sz w:val="18"/>
                <w:szCs w:val="18"/>
                <w:color w:val="auto"/>
              </w:rPr>
              <w:t>Affiliates (1)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1,029,814</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4,156,077</w:t>
            </w:r>
          </w:p>
        </w:tc>
        <w:tc>
          <w:tcPr>
            <w:tcW w:w="10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24.8%</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1,023,482</w:t>
            </w:r>
          </w:p>
        </w:tc>
        <w:tc>
          <w:tcPr>
            <w:tcW w:w="10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25.0%</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New affiliations (2)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11,130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62,583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10,707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19.8%</w:t>
            </w:r>
          </w:p>
        </w:tc>
      </w:tr>
      <w:tr>
        <w:trPr>
          <w:trHeight w:val="243"/>
        </w:trPr>
        <w:tc>
          <w:tcPr>
            <w:tcW w:w="5100" w:type="dxa"/>
            <w:vAlign w:val="bottom"/>
            <w:shd w:val="clear" w:color="auto" w:fill="CCFFCC"/>
          </w:tcPr>
          <w:p>
            <w:pPr>
              <w:spacing w:after="0"/>
              <w:rPr>
                <w:sz w:val="20"/>
                <w:szCs w:val="20"/>
                <w:color w:val="auto"/>
              </w:rPr>
            </w:pPr>
            <w:r>
              <w:rPr>
                <w:rFonts w:ascii="Arial" w:cs="Arial" w:eastAsia="Arial" w:hAnsi="Arial"/>
                <w:sz w:val="18"/>
                <w:szCs w:val="18"/>
                <w:color w:val="auto"/>
              </w:rPr>
              <w:t>Funds under management US$ mm (1)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6,989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22,279</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31.4%</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6,403</w:t>
            </w:r>
          </w:p>
        </w:tc>
        <w:tc>
          <w:tcPr>
            <w:tcW w:w="1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31.4%</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Collections US$ mm (3)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34.4%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33.7%</w:t>
            </w:r>
          </w:p>
        </w:tc>
      </w:tr>
      <w:tr>
        <w:trPr>
          <w:trHeight w:val="243"/>
        </w:trPr>
        <w:tc>
          <w:tcPr>
            <w:tcW w:w="5100" w:type="dxa"/>
            <w:vAlign w:val="bottom"/>
            <w:shd w:val="clear" w:color="auto" w:fill="CCFFCC"/>
          </w:tcPr>
          <w:p>
            <w:pPr>
              <w:spacing w:after="0"/>
              <w:rPr>
                <w:sz w:val="20"/>
                <w:szCs w:val="20"/>
                <w:color w:val="auto"/>
              </w:rPr>
            </w:pPr>
            <w:r>
              <w:rPr>
                <w:rFonts w:ascii="Arial" w:cs="Arial" w:eastAsia="Arial" w:hAnsi="Arial"/>
                <w:sz w:val="18"/>
                <w:szCs w:val="18"/>
                <w:color w:val="auto"/>
              </w:rPr>
              <w:t>Voluntary contributions US$ mm (4)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339</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48.1%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168</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47.2%</w:t>
            </w: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RAM US$ mm (5)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352</w:t>
            </w:r>
          </w:p>
        </w:tc>
        <w:tc>
          <w:tcPr>
            <w:tcW w:w="114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32.6%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0</wp:posOffset>
            </wp:positionV>
            <wp:extent cx="39103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ind w:left="220" w:hanging="212"/>
        <w:spacing w:after="0"/>
        <w:tabs>
          <w:tab w:leader="none" w:pos="2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Source: Superintendencia de Banca y Seguros</w:t>
      </w:r>
    </w:p>
    <w:p>
      <w:pPr>
        <w:spacing w:after="0" w:line="21" w:lineRule="exact"/>
        <w:rPr>
          <w:rFonts w:ascii="Arial" w:cs="Arial" w:eastAsia="Arial" w:hAnsi="Arial"/>
          <w:sz w:val="14"/>
          <w:szCs w:val="14"/>
          <w:i w:val="1"/>
          <w:iCs w:val="1"/>
          <w:color w:val="auto"/>
        </w:rPr>
      </w:pPr>
    </w:p>
    <w:p>
      <w:pPr>
        <w:ind w:left="220" w:hanging="212"/>
        <w:spacing w:after="0"/>
        <w:tabs>
          <w:tab w:leader="none" w:pos="2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At the end of period.</w:t>
      </w:r>
    </w:p>
    <w:p>
      <w:pPr>
        <w:spacing w:after="0" w:line="14" w:lineRule="exact"/>
        <w:rPr>
          <w:rFonts w:ascii="Arial" w:cs="Arial" w:eastAsia="Arial" w:hAnsi="Arial"/>
          <w:sz w:val="14"/>
          <w:szCs w:val="14"/>
          <w:i w:val="1"/>
          <w:iCs w:val="1"/>
          <w:color w:val="auto"/>
        </w:rPr>
      </w:pPr>
    </w:p>
    <w:p>
      <w:pPr>
        <w:ind w:left="220" w:hanging="212"/>
        <w:spacing w:after="0"/>
        <w:tabs>
          <w:tab w:leader="none" w:pos="2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Accumulated to the Quarter. Include voluntary contributions</w:t>
      </w:r>
    </w:p>
    <w:p>
      <w:pPr>
        <w:spacing w:after="0" w:line="14" w:lineRule="exact"/>
        <w:rPr>
          <w:rFonts w:ascii="Arial" w:cs="Arial" w:eastAsia="Arial" w:hAnsi="Arial"/>
          <w:sz w:val="14"/>
          <w:szCs w:val="14"/>
          <w:i w:val="1"/>
          <w:iCs w:val="1"/>
          <w:color w:val="auto"/>
        </w:rPr>
      </w:pPr>
    </w:p>
    <w:p>
      <w:pPr>
        <w:ind w:left="220" w:hanging="212"/>
        <w:spacing w:after="0"/>
        <w:tabs>
          <w:tab w:leader="none" w:pos="2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Stock level at the end of period</w:t>
      </w:r>
    </w:p>
    <w:p>
      <w:pPr>
        <w:spacing w:after="0" w:line="15" w:lineRule="exact"/>
        <w:rPr>
          <w:sz w:val="20"/>
          <w:szCs w:val="20"/>
          <w:color w:val="auto"/>
        </w:rPr>
      </w:pPr>
    </w:p>
    <w:p>
      <w:pPr>
        <w:jc w:val="both"/>
        <w:spacing w:after="0" w:line="283" w:lineRule="auto"/>
        <w:rPr>
          <w:sz w:val="20"/>
          <w:szCs w:val="20"/>
          <w:color w:val="auto"/>
        </w:rPr>
      </w:pPr>
      <w:r>
        <w:rPr>
          <w:rFonts w:ascii="Arial" w:cs="Arial" w:eastAsia="Arial" w:hAnsi="Arial"/>
          <w:sz w:val="14"/>
          <w:szCs w:val="14"/>
          <w:i w:val="1"/>
          <w:iCs w:val="1"/>
          <w:color w:val="auto"/>
        </w:rPr>
        <w:t>(5)Monthly remuneration retained, earnings base calculation estimated by PRIMA on average earnings during the last 4 months excluding double collection effect, special collections and voluntary contributions fees.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Results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During 1Q08, Prima AFP developed its business in a relatively stable competition framework.</w:t>
      </w:r>
    </w:p>
    <w:p>
      <w:pPr>
        <w:spacing w:after="0" w:line="2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client base increased by near 14,000 in-coming transfers and 11,000 new affiliations, which compensated 17,000 transfers away, and resulted in a positive net effect in the period. In addition, Prima’s sales force productivity is higher than the system’s in terms of average funds transferred to the company.</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Prima’s funds under management reached US$ 6,989 million, which represented 31.4% of the system as of March 2008, similar to level shown in December 2007.</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terms of investments, international market volatility, mainly characterized by the uncertainty of the United States economy, affected domestic market and the corresponding profitability of funds under management, during this first quarter. Nonetheless, thanks to profitability achieved in previous quarters, during the period March 2008/ March 2007 Prima AFP obtained good performance levels of 6.70%, 12.16% and 17.86%, for funds number 1, 2, and 3, respectively. Thus, Prima reached position N°2 in funds number 1 and 3 and the third position in fund number 2. However, it is important to mention that results in a 24 month basis were 31.18%, 56.8% and 139.96% in funds N°1, 2 and 3, respectively, showing a leadership in all these funds and consistency and solid results in a long term basis.</w:t>
      </w:r>
    </w:p>
    <w:p>
      <w:pPr>
        <w:spacing w:after="0" w:line="324"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Mar-08</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Dec-07</w:t>
            </w:r>
          </w:p>
        </w:tc>
        <w:tc>
          <w:tcPr>
            <w:tcW w:w="200" w:type="dxa"/>
            <w:vAlign w:val="bottom"/>
          </w:tcPr>
          <w:p>
            <w:pPr>
              <w:spacing w:after="0"/>
              <w:rPr>
                <w:sz w:val="20"/>
                <w:szCs w:val="20"/>
                <w:color w:val="auto"/>
              </w:rPr>
            </w:pPr>
          </w:p>
        </w:tc>
        <w:tc>
          <w:tcPr>
            <w:tcW w:w="18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3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Fund 1</w:t>
            </w: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349</w:t>
            </w:r>
          </w:p>
        </w:tc>
        <w:tc>
          <w:tcPr>
            <w:tcW w:w="18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5.0%</w:t>
            </w:r>
          </w:p>
        </w:tc>
        <w:tc>
          <w:tcPr>
            <w:tcW w:w="1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277</w:t>
            </w:r>
          </w:p>
        </w:tc>
        <w:tc>
          <w:tcPr>
            <w:tcW w:w="21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3160" w:type="dxa"/>
            <w:vAlign w:val="bottom"/>
            <w:gridSpan w:val="3"/>
          </w:tcPr>
          <w:p>
            <w:pPr>
              <w:spacing w:after="0"/>
              <w:rPr>
                <w:sz w:val="20"/>
                <w:szCs w:val="20"/>
                <w:color w:val="auto"/>
              </w:rPr>
            </w:pPr>
            <w:r>
              <w:rPr>
                <w:rFonts w:ascii="Arial" w:cs="Arial" w:eastAsia="Arial" w:hAnsi="Arial"/>
                <w:sz w:val="18"/>
                <w:szCs w:val="18"/>
                <w:color w:val="auto"/>
              </w:rPr>
              <w:t>Fund 2</w:t>
            </w:r>
          </w:p>
        </w:tc>
        <w:tc>
          <w:tcPr>
            <w:tcW w:w="500" w:type="dxa"/>
            <w:vAlign w:val="bottom"/>
          </w:tcPr>
          <w:p>
            <w:pPr>
              <w:jc w:val="right"/>
              <w:spacing w:after="0"/>
              <w:rPr>
                <w:sz w:val="20"/>
                <w:szCs w:val="20"/>
                <w:color w:val="auto"/>
              </w:rPr>
            </w:pPr>
            <w:r>
              <w:rPr>
                <w:rFonts w:ascii="Arial" w:cs="Arial" w:eastAsia="Arial" w:hAnsi="Arial"/>
                <w:sz w:val="18"/>
                <w:szCs w:val="18"/>
                <w:color w:val="auto"/>
              </w:rPr>
              <w:t>4,519</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64.7%</w:t>
            </w:r>
          </w:p>
        </w:tc>
        <w:tc>
          <w:tcPr>
            <w:tcW w:w="1740" w:type="dxa"/>
            <w:vAlign w:val="bottom"/>
          </w:tcPr>
          <w:p>
            <w:pPr>
              <w:jc w:val="right"/>
              <w:spacing w:after="0"/>
              <w:rPr>
                <w:sz w:val="20"/>
                <w:szCs w:val="20"/>
                <w:color w:val="auto"/>
              </w:rPr>
            </w:pPr>
            <w:r>
              <w:rPr>
                <w:rFonts w:ascii="Arial" w:cs="Arial" w:eastAsia="Arial" w:hAnsi="Arial"/>
                <w:sz w:val="18"/>
                <w:szCs w:val="18"/>
                <w:color w:val="auto"/>
              </w:rPr>
              <w:t>4,154</w:t>
            </w:r>
          </w:p>
        </w:tc>
        <w:tc>
          <w:tcPr>
            <w:tcW w:w="2180" w:type="dxa"/>
            <w:vAlign w:val="bottom"/>
            <w:gridSpan w:val="3"/>
          </w:tcPr>
          <w:p>
            <w:pPr>
              <w:jc w:val="right"/>
              <w:spacing w:after="0"/>
              <w:rPr>
                <w:sz w:val="20"/>
                <w:szCs w:val="20"/>
                <w:color w:val="auto"/>
              </w:rPr>
            </w:pPr>
            <w:r>
              <w:rPr>
                <w:rFonts w:ascii="Arial" w:cs="Arial" w:eastAsia="Arial" w:hAnsi="Arial"/>
                <w:sz w:val="18"/>
                <w:szCs w:val="18"/>
                <w:color w:val="auto"/>
              </w:rPr>
              <w:t>64.9%</w:t>
            </w:r>
          </w:p>
        </w:tc>
      </w:tr>
      <w:tr>
        <w:trPr>
          <w:trHeight w:val="250"/>
        </w:trPr>
        <w:tc>
          <w:tcPr>
            <w:tcW w:w="20" w:type="dxa"/>
            <w:vAlign w:val="bottom"/>
          </w:tcPr>
          <w:p>
            <w:pPr>
              <w:spacing w:after="0"/>
              <w:rPr>
                <w:sz w:val="21"/>
                <w:szCs w:val="21"/>
                <w:color w:val="auto"/>
              </w:rPr>
            </w:pPr>
          </w:p>
        </w:tc>
        <w:tc>
          <w:tcPr>
            <w:tcW w:w="19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Fund 3</w:t>
            </w:r>
          </w:p>
        </w:tc>
        <w:tc>
          <w:tcPr>
            <w:tcW w:w="1240" w:type="dxa"/>
            <w:vAlign w:val="bottom"/>
            <w:tcBorders>
              <w:bottom w:val="single" w:sz="8" w:color="CCFFCC"/>
            </w:tcBorders>
            <w:shd w:val="clear" w:color="auto" w:fill="CCFFCC"/>
          </w:tcPr>
          <w:p>
            <w:pPr>
              <w:spacing w:after="0"/>
              <w:rPr>
                <w:sz w:val="21"/>
                <w:szCs w:val="21"/>
                <w:color w:val="auto"/>
              </w:rPr>
            </w:pPr>
          </w:p>
        </w:tc>
        <w:tc>
          <w:tcPr>
            <w:tcW w:w="5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2,121</w:t>
            </w:r>
          </w:p>
        </w:tc>
        <w:tc>
          <w:tcPr>
            <w:tcW w:w="18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30.4%</w:t>
            </w:r>
          </w:p>
        </w:tc>
        <w:tc>
          <w:tcPr>
            <w:tcW w:w="1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1,973</w:t>
            </w:r>
          </w:p>
        </w:tc>
        <w:tc>
          <w:tcPr>
            <w:tcW w:w="2180" w:type="dxa"/>
            <w:vAlign w:val="bottom"/>
            <w:tcBorders>
              <w:bottom w:val="single" w:sz="8" w:color="CCFFCC"/>
            </w:tcBorders>
            <w:gridSpan w:val="3"/>
            <w:shd w:val="clear" w:color="auto" w:fill="CCFFCC"/>
          </w:tcPr>
          <w:p>
            <w:pPr>
              <w:jc w:val="right"/>
              <w:spacing w:after="0"/>
              <w:rPr>
                <w:sz w:val="20"/>
                <w:szCs w:val="20"/>
                <w:color w:val="auto"/>
              </w:rPr>
            </w:pPr>
            <w:r>
              <w:rPr>
                <w:rFonts w:ascii="Arial" w:cs="Arial" w:eastAsia="Arial" w:hAnsi="Arial"/>
                <w:sz w:val="18"/>
                <w:szCs w:val="18"/>
                <w:color w:val="auto"/>
              </w:rPr>
              <w:t>30.8%</w:t>
            </w:r>
          </w:p>
        </w:tc>
      </w:tr>
      <w:tr>
        <w:trPr>
          <w:trHeight w:val="20"/>
        </w:trPr>
        <w:tc>
          <w:tcPr>
            <w:tcW w:w="20" w:type="dxa"/>
            <w:vAlign w:val="bottom"/>
          </w:tcPr>
          <w:p>
            <w:pPr>
              <w:spacing w:after="0" w:line="20" w:lineRule="exact"/>
              <w:rPr>
                <w:sz w:val="1"/>
                <w:szCs w:val="1"/>
                <w:color w:val="auto"/>
              </w:rPr>
            </w:pPr>
          </w:p>
        </w:tc>
        <w:tc>
          <w:tcPr>
            <w:tcW w:w="190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64"/>
        </w:trPr>
        <w:tc>
          <w:tcPr>
            <w:tcW w:w="3160" w:type="dxa"/>
            <w:vAlign w:val="bottom"/>
            <w:gridSpan w:val="3"/>
          </w:tcPr>
          <w:p>
            <w:pPr>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spacing w:after="0"/>
              <w:rPr>
                <w:sz w:val="20"/>
                <w:szCs w:val="20"/>
                <w:color w:val="auto"/>
              </w:rPr>
            </w:pPr>
            <w:r>
              <w:rPr>
                <w:rFonts w:ascii="Arial" w:cs="Arial" w:eastAsia="Arial" w:hAnsi="Arial"/>
                <w:sz w:val="18"/>
                <w:szCs w:val="18"/>
                <w:color w:val="auto"/>
              </w:rPr>
              <w:t>6,989</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1740" w:type="dxa"/>
            <w:vAlign w:val="bottom"/>
          </w:tcPr>
          <w:p>
            <w:pPr>
              <w:jc w:val="right"/>
              <w:spacing w:after="0"/>
              <w:rPr>
                <w:sz w:val="20"/>
                <w:szCs w:val="20"/>
                <w:color w:val="auto"/>
              </w:rPr>
            </w:pPr>
            <w:r>
              <w:rPr>
                <w:rFonts w:ascii="Arial" w:cs="Arial" w:eastAsia="Arial" w:hAnsi="Arial"/>
                <w:sz w:val="18"/>
                <w:szCs w:val="18"/>
                <w:color w:val="auto"/>
              </w:rPr>
              <w:t>6,403</w:t>
            </w:r>
          </w:p>
        </w:tc>
        <w:tc>
          <w:tcPr>
            <w:tcW w:w="2180" w:type="dxa"/>
            <w:vAlign w:val="bottom"/>
            <w:gridSpan w:val="3"/>
          </w:tcPr>
          <w:p>
            <w:pPr>
              <w:jc w:val="right"/>
              <w:spacing w:after="0"/>
              <w:rPr>
                <w:sz w:val="20"/>
                <w:szCs w:val="20"/>
                <w:color w:val="auto"/>
              </w:rPr>
            </w:pPr>
            <w:r>
              <w:rPr>
                <w:rFonts w:ascii="Arial" w:cs="Arial" w:eastAsia="Arial" w:hAnsi="Arial"/>
                <w:sz w:val="18"/>
                <w:szCs w:val="18"/>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0</wp:posOffset>
            </wp:positionV>
            <wp:extent cx="48450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845050" cy="889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4"/>
          <w:szCs w:val="14"/>
          <w:i w:val="1"/>
          <w:iCs w:val="1"/>
          <w:color w:val="auto"/>
        </w:rPr>
        <w:t>Source: Superintendencia de Banca y Seguros</w:t>
      </w:r>
    </w:p>
    <w:p>
      <w:pPr>
        <w:spacing w:after="0" w:line="2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According to the PF rules, the Central Reserve Bank of Peru raised the limit to foreign investment to 20%; while the Superintendencia de Banca Seguros listed new investment securities allowing more investment opportunities for the pension fund system.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7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During the 1Q08, Prima AFP recalculated the total amount of its deferred income tax and working profit sharing liability, resulting in a favorable adjustment of US$ 2.3 million corresponding to the year 2007. Excluding such adjustment from 2008, the real net income for Prima in 1Q08 is US$6.7 million.</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Income:</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During the first quarter of 2008, the total earnings of the company reached US$ 19.1 million, a figure higher than that expected as a result of higher income base and the domestic currency appreciation effect.</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According to estimates based on income and administration fees for every company, during the first quarter, Prima AFP had the highest average income base of the system (32.6%).</w:t>
      </w:r>
    </w:p>
    <w:p>
      <w:pPr>
        <w:sectPr>
          <w:pgSz w:w="11900" w:h="16838" w:orient="portrait"/>
          <w:cols w:equalWidth="0" w:num="1">
            <w:col w:w="11420"/>
          </w:cols>
          <w:pgMar w:left="240" w:top="10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Income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-139065</wp:posOffset>
            </wp:positionV>
            <wp:extent cx="6157595"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57595" cy="154305"/>
                    </a:xfrm>
                    <a:prstGeom prst="rect">
                      <a:avLst/>
                    </a:prstGeom>
                    <a:noFill/>
                  </pic:spPr>
                </pic:pic>
              </a:graphicData>
            </a:graphic>
          </wp:anchor>
        </w:drawing>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Administration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14605</wp:posOffset>
            </wp:positionV>
            <wp:extent cx="6157595" cy="180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57595" cy="180340"/>
                    </a:xfrm>
                    <a:prstGeom prst="rect">
                      <a:avLst/>
                    </a:prstGeom>
                    <a:noFill/>
                  </pic:spPr>
                </pic:pic>
              </a:graphicData>
            </a:graphic>
          </wp:anchor>
        </w:drawing>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RAM estimated base (2)</w:t>
      </w:r>
    </w:p>
    <w:p>
      <w:pPr>
        <w:spacing w:after="0" w:line="59" w:lineRule="exact"/>
        <w:rPr>
          <w:sz w:val="20"/>
          <w:szCs w:val="20"/>
          <w:color w:val="auto"/>
        </w:rPr>
      </w:pPr>
    </w:p>
    <w:p>
      <w:pPr>
        <w:ind w:left="980"/>
        <w:spacing w:after="0"/>
        <w:rPr>
          <w:sz w:val="20"/>
          <w:szCs w:val="20"/>
          <w:color w:val="auto"/>
        </w:rPr>
      </w:pPr>
      <w:r>
        <w:rPr>
          <w:rFonts w:ascii="Arial" w:cs="Arial" w:eastAsia="Arial" w:hAnsi="Arial"/>
          <w:sz w:val="14"/>
          <w:szCs w:val="14"/>
          <w:i w:val="1"/>
          <w:iCs w:val="1"/>
          <w:color w:val="auto"/>
        </w:rPr>
        <w:t>Prima AFP estimates. in accordance to local public information, (CONASEV)</w:t>
      </w:r>
    </w:p>
    <w:p>
      <w:pPr>
        <w:spacing w:after="0" w:line="21" w:lineRule="exact"/>
        <w:rPr>
          <w:sz w:val="20"/>
          <w:szCs w:val="20"/>
          <w:color w:val="auto"/>
        </w:rPr>
      </w:pPr>
    </w:p>
    <w:p>
      <w:pPr>
        <w:ind w:left="1180" w:hanging="200"/>
        <w:spacing w:after="0"/>
        <w:tabs>
          <w:tab w:leader="none" w:pos="118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Income excluding special management for collections from voluntary payments</w:t>
      </w:r>
    </w:p>
    <w:p>
      <w:pPr>
        <w:spacing w:after="0" w:line="26" w:lineRule="exact"/>
        <w:rPr>
          <w:rFonts w:ascii="Arial" w:cs="Arial" w:eastAsia="Arial" w:hAnsi="Arial"/>
          <w:sz w:val="13"/>
          <w:szCs w:val="13"/>
          <w:i w:val="1"/>
          <w:iCs w:val="1"/>
          <w:color w:val="auto"/>
        </w:rPr>
      </w:pPr>
    </w:p>
    <w:p>
      <w:pPr>
        <w:ind w:left="1180" w:hanging="200"/>
        <w:spacing w:after="0"/>
        <w:tabs>
          <w:tab w:leader="none" w:pos="118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RAM: Monthly Accumulated Salary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Total System</w:t>
            </w:r>
          </w:p>
        </w:tc>
        <w:tc>
          <w:tcPr>
            <w:tcW w:w="18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PRIMA %</w:t>
            </w:r>
          </w:p>
        </w:tc>
      </w:tr>
      <w:tr>
        <w:trPr>
          <w:trHeight w:val="234"/>
        </w:trPr>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PRIMA 1Q07</w:t>
            </w:r>
          </w:p>
        </w:tc>
        <w:tc>
          <w:tcPr>
            <w:tcW w:w="180" w:type="dxa"/>
            <w:vAlign w:val="bottom"/>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1Q08</w:t>
            </w:r>
          </w:p>
        </w:tc>
        <w:tc>
          <w:tcPr>
            <w:tcW w:w="18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w:t>
            </w:r>
          </w:p>
        </w:tc>
        <w:tc>
          <w:tcPr>
            <w:tcW w:w="160" w:type="dxa"/>
            <w:vAlign w:val="bottom"/>
          </w:tcPr>
          <w:p>
            <w:pPr>
              <w:spacing w:after="0"/>
              <w:rPr>
                <w:sz w:val="20"/>
                <w:szCs w:val="20"/>
                <w:color w:val="auto"/>
              </w:rPr>
            </w:pPr>
          </w:p>
        </w:tc>
      </w:tr>
      <w:tr>
        <w:trPr>
          <w:trHeight w:val="237"/>
        </w:trPr>
        <w:tc>
          <w:tcPr>
            <w:tcW w:w="1160" w:type="dxa"/>
            <w:vAlign w:val="bottom"/>
          </w:tcPr>
          <w:p>
            <w:pPr>
              <w:jc w:val="right"/>
              <w:spacing w:after="0"/>
              <w:rPr>
                <w:sz w:val="20"/>
                <w:szCs w:val="20"/>
                <w:color w:val="auto"/>
              </w:rPr>
            </w:pPr>
            <w:r>
              <w:rPr>
                <w:rFonts w:ascii="Arial" w:cs="Arial" w:eastAsia="Arial" w:hAnsi="Arial"/>
                <w:sz w:val="18"/>
                <w:szCs w:val="18"/>
                <w:color w:val="auto"/>
              </w:rPr>
              <w:t>6.11</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22.04</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27.7%</w:t>
            </w:r>
          </w:p>
        </w:tc>
      </w:tr>
      <w:tr>
        <w:trPr>
          <w:trHeight w:val="243"/>
        </w:trPr>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1160" w:type="dxa"/>
            <w:vAlign w:val="bottom"/>
          </w:tcPr>
          <w:p>
            <w:pPr>
              <w:jc w:val="right"/>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0"/>
        </w:trPr>
        <w:tc>
          <w:tcPr>
            <w:tcW w:w="1160" w:type="dxa"/>
            <w:vAlign w:val="bottom"/>
          </w:tcPr>
          <w:p>
            <w:pPr>
              <w:jc w:val="right"/>
              <w:spacing w:after="0"/>
              <w:rPr>
                <w:sz w:val="20"/>
                <w:szCs w:val="20"/>
                <w:color w:val="auto"/>
              </w:rPr>
            </w:pPr>
            <w:r>
              <w:rPr>
                <w:rFonts w:ascii="Arial" w:cs="Arial" w:eastAsia="Arial" w:hAnsi="Arial"/>
                <w:sz w:val="18"/>
                <w:szCs w:val="18"/>
                <w:color w:val="auto"/>
              </w:rPr>
              <w:t>352</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1,080</w:t>
            </w:r>
          </w:p>
        </w:tc>
        <w:tc>
          <w:tcPr>
            <w:tcW w:w="18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32.6%</w:t>
            </w:r>
          </w:p>
        </w:tc>
      </w:tr>
      <w:tr>
        <w:trPr>
          <w:trHeight w:val="20"/>
        </w:trPr>
        <w:tc>
          <w:tcPr>
            <w:tcW w:w="1160" w:type="dxa"/>
            <w:vAlign w:val="bottom"/>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r>
    </w:tbl>
    <w:p>
      <w:pPr>
        <w:spacing w:after="0" w:line="713" w:lineRule="exact"/>
        <w:rPr>
          <w:sz w:val="20"/>
          <w:szCs w:val="20"/>
          <w:color w:val="auto"/>
        </w:rPr>
      </w:pPr>
    </w:p>
    <w:p>
      <w:pPr>
        <w:sectPr>
          <w:pgSz w:w="11900" w:h="16838" w:orient="portrait"/>
          <w:cols w:equalWidth="0" w:num="2">
            <w:col w:w="5860" w:space="720"/>
            <w:col w:w="4840"/>
          </w:cols>
          <w:pgMar w:left="240" w:top="1030" w:right="239" w:bottom="1440" w:gutter="0" w:footer="0" w:header="0"/>
          <w:type w:val="continuous"/>
        </w:sectPr>
      </w:pP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terms of expenses, the exchange rate effect was partially offset by a permanent cost control effort. Thus, sales personnel expenses were below budget and partially compensated extraordinary incentives adjustments related to administrative personnel, resulting in a higher operating margin than expected. Operating expenses were higher when compared to the previous quarter (US$ 11.6 million vs. US$ 9.9 million), mainly as a result of extraordinary incentives to administrative personnel and since in 4Q07 higher variable deferred expenses related to portfolio transfers, according to IFRS, were registered.</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Likewise, financial results include expenses related to the amortization of assets identified in the merger operation. Including the amortization and depreciation for investments in properties and systems, total expense in D&amp;A was US$ 2.1 million for the period.</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“other income and expenses” line, includes the extraordinary result explained by the gains obtained from exchange rate differences and the reduction of financial expenses after prepayments of banking debt.</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Thus, following such changes in income, expenses and charges mentioned above, Prima reported net income of US$ 9.0 million (includes deferred adjustment of US$2.2 million in 2007), 300% higher than its budget.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Total assets level remains relatively stable reaching US$ 254.3 million, as well as liabilities (US$ 116.5 million) and equity (US$ 137.7 million).</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900" w:type="dxa"/>
            <w:vAlign w:val="bottom"/>
            <w:gridSpan w:val="4"/>
          </w:tcPr>
          <w:p>
            <w:pPr>
              <w:ind w:left="580"/>
              <w:spacing w:after="0"/>
              <w:rPr>
                <w:sz w:val="20"/>
                <w:szCs w:val="20"/>
                <w:color w:val="auto"/>
              </w:rPr>
            </w:pPr>
            <w:r>
              <w:rPr>
                <w:rFonts w:ascii="Arial" w:cs="Arial" w:eastAsia="Arial" w:hAnsi="Arial"/>
                <w:sz w:val="18"/>
                <w:szCs w:val="18"/>
                <w:b w:val="1"/>
                <w:bCs w:val="1"/>
                <w:color w:val="auto"/>
                <w:w w:val="97"/>
              </w:rPr>
              <w:t xml:space="preserve">PRIMA AFP: </w:t>
            </w:r>
            <w:r>
              <w:rPr>
                <w:rFonts w:ascii="Arial" w:cs="Arial" w:eastAsia="Arial" w:hAnsi="Arial"/>
                <w:sz w:val="18"/>
                <w:szCs w:val="18"/>
                <w:color w:val="auto"/>
                <w:w w:val="97"/>
              </w:rPr>
              <w:t>Main financial indicators (US$ Thousand)</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513"/>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1Q08</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4Q07</w:t>
            </w:r>
          </w:p>
        </w:tc>
        <w:tc>
          <w:tcPr>
            <w:tcW w:w="180" w:type="dxa"/>
            <w:vAlign w:val="bottom"/>
          </w:tcPr>
          <w:p>
            <w:pPr>
              <w:spacing w:after="0"/>
              <w:rPr>
                <w:sz w:val="24"/>
                <w:szCs w:val="24"/>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Change %</w:t>
            </w:r>
          </w:p>
        </w:tc>
        <w:tc>
          <w:tcPr>
            <w:tcW w:w="16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900" w:type="dxa"/>
            <w:vAlign w:val="bottom"/>
            <w:shd w:val="clear" w:color="auto" w:fill="CCFFCC"/>
          </w:tcPr>
          <w:p>
            <w:pPr>
              <w:spacing w:after="0"/>
              <w:rPr>
                <w:sz w:val="20"/>
                <w:szCs w:val="20"/>
                <w:color w:val="auto"/>
              </w:rPr>
            </w:pPr>
            <w:r>
              <w:rPr>
                <w:rFonts w:ascii="Arial" w:cs="Arial" w:eastAsia="Arial" w:hAnsi="Arial"/>
                <w:sz w:val="18"/>
                <w:szCs w:val="18"/>
                <w:color w:val="auto"/>
              </w:rPr>
              <w:t>Income</w:t>
            </w:r>
          </w:p>
        </w:tc>
        <w:tc>
          <w:tcPr>
            <w:tcW w:w="4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19,053</w:t>
            </w:r>
          </w:p>
        </w:tc>
        <w:tc>
          <w:tcPr>
            <w:tcW w:w="16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14,413</w:t>
            </w:r>
          </w:p>
        </w:tc>
        <w:tc>
          <w:tcPr>
            <w:tcW w:w="18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32%</w:t>
            </w:r>
          </w:p>
        </w:tc>
      </w:tr>
      <w:tr>
        <w:trPr>
          <w:trHeight w:val="243"/>
        </w:trPr>
        <w:tc>
          <w:tcPr>
            <w:tcW w:w="1920" w:type="dxa"/>
            <w:vAlign w:val="bottom"/>
            <w:gridSpan w:val="2"/>
          </w:tcPr>
          <w:p>
            <w:pPr>
              <w:spacing w:after="0"/>
              <w:rPr>
                <w:sz w:val="20"/>
                <w:szCs w:val="20"/>
                <w:color w:val="auto"/>
              </w:rPr>
            </w:pPr>
            <w:r>
              <w:rPr>
                <w:rFonts w:ascii="Arial" w:cs="Arial" w:eastAsia="Arial" w:hAnsi="Arial"/>
                <w:sz w:val="18"/>
                <w:szCs w:val="18"/>
                <w:color w:val="auto"/>
              </w:rPr>
              <w:t>General Expenses</w:t>
            </w:r>
          </w:p>
        </w:tc>
        <w:tc>
          <w:tcPr>
            <w:tcW w:w="4720" w:type="dxa"/>
            <w:vAlign w:val="bottom"/>
            <w:gridSpan w:val="3"/>
          </w:tcPr>
          <w:p>
            <w:pPr>
              <w:jc w:val="right"/>
              <w:ind w:right="120"/>
              <w:spacing w:after="0"/>
              <w:rPr>
                <w:sz w:val="20"/>
                <w:szCs w:val="20"/>
                <w:color w:val="auto"/>
              </w:rPr>
            </w:pPr>
            <w:r>
              <w:rPr>
                <w:rFonts w:ascii="Arial" w:cs="Arial" w:eastAsia="Arial" w:hAnsi="Arial"/>
                <w:sz w:val="18"/>
                <w:szCs w:val="18"/>
                <w:color w:val="auto"/>
              </w:rPr>
              <w:t>(10,038)</w:t>
            </w:r>
          </w:p>
        </w:tc>
        <w:tc>
          <w:tcPr>
            <w:tcW w:w="18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(12,105)</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50"/>
        </w:trPr>
        <w:tc>
          <w:tcPr>
            <w:tcW w:w="20" w:type="dxa"/>
            <w:vAlign w:val="bottom"/>
          </w:tcPr>
          <w:p>
            <w:pPr>
              <w:spacing w:after="0"/>
              <w:rPr>
                <w:sz w:val="21"/>
                <w:szCs w:val="21"/>
                <w:color w:val="auto"/>
              </w:rPr>
            </w:pPr>
          </w:p>
        </w:tc>
        <w:tc>
          <w:tcPr>
            <w:tcW w:w="19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Income / Loss</w:t>
            </w:r>
          </w:p>
        </w:tc>
        <w:tc>
          <w:tcPr>
            <w:tcW w:w="34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9,015</w:t>
            </w:r>
          </w:p>
        </w:tc>
        <w:tc>
          <w:tcPr>
            <w:tcW w:w="16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2,308</w:t>
            </w:r>
          </w:p>
        </w:tc>
        <w:tc>
          <w:tcPr>
            <w:tcW w:w="18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291%</w:t>
            </w:r>
          </w:p>
        </w:tc>
      </w:tr>
      <w:tr>
        <w:trPr>
          <w:trHeight w:val="20"/>
        </w:trPr>
        <w:tc>
          <w:tcPr>
            <w:tcW w:w="20" w:type="dxa"/>
            <w:vAlign w:val="bottom"/>
          </w:tcPr>
          <w:p>
            <w:pPr>
              <w:spacing w:after="0" w:line="20" w:lineRule="exact"/>
              <w:rPr>
                <w:sz w:val="1"/>
                <w:szCs w:val="1"/>
                <w:color w:val="auto"/>
              </w:rPr>
            </w:pPr>
          </w:p>
        </w:tc>
        <w:tc>
          <w:tcPr>
            <w:tcW w:w="1900" w:type="dxa"/>
            <w:vAlign w:val="bottom"/>
            <w:shd w:val="clear" w:color="auto" w:fill="CCFFCC"/>
          </w:tcPr>
          <w:p>
            <w:pPr>
              <w:spacing w:after="0" w:line="20" w:lineRule="exact"/>
              <w:rPr>
                <w:sz w:val="1"/>
                <w:szCs w:val="1"/>
                <w:color w:val="auto"/>
              </w:rPr>
            </w:pPr>
          </w:p>
        </w:tc>
        <w:tc>
          <w:tcPr>
            <w:tcW w:w="3480" w:type="dxa"/>
            <w:vAlign w:val="bottom"/>
            <w:shd w:val="clear" w:color="auto" w:fill="CCFFC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37"/>
        </w:trPr>
        <w:tc>
          <w:tcPr>
            <w:tcW w:w="19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254,311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246,095</w:t>
            </w:r>
          </w:p>
        </w:tc>
        <w:tc>
          <w:tcPr>
            <w:tcW w:w="18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43"/>
        </w:trPr>
        <w:tc>
          <w:tcPr>
            <w:tcW w:w="20" w:type="dxa"/>
            <w:vAlign w:val="bottom"/>
          </w:tcPr>
          <w:p>
            <w:pPr>
              <w:spacing w:after="0"/>
              <w:rPr>
                <w:sz w:val="21"/>
                <w:szCs w:val="21"/>
                <w:color w:val="auto"/>
              </w:rPr>
            </w:pPr>
          </w:p>
        </w:tc>
        <w:tc>
          <w:tcPr>
            <w:tcW w:w="1900" w:type="dxa"/>
            <w:vAlign w:val="bottom"/>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4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116,534</w:t>
            </w:r>
          </w:p>
        </w:tc>
        <w:tc>
          <w:tcPr>
            <w:tcW w:w="16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116,485</w:t>
            </w:r>
          </w:p>
        </w:tc>
        <w:tc>
          <w:tcPr>
            <w:tcW w:w="18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w:t>
            </w:r>
          </w:p>
        </w:tc>
      </w:tr>
      <w:tr>
        <w:trPr>
          <w:trHeight w:val="270"/>
        </w:trPr>
        <w:tc>
          <w:tcPr>
            <w:tcW w:w="1920" w:type="dxa"/>
            <w:vAlign w:val="bottom"/>
            <w:gridSpan w:val="2"/>
          </w:tcPr>
          <w:p>
            <w:pPr>
              <w:spacing w:after="0"/>
              <w:rPr>
                <w:sz w:val="20"/>
                <w:szCs w:val="20"/>
                <w:color w:val="auto"/>
              </w:rPr>
            </w:pPr>
            <w:r>
              <w:rPr>
                <w:rFonts w:ascii="Arial" w:cs="Arial" w:eastAsia="Arial" w:hAnsi="Arial"/>
                <w:sz w:val="18"/>
                <w:szCs w:val="18"/>
                <w:color w:val="auto"/>
              </w:rPr>
              <w:t>Equity</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137,777</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129,610</w:t>
            </w:r>
          </w:p>
        </w:tc>
        <w:tc>
          <w:tcPr>
            <w:tcW w:w="180" w:type="dxa"/>
            <w:vAlign w:val="bottom"/>
          </w:tcPr>
          <w:p>
            <w:pPr>
              <w:spacing w:after="0"/>
              <w:rPr>
                <w:sz w:val="23"/>
                <w:szCs w:val="23"/>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0</wp:posOffset>
            </wp:positionV>
            <wp:extent cx="22809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IFRS</w:t>
      </w: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30"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VI. EL PACIFICO PERUANO SUIZA Y SUBSIDIARIAS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VI.1 PACIFICO GRUPO</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for the quarter</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premiums of Pacífico Grupo, which include Property &amp; Casualty (PPS), Life (PV) and Health (EPS), amounted to US$ 137.5 million in 1Q08, representing an improvement of 7.2% QoQ and 30.6% YoY. This important growth explains the increase in reserves which were adjusted from US$ 10.9 million to US$ 18.6 million.</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premiums growth was fueled by a 12% QoQ (45% for the year) increase in Life insurance premiums, followed by a 7% quarterly growth (34% for the year) of Health insurance premiums. The P&amp;C premiums grew with respect to the 1Q07 a more moderate 22%, however, it is noteworthy that the personal lines (personal injuries, medical assistance, automobiles and SOAT) represent now 44% of the P&amp;C business following the strategy to increase the retail business in an effort to stabilize earnings and achieve better predictability of casualties. Thus growth is concentrated in automobiles, medical assistance and SOAT. Thus, the re-composition of the risk portfolio favoring the retail segment which offers more retention, diversification and predictability of risk is progressing successfully.</w:t>
      </w:r>
    </w:p>
    <w:p>
      <w:pPr>
        <w:spacing w:after="0" w:line="32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Quarter</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tcBorders>
              <w:bottom w:val="single" w:sz="8" w:color="auto"/>
            </w:tcBorders>
            <w:gridSpan w:val="3"/>
          </w:tcPr>
          <w:p>
            <w:pPr>
              <w:ind w:left="90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r>
      <w:tr>
        <w:trPr>
          <w:trHeight w:val="264"/>
        </w:trPr>
        <w:tc>
          <w:tcPr>
            <w:tcW w:w="4060" w:type="dxa"/>
            <w:vAlign w:val="bottom"/>
          </w:tcPr>
          <w:p>
            <w:pPr>
              <w:spacing w:after="0"/>
              <w:rPr>
                <w:sz w:val="20"/>
                <w:szCs w:val="20"/>
                <w:color w:val="auto"/>
              </w:rPr>
            </w:pPr>
            <w:r>
              <w:rPr>
                <w:rFonts w:ascii="Arial" w:cs="Arial" w:eastAsia="Arial" w:hAnsi="Arial"/>
                <w:sz w:val="18"/>
                <w:szCs w:val="18"/>
                <w:b w:val="1"/>
                <w:bCs w:val="1"/>
                <w:color w:val="auto"/>
              </w:rPr>
              <w:t>US$ MM</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1Q08</w:t>
            </w: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4Q07</w:t>
            </w: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1Q07</w:t>
            </w:r>
          </w:p>
        </w:tc>
        <w:tc>
          <w:tcPr>
            <w:tcW w:w="80" w:type="dxa"/>
            <w:vAlign w:val="bottom"/>
          </w:tcPr>
          <w:p>
            <w:pPr>
              <w:spacing w:after="0"/>
              <w:rPr>
                <w:sz w:val="22"/>
                <w:szCs w:val="22"/>
                <w:color w:val="auto"/>
              </w:rPr>
            </w:pPr>
          </w:p>
        </w:tc>
        <w:tc>
          <w:tcPr>
            <w:tcW w:w="11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8"/>
              </w:rPr>
              <w:t>1Q08 / 4Q07</w:t>
            </w:r>
          </w:p>
        </w:tc>
        <w:tc>
          <w:tcPr>
            <w:tcW w:w="160" w:type="dxa"/>
            <w:vAlign w:val="bottom"/>
          </w:tcPr>
          <w:p>
            <w:pPr>
              <w:spacing w:after="0"/>
              <w:rPr>
                <w:sz w:val="22"/>
                <w:szCs w:val="22"/>
                <w:color w:val="auto"/>
              </w:rPr>
            </w:pPr>
          </w:p>
        </w:tc>
        <w:tc>
          <w:tcPr>
            <w:tcW w:w="11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1Q08 / 1Q07</w:t>
            </w:r>
          </w:p>
        </w:tc>
        <w:tc>
          <w:tcPr>
            <w:tcW w:w="160" w:type="dxa"/>
            <w:vAlign w:val="bottom"/>
          </w:tcPr>
          <w:p>
            <w:pPr>
              <w:spacing w:after="0"/>
              <w:rPr>
                <w:sz w:val="22"/>
                <w:szCs w:val="22"/>
                <w:color w:val="auto"/>
              </w:rPr>
            </w:pPr>
          </w:p>
        </w:tc>
      </w:tr>
      <w:tr>
        <w:trPr>
          <w:trHeight w:val="237"/>
        </w:trPr>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Total Gross Premiums</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137.5</w:t>
            </w: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128.2</w:t>
            </w: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105.3</w:t>
            </w:r>
          </w:p>
        </w:tc>
        <w:tc>
          <w:tcPr>
            <w:tcW w:w="136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7.2%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30.6%</w:t>
            </w:r>
          </w:p>
        </w:tc>
      </w:tr>
      <w:tr>
        <w:trPr>
          <w:trHeight w:val="243"/>
        </w:trPr>
        <w:tc>
          <w:tcPr>
            <w:tcW w:w="4060" w:type="dxa"/>
            <w:vAlign w:val="bottom"/>
          </w:tcPr>
          <w:p>
            <w:pPr>
              <w:spacing w:after="0"/>
              <w:rPr>
                <w:sz w:val="20"/>
                <w:szCs w:val="20"/>
                <w:color w:val="auto"/>
              </w:rPr>
            </w:pPr>
            <w:r>
              <w:rPr>
                <w:rFonts w:ascii="Arial" w:cs="Arial" w:eastAsia="Arial" w:hAnsi="Arial"/>
                <w:sz w:val="18"/>
                <w:szCs w:val="18"/>
                <w:color w:val="auto"/>
              </w:rPr>
              <w:t>Retained Premiums</w:t>
            </w:r>
          </w:p>
        </w:tc>
        <w:tc>
          <w:tcPr>
            <w:tcW w:w="1120" w:type="dxa"/>
            <w:vAlign w:val="bottom"/>
          </w:tcPr>
          <w:p>
            <w:pPr>
              <w:jc w:val="right"/>
              <w:spacing w:after="0"/>
              <w:rPr>
                <w:sz w:val="20"/>
                <w:szCs w:val="20"/>
                <w:color w:val="auto"/>
              </w:rPr>
            </w:pPr>
            <w:r>
              <w:rPr>
                <w:rFonts w:ascii="Arial" w:cs="Arial" w:eastAsia="Arial" w:hAnsi="Arial"/>
                <w:sz w:val="18"/>
                <w:szCs w:val="18"/>
                <w:color w:val="auto"/>
              </w:rPr>
              <w:t>110.2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104.2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82.9</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5.8%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32.9%</w:t>
            </w:r>
          </w:p>
        </w:tc>
      </w:tr>
      <w:tr>
        <w:trPr>
          <w:trHeight w:val="243"/>
        </w:trPr>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Reserve Adjustments</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18.6</w:t>
            </w: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20.1</w:t>
            </w: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10.9</w:t>
            </w:r>
          </w:p>
        </w:tc>
        <w:tc>
          <w:tcPr>
            <w:tcW w:w="136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-7.4%</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70.8%</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Net Premiums Earned</w:t>
            </w:r>
          </w:p>
        </w:tc>
        <w:tc>
          <w:tcPr>
            <w:tcW w:w="1120" w:type="dxa"/>
            <w:vAlign w:val="bottom"/>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72.0</w:t>
            </w:r>
          </w:p>
        </w:tc>
        <w:tc>
          <w:tcPr>
            <w:tcW w:w="8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27.1%</w:t>
            </w:r>
          </w:p>
        </w:tc>
      </w:tr>
      <w:tr>
        <w:trPr>
          <w:trHeight w:val="20"/>
        </w:trPr>
        <w:tc>
          <w:tcPr>
            <w:tcW w:w="40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Underwriting result for 1Q08 amounted to US$ 0.5 million, similar to the amount obtained in 4Q07 but significantly lower than 1Q07 results of US$ 8.8 million. This was the consequence of increased casualties in the health, automotive and technical lines (in the last two segments given the torrential rains that generated significant losses in the north of the country), as well as an increase in life annuity claims.</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financial income achieved this 1Q08 was significant at US$ 18.2 million, though US$ 3.5 million lower than a year ago since at that time an extraordinary income of US$5.5 million from the sale of Brady bonds was recorded at Pacifico Vida following portfolio decisions related to sovereign debt. On the other hand, given the strong revaluation of the local currency, translation results were higher reaching US$ 5.6 million. It should be noted that part of these results respond to the implementation of investment policies which looked to maximize returns for the company through a fine tuned management of the currency positions, synthetic financial instruments and others.</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results after minority interests reached in 1Q08 improved from 4Q07, reaching US$ 3.1 million from US$ 0.9 million. However, this result was not as high as a year ago which recorded a US$ 8.7 million net income, due mainly to increased casualties and despite a reduction the operating costs to net premiums earned ratio from 34.3% to 21.9% and to capital gains mentioned before.</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26"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Adjustments for</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1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Contribution</w:t>
            </w:r>
          </w:p>
        </w:tc>
      </w:tr>
      <w:tr>
        <w:trPr>
          <w:trHeight w:val="261"/>
        </w:trPr>
        <w:tc>
          <w:tcPr>
            <w:tcW w:w="1840" w:type="dxa"/>
            <w:vAlign w:val="bottom"/>
          </w:tcPr>
          <w:p>
            <w:pPr>
              <w:spacing w:after="0"/>
              <w:rPr>
                <w:sz w:val="20"/>
                <w:szCs w:val="20"/>
                <w:color w:val="auto"/>
              </w:rPr>
            </w:pPr>
            <w:r>
              <w:rPr>
                <w:rFonts w:ascii="Arial" w:cs="Arial" w:eastAsia="Arial" w:hAnsi="Arial"/>
                <w:sz w:val="18"/>
                <w:szCs w:val="18"/>
                <w:b w:val="1"/>
                <w:bCs w:val="1"/>
                <w:color w:val="auto"/>
              </w:rPr>
              <w:t>US$ Thousand</w:t>
            </w:r>
          </w:p>
        </w:tc>
        <w:tc>
          <w:tcPr>
            <w:tcW w:w="1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Net Earnings</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Consolidation and</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w:t>
            </w:r>
          </w:p>
        </w:tc>
      </w:tr>
      <w:tr>
        <w:trPr>
          <w:trHeight w:val="264"/>
        </w:trPr>
        <w:tc>
          <w:tcPr>
            <w:tcW w:w="184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PPS</w:t>
            </w:r>
          </w:p>
        </w:tc>
        <w:tc>
          <w:tcPr>
            <w:tcW w:w="120" w:type="dxa"/>
            <w:vAlign w:val="bottom"/>
          </w:tcPr>
          <w:p>
            <w:pPr>
              <w:spacing w:after="0"/>
              <w:rPr>
                <w:sz w:val="22"/>
                <w:szCs w:val="22"/>
                <w:color w:val="auto"/>
              </w:rPr>
            </w:pPr>
          </w:p>
        </w:tc>
        <w:tc>
          <w:tcPr>
            <w:tcW w:w="96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PV</w:t>
            </w:r>
          </w:p>
        </w:tc>
        <w:tc>
          <w:tcPr>
            <w:tcW w:w="5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EPS</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PGA</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Minorities</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BAP</w:t>
            </w:r>
          </w:p>
        </w:tc>
        <w:tc>
          <w:tcPr>
            <w:tcW w:w="100" w:type="dxa"/>
            <w:vAlign w:val="bottom"/>
          </w:tcPr>
          <w:p>
            <w:pPr>
              <w:spacing w:after="0"/>
              <w:rPr>
                <w:sz w:val="22"/>
                <w:szCs w:val="22"/>
                <w:color w:val="auto"/>
              </w:rPr>
            </w:pPr>
          </w:p>
        </w:tc>
      </w:tr>
      <w:tr>
        <w:trPr>
          <w:trHeight w:val="237"/>
        </w:trPr>
        <w:tc>
          <w:tcPr>
            <w:tcW w:w="1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1Q07</w:t>
            </w: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1,883</w:t>
            </w:r>
          </w:p>
        </w:tc>
        <w:tc>
          <w:tcPr>
            <w:tcW w:w="12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6,147</w:t>
            </w:r>
          </w:p>
        </w:tc>
        <w:tc>
          <w:tcPr>
            <w:tcW w:w="1060" w:type="dxa"/>
            <w:vAlign w:val="bottom"/>
            <w:shd w:val="clear" w:color="auto" w:fill="CCFFCC"/>
          </w:tcPr>
          <w:p>
            <w:pPr>
              <w:spacing w:after="0"/>
              <w:rPr>
                <w:sz w:val="20"/>
                <w:szCs w:val="20"/>
                <w:color w:val="auto"/>
              </w:rPr>
            </w:pPr>
          </w:p>
        </w:tc>
        <w:tc>
          <w:tcPr>
            <w:tcW w:w="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705</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8,735</w:t>
            </w:r>
          </w:p>
        </w:tc>
        <w:tc>
          <w:tcPr>
            <w:tcW w:w="15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(2,119)</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6,616</w:t>
            </w:r>
          </w:p>
        </w:tc>
      </w:tr>
      <w:tr>
        <w:trPr>
          <w:trHeight w:val="243"/>
        </w:trPr>
        <w:tc>
          <w:tcPr>
            <w:tcW w:w="1840" w:type="dxa"/>
            <w:vAlign w:val="bottom"/>
          </w:tcPr>
          <w:p>
            <w:pPr>
              <w:spacing w:after="0"/>
              <w:rPr>
                <w:sz w:val="20"/>
                <w:szCs w:val="20"/>
                <w:color w:val="auto"/>
              </w:rPr>
            </w:pPr>
            <w:r>
              <w:rPr>
                <w:rFonts w:ascii="Arial" w:cs="Arial" w:eastAsia="Arial" w:hAnsi="Arial"/>
                <w:sz w:val="18"/>
                <w:szCs w:val="18"/>
                <w:b w:val="1"/>
                <w:bCs w:val="1"/>
                <w:color w:val="auto"/>
              </w:rPr>
              <w:t>2Q07</w:t>
            </w:r>
          </w:p>
        </w:tc>
        <w:tc>
          <w:tcPr>
            <w:tcW w:w="1500" w:type="dxa"/>
            <w:vAlign w:val="bottom"/>
          </w:tcPr>
          <w:p>
            <w:pPr>
              <w:jc w:val="right"/>
              <w:spacing w:after="0"/>
              <w:rPr>
                <w:sz w:val="20"/>
                <w:szCs w:val="20"/>
                <w:color w:val="auto"/>
              </w:rPr>
            </w:pPr>
            <w:r>
              <w:rPr>
                <w:rFonts w:ascii="Arial" w:cs="Arial" w:eastAsia="Arial" w:hAnsi="Arial"/>
                <w:sz w:val="18"/>
                <w:szCs w:val="18"/>
                <w:color w:val="auto"/>
              </w:rPr>
              <w:t>2,263</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3,931</w:t>
            </w:r>
          </w:p>
        </w:tc>
        <w:tc>
          <w:tcPr>
            <w:tcW w:w="1060" w:type="dxa"/>
            <w:vAlign w:val="bottom"/>
          </w:tcPr>
          <w:p>
            <w:pPr>
              <w:spacing w:after="0"/>
              <w:rPr>
                <w:sz w:val="21"/>
                <w:szCs w:val="2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6,779</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(1,645)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5,134</w:t>
            </w:r>
          </w:p>
        </w:tc>
      </w:tr>
      <w:tr>
        <w:trPr>
          <w:trHeight w:val="243"/>
        </w:trPr>
        <w:tc>
          <w:tcPr>
            <w:tcW w:w="1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3Q07</w:t>
            </w:r>
          </w:p>
        </w:tc>
        <w:tc>
          <w:tcPr>
            <w:tcW w:w="16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(6,615)</w:t>
            </w:r>
          </w:p>
        </w:tc>
        <w:tc>
          <w:tcPr>
            <w:tcW w:w="960" w:type="dxa"/>
            <w:vAlign w:val="bottom"/>
            <w:shd w:val="clear" w:color="auto" w:fill="CCFFCC"/>
          </w:tcPr>
          <w:p>
            <w:pPr>
              <w:spacing w:after="0"/>
              <w:rPr>
                <w:sz w:val="21"/>
                <w:szCs w:val="21"/>
                <w:color w:val="auto"/>
              </w:rPr>
            </w:pP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2,108</w:t>
            </w:r>
          </w:p>
        </w:tc>
        <w:tc>
          <w:tcPr>
            <w:tcW w:w="1060" w:type="dxa"/>
            <w:vAlign w:val="bottom"/>
            <w:shd w:val="clear" w:color="auto" w:fill="CCFFCC"/>
          </w:tcPr>
          <w:p>
            <w:pPr>
              <w:spacing w:after="0"/>
              <w:rPr>
                <w:sz w:val="21"/>
                <w:szCs w:val="21"/>
                <w:color w:val="auto"/>
              </w:rPr>
            </w:pPr>
          </w:p>
        </w:tc>
        <w:tc>
          <w:tcPr>
            <w:tcW w:w="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598</w:t>
            </w:r>
          </w:p>
        </w:tc>
        <w:tc>
          <w:tcPr>
            <w:tcW w:w="15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(3,908)</w:t>
            </w:r>
          </w:p>
        </w:tc>
        <w:tc>
          <w:tcPr>
            <w:tcW w:w="1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948</w:t>
            </w:r>
          </w:p>
        </w:tc>
        <w:tc>
          <w:tcPr>
            <w:tcW w:w="15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(2,960)</w:t>
            </w:r>
          </w:p>
        </w:tc>
      </w:tr>
      <w:tr>
        <w:trPr>
          <w:trHeight w:val="243"/>
        </w:trPr>
        <w:tc>
          <w:tcPr>
            <w:tcW w:w="1840" w:type="dxa"/>
            <w:vAlign w:val="bottom"/>
          </w:tcPr>
          <w:p>
            <w:pPr>
              <w:spacing w:after="0"/>
              <w:rPr>
                <w:sz w:val="20"/>
                <w:szCs w:val="20"/>
                <w:color w:val="auto"/>
              </w:rPr>
            </w:pPr>
            <w:r>
              <w:rPr>
                <w:rFonts w:ascii="Arial" w:cs="Arial" w:eastAsia="Arial" w:hAnsi="Arial"/>
                <w:sz w:val="18"/>
                <w:szCs w:val="18"/>
                <w:b w:val="1"/>
                <w:bCs w:val="1"/>
                <w:color w:val="auto"/>
              </w:rPr>
              <w:t>4Q07</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(3,266)</w:t>
            </w:r>
          </w:p>
        </w:tc>
        <w:tc>
          <w:tcPr>
            <w:tcW w:w="96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3,351</w:t>
            </w:r>
          </w:p>
        </w:tc>
        <w:tc>
          <w:tcPr>
            <w:tcW w:w="1060" w:type="dxa"/>
            <w:vAlign w:val="bottom"/>
          </w:tcPr>
          <w:p>
            <w:pPr>
              <w:spacing w:after="0"/>
              <w:rPr>
                <w:sz w:val="21"/>
                <w:szCs w:val="2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768</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853</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(208)</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645.0</w:t>
            </w:r>
          </w:p>
        </w:tc>
      </w:tr>
      <w:tr>
        <w:trPr>
          <w:trHeight w:val="250"/>
        </w:trPr>
        <w:tc>
          <w:tcPr>
            <w:tcW w:w="18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1Q08</w:t>
            </w:r>
          </w:p>
        </w:tc>
        <w:tc>
          <w:tcPr>
            <w:tcW w:w="162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(121)</w:t>
            </w:r>
          </w:p>
        </w:tc>
        <w:tc>
          <w:tcPr>
            <w:tcW w:w="9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2,544</w:t>
            </w:r>
          </w:p>
        </w:tc>
        <w:tc>
          <w:tcPr>
            <w:tcW w:w="106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797</w:t>
            </w:r>
          </w:p>
        </w:tc>
        <w:tc>
          <w:tcPr>
            <w:tcW w:w="15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3,093</w:t>
            </w:r>
          </w:p>
        </w:tc>
        <w:tc>
          <w:tcPr>
            <w:tcW w:w="158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(750)</w:t>
            </w:r>
          </w:p>
        </w:tc>
        <w:tc>
          <w:tcPr>
            <w:tcW w:w="15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2,343</w:t>
            </w:r>
          </w:p>
        </w:tc>
      </w:tr>
      <w:tr>
        <w:trPr>
          <w:trHeight w:val="20"/>
        </w:trPr>
        <w:tc>
          <w:tcPr>
            <w:tcW w:w="1840" w:type="dxa"/>
            <w:vAlign w:val="bottom"/>
            <w:shd w:val="clear" w:color="auto" w:fill="CCFFC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VI.2 PACIFICO SEGUROS GENERALES (PPS)</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premiums in 1Q08 amounted to US$ 66 million, up 2.5% QoQ and 22% YoY. The yearly increase was mainly due to the automobile, technical, dishonesty, theft and SOAT lines.</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Furthermore, the strategy to develop the retail products of P&amp;C business in an attempt to diversify risk better and reduce the volatility of income continues having encouraging results. This is however a gradual process that might take more time than hoped, since reducing our participation in the wholesale business, without sacrificing market share is a lengthy process given the volume of retail business necessary to compensate such move. Nevertheless, the premium volumes for automobiles and SOAT (the compulsory third party liability insurance) grew 96% and 117% each when compared with the previous year, while the market grew only 39% in cars and dropped 4% for SOAT. These are certainly encouraging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153035</wp:posOffset>
            </wp:positionV>
            <wp:extent cx="4382135" cy="2186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382135" cy="218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1Q08, net claims amounted to US$ 31 million revealing an improvement to 81.4% net earned loss ratio (NEL) ratio from 89.2% reached in 4Q08, but still worse in terms of claims than the 68.7% for 1Q08. The still high level of claims were generated in the automobiles, technical and medical assistance sectors, and are the result of a couple of events: (1) during 1Q08, the northern sector of the country was affected by the “El Niño” phenomenon, which though mild in comparison to other times, still generated significant losses in the agricultural sector, infrastructure and transportation, thus directly affecting the automobiles business. Such casualties might continue still some time. And (2) the financial turmoil and currency volatility which led to the strong revaluation of the Soles, affects the business sectors working with Soles denominated costs inflating those, which is certainly the case of the medical assistance sector.</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29" w:name="page30"/>
    <w:bookmarkEnd w:id="29"/>
    <w:p>
      <w:pPr>
        <w:jc w:val="both"/>
        <w:ind w:right="20"/>
        <w:spacing w:after="0" w:line="312" w:lineRule="auto"/>
        <w:rPr>
          <w:sz w:val="20"/>
          <w:szCs w:val="20"/>
          <w:color w:val="auto"/>
        </w:rPr>
      </w:pPr>
      <w:r>
        <w:rPr>
          <w:rFonts w:ascii="Arial" w:cs="Arial" w:eastAsia="Arial" w:hAnsi="Arial"/>
          <w:sz w:val="16"/>
          <w:szCs w:val="16"/>
          <w:color w:val="auto"/>
        </w:rPr>
        <w:t>Thus, the increase in claims in the automobiles business results from the increased business volume, more theft of luxury cars and mainly road accidents with heavy trucks and busses due to the torrential rains in the north of the country. Likewise, the increase in the medical assistance sector results from the volume growth, higher reserves and increased costs from the soles denominated costs when translated into our reporting currency, the US Dollar.</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consequence of the above, technical result during the quarter reached US$ 1.1 million vs. a negative result of US$ -2.8 for 4Q07 and significantly higher US$ 5.0 million for 1Q07.</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costs (salaries and administrative costs) reached US$ 9.6 million for 1Q08, reflecting well control of these with only a 1% QoQ increase and 11.5% increase over 1Q07. Furthermore, when comparing operating costs as a percentage of premiums earned, in 1Q08 a 25.1% is reached vs. 25.5% the previous quarter and 30.5% the previous year. Nevertheless, further efforts are being made to continue reducing this ratio.</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results for the period reached an almost break-even of US$ -121 thousand, reflecting an improvement from the losses of the last quarter, but still showing the signs of high casualties and market turmoil. In terms of market share, PPS reached 33.4% market share in P&amp;C as of March 2008, revealing its improving trend when compared to 31.9% in March 2007.</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VI.3 PACIFICO VIDA</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premiums for the quarter amounted to US$ 44.0 million, up 12% QoQ and 45% YoY, driven in both cases by the growth of individual life and disability and survivor insurance. This growth is the result of the increase in sales force and the introduction to the market of new products, as well as the consolidation of Prima AFP in the pension fund business.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Pacífico Vida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thousand)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880" w:type="dxa"/>
            <w:vAlign w:val="bottom"/>
          </w:tcPr>
          <w:p>
            <w:pPr>
              <w:ind w:left="2040"/>
              <w:spacing w:after="0"/>
              <w:rPr>
                <w:sz w:val="20"/>
                <w:szCs w:val="20"/>
                <w:color w:val="auto"/>
              </w:rPr>
            </w:pPr>
            <w:r>
              <w:rPr>
                <w:rFonts w:ascii="Arial" w:cs="Arial" w:eastAsia="Arial" w:hAnsi="Arial"/>
                <w:sz w:val="18"/>
                <w:szCs w:val="18"/>
                <w:b w:val="1"/>
                <w:bCs w:val="1"/>
                <w:color w:val="auto"/>
              </w:rPr>
              <w:t>Products</w:t>
            </w:r>
          </w:p>
        </w:tc>
        <w:tc>
          <w:tcPr>
            <w:tcW w:w="1960" w:type="dxa"/>
            <w:vAlign w:val="bottom"/>
            <w:gridSpan w:val="5"/>
          </w:tcPr>
          <w:p>
            <w:pPr>
              <w:ind w:left="680"/>
              <w:spacing w:after="0"/>
              <w:rPr>
                <w:sz w:val="20"/>
                <w:szCs w:val="20"/>
                <w:color w:val="auto"/>
              </w:rPr>
            </w:pPr>
            <w:r>
              <w:rPr>
                <w:rFonts w:ascii="Arial" w:cs="Arial" w:eastAsia="Arial" w:hAnsi="Arial"/>
                <w:sz w:val="18"/>
                <w:szCs w:val="18"/>
                <w:b w:val="1"/>
                <w:bCs w:val="1"/>
                <w:color w:val="auto"/>
                <w:w w:val="93"/>
              </w:rPr>
              <w:t>Total Premiums</w:t>
            </w: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gridSpan w:val="5"/>
          </w:tcPr>
          <w:p>
            <w:pPr>
              <w:ind w:left="300"/>
              <w:spacing w:after="0"/>
              <w:rPr>
                <w:sz w:val="20"/>
                <w:szCs w:val="20"/>
                <w:color w:val="auto"/>
              </w:rPr>
            </w:pPr>
            <w:r>
              <w:rPr>
                <w:rFonts w:ascii="Arial" w:cs="Arial" w:eastAsia="Arial" w:hAnsi="Arial"/>
                <w:sz w:val="18"/>
                <w:szCs w:val="18"/>
                <w:b w:val="1"/>
                <w:bCs w:val="1"/>
                <w:color w:val="auto"/>
              </w:rPr>
              <w:t>Change (US$)</w:t>
            </w:r>
          </w:p>
        </w:tc>
        <w:tc>
          <w:tcPr>
            <w:tcW w:w="192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Change (%)</w:t>
            </w:r>
          </w:p>
        </w:tc>
      </w:tr>
      <w:tr>
        <w:trPr>
          <w:trHeight w:val="191"/>
        </w:trPr>
        <w:tc>
          <w:tcPr>
            <w:tcW w:w="48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1Q08 /</w:t>
            </w:r>
          </w:p>
        </w:tc>
        <w:tc>
          <w:tcPr>
            <w:tcW w:w="780" w:type="dxa"/>
            <w:vAlign w:val="bottom"/>
            <w:tcBorders>
              <w:top w:val="single" w:sz="8" w:color="auto"/>
            </w:tcBorders>
          </w:tcPr>
          <w:p>
            <w:pPr>
              <w:jc w:val="center"/>
              <w:ind w:left="30"/>
              <w:spacing w:after="0" w:line="191" w:lineRule="exact"/>
              <w:rPr>
                <w:sz w:val="20"/>
                <w:szCs w:val="20"/>
                <w:color w:val="auto"/>
              </w:rPr>
            </w:pPr>
            <w:r>
              <w:rPr>
                <w:rFonts w:ascii="Arial" w:cs="Arial" w:eastAsia="Arial" w:hAnsi="Arial"/>
                <w:sz w:val="18"/>
                <w:szCs w:val="18"/>
                <w:b w:val="1"/>
                <w:bCs w:val="1"/>
                <w:color w:val="auto"/>
                <w:w w:val="92"/>
              </w:rPr>
              <w:t>1Q08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6"/>
              </w:rPr>
              <w:t>1Q08 /</w:t>
            </w:r>
          </w:p>
        </w:tc>
        <w:tc>
          <w:tcPr>
            <w:tcW w:w="820" w:type="dxa"/>
            <w:vAlign w:val="bottom"/>
            <w:tcBorders>
              <w:top w:val="single" w:sz="8" w:color="auto"/>
            </w:tcBorders>
          </w:tcPr>
          <w:p>
            <w:pPr>
              <w:jc w:val="center"/>
              <w:ind w:left="30"/>
              <w:spacing w:after="0" w:line="191" w:lineRule="exact"/>
              <w:rPr>
                <w:sz w:val="20"/>
                <w:szCs w:val="20"/>
                <w:color w:val="auto"/>
              </w:rPr>
            </w:pPr>
            <w:r>
              <w:rPr>
                <w:rFonts w:ascii="Arial" w:cs="Arial" w:eastAsia="Arial" w:hAnsi="Arial"/>
                <w:sz w:val="18"/>
                <w:szCs w:val="18"/>
                <w:b w:val="1"/>
                <w:bCs w:val="1"/>
                <w:color w:val="auto"/>
                <w:w w:val="92"/>
              </w:rPr>
              <w:t>1Q08 /</w:t>
            </w:r>
          </w:p>
        </w:tc>
        <w:tc>
          <w:tcPr>
            <w:tcW w:w="220" w:type="dxa"/>
            <w:vAlign w:val="bottom"/>
          </w:tcPr>
          <w:p>
            <w:pPr>
              <w:spacing w:after="0"/>
              <w:rPr>
                <w:sz w:val="16"/>
                <w:szCs w:val="16"/>
                <w:color w:val="auto"/>
              </w:rPr>
            </w:pPr>
          </w:p>
        </w:tc>
      </w:tr>
      <w:tr>
        <w:trPr>
          <w:trHeight w:val="234"/>
        </w:trPr>
        <w:tc>
          <w:tcPr>
            <w:tcW w:w="4880" w:type="dxa"/>
            <w:vAlign w:val="bottom"/>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1Q08</w:t>
            </w:r>
          </w:p>
        </w:tc>
        <w:tc>
          <w:tcPr>
            <w:tcW w:w="120" w:type="dxa"/>
            <w:vAlign w:val="bottom"/>
          </w:tcPr>
          <w:p>
            <w:pPr>
              <w:spacing w:after="0"/>
              <w:rPr>
                <w:sz w:val="20"/>
                <w:szCs w:val="20"/>
                <w:color w:val="auto"/>
              </w:rPr>
            </w:pPr>
          </w:p>
        </w:tc>
        <w:tc>
          <w:tcPr>
            <w:tcW w:w="7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4Q07</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1Q07</w:t>
            </w:r>
          </w:p>
        </w:tc>
        <w:tc>
          <w:tcPr>
            <w:tcW w:w="140" w:type="dxa"/>
            <w:vAlign w:val="bottom"/>
          </w:tcPr>
          <w:p>
            <w:pPr>
              <w:spacing w:after="0"/>
              <w:rPr>
                <w:sz w:val="20"/>
                <w:szCs w:val="20"/>
                <w:color w:val="auto"/>
              </w:rPr>
            </w:pPr>
          </w:p>
        </w:tc>
        <w:tc>
          <w:tcPr>
            <w:tcW w:w="7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0"/>
              </w:rPr>
              <w:t>1Q07</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5"/>
              </w:rPr>
              <w:t>4Q07</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1Q07</w:t>
            </w:r>
          </w:p>
        </w:tc>
        <w:tc>
          <w:tcPr>
            <w:tcW w:w="200" w:type="dxa"/>
            <w:vAlign w:val="bottom"/>
          </w:tcPr>
          <w:p>
            <w:pPr>
              <w:spacing w:after="0"/>
              <w:rPr>
                <w:sz w:val="20"/>
                <w:szCs w:val="20"/>
                <w:color w:val="auto"/>
              </w:rPr>
            </w:pPr>
          </w:p>
        </w:tc>
        <w:tc>
          <w:tcPr>
            <w:tcW w:w="8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5"/>
              </w:rPr>
              <w:t>4Q07</w:t>
            </w:r>
          </w:p>
        </w:tc>
        <w:tc>
          <w:tcPr>
            <w:tcW w:w="220" w:type="dxa"/>
            <w:vAlign w:val="bottom"/>
          </w:tcPr>
          <w:p>
            <w:pPr>
              <w:spacing w:after="0"/>
              <w:rPr>
                <w:sz w:val="20"/>
                <w:szCs w:val="20"/>
                <w:color w:val="auto"/>
              </w:rPr>
            </w:pPr>
          </w:p>
        </w:tc>
      </w:tr>
      <w:tr>
        <w:trPr>
          <w:trHeight w:val="237"/>
        </w:trPr>
        <w:tc>
          <w:tcPr>
            <w:tcW w:w="4880" w:type="dxa"/>
            <w:vAlign w:val="bottom"/>
            <w:shd w:val="clear" w:color="auto" w:fill="CCFFCC"/>
          </w:tcPr>
          <w:p>
            <w:pPr>
              <w:spacing w:after="0"/>
              <w:rPr>
                <w:sz w:val="20"/>
                <w:szCs w:val="20"/>
                <w:color w:val="auto"/>
              </w:rPr>
            </w:pPr>
            <w:r>
              <w:rPr>
                <w:rFonts w:ascii="Arial" w:cs="Arial" w:eastAsia="Arial" w:hAnsi="Arial"/>
                <w:sz w:val="18"/>
                <w:szCs w:val="18"/>
                <w:color w:val="auto"/>
              </w:rPr>
              <w:t>Individual annuity</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11,988</w:t>
            </w:r>
          </w:p>
        </w:tc>
        <w:tc>
          <w:tcPr>
            <w:tcW w:w="120" w:type="dxa"/>
            <w:vAlign w:val="bottom"/>
            <w:shd w:val="clear" w:color="auto" w:fill="CCFFCC"/>
          </w:tcPr>
          <w:p>
            <w:pPr>
              <w:spacing w:after="0"/>
              <w:rPr>
                <w:sz w:val="20"/>
                <w:szCs w:val="20"/>
                <w:color w:val="auto"/>
              </w:rPr>
            </w:pP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11,027</w:t>
            </w:r>
          </w:p>
        </w:tc>
        <w:tc>
          <w:tcPr>
            <w:tcW w:w="180" w:type="dxa"/>
            <w:vAlign w:val="bottom"/>
            <w:shd w:val="clear" w:color="auto" w:fill="CCFFCC"/>
          </w:tcPr>
          <w:p>
            <w:pPr>
              <w:spacing w:after="0"/>
              <w:rPr>
                <w:sz w:val="20"/>
                <w:szCs w:val="20"/>
                <w:color w:val="auto"/>
              </w:rPr>
            </w:pPr>
          </w:p>
        </w:tc>
        <w:tc>
          <w:tcPr>
            <w:tcW w:w="600" w:type="dxa"/>
            <w:vAlign w:val="bottom"/>
            <w:shd w:val="clear" w:color="auto" w:fill="CCFFCC"/>
          </w:tcPr>
          <w:p>
            <w:pPr>
              <w:ind w:left="200"/>
              <w:spacing w:after="0"/>
              <w:rPr>
                <w:sz w:val="20"/>
                <w:szCs w:val="20"/>
                <w:color w:val="auto"/>
              </w:rPr>
            </w:pPr>
            <w:r>
              <w:rPr>
                <w:rFonts w:ascii="Arial" w:cs="Arial" w:eastAsia="Arial" w:hAnsi="Arial"/>
                <w:sz w:val="18"/>
                <w:szCs w:val="18"/>
                <w:color w:val="auto"/>
                <w:w w:val="84"/>
              </w:rPr>
              <w:t>6,930</w:t>
            </w:r>
          </w:p>
        </w:tc>
        <w:tc>
          <w:tcPr>
            <w:tcW w:w="140" w:type="dxa"/>
            <w:vAlign w:val="bottom"/>
            <w:shd w:val="clear" w:color="auto" w:fill="CCFFCC"/>
          </w:tcPr>
          <w:p>
            <w:pPr>
              <w:spacing w:after="0"/>
              <w:rPr>
                <w:sz w:val="20"/>
                <w:szCs w:val="20"/>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(4,097)</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(5,058)</w:t>
            </w:r>
          </w:p>
        </w:tc>
        <w:tc>
          <w:tcPr>
            <w:tcW w:w="120" w:type="dxa"/>
            <w:vAlign w:val="bottom"/>
            <w:shd w:val="clear" w:color="auto" w:fill="CCFFCC"/>
          </w:tcPr>
          <w:p>
            <w:pPr>
              <w:spacing w:after="0"/>
              <w:rPr>
                <w:sz w:val="20"/>
                <w:szCs w:val="20"/>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-37%</w:t>
            </w: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-42%</w:t>
            </w:r>
          </w:p>
        </w:tc>
      </w:tr>
      <w:tr>
        <w:trPr>
          <w:trHeight w:val="243"/>
        </w:trPr>
        <w:tc>
          <w:tcPr>
            <w:tcW w:w="4880" w:type="dxa"/>
            <w:vAlign w:val="bottom"/>
          </w:tcPr>
          <w:p>
            <w:pPr>
              <w:spacing w:after="0"/>
              <w:rPr>
                <w:sz w:val="20"/>
                <w:szCs w:val="20"/>
                <w:color w:val="auto"/>
              </w:rPr>
            </w:pPr>
            <w:r>
              <w:rPr>
                <w:rFonts w:ascii="Arial" w:cs="Arial" w:eastAsia="Arial" w:hAnsi="Arial"/>
                <w:sz w:val="18"/>
                <w:szCs w:val="18"/>
                <w:color w:val="auto"/>
              </w:rPr>
              <w:t>Individual life</w:t>
            </w:r>
          </w:p>
        </w:tc>
        <w:tc>
          <w:tcPr>
            <w:tcW w:w="780" w:type="dxa"/>
            <w:vAlign w:val="bottom"/>
          </w:tcPr>
          <w:p>
            <w:pPr>
              <w:jc w:val="right"/>
              <w:spacing w:after="0"/>
              <w:rPr>
                <w:sz w:val="20"/>
                <w:szCs w:val="20"/>
                <w:color w:val="auto"/>
              </w:rPr>
            </w:pPr>
            <w:r>
              <w:rPr>
                <w:rFonts w:ascii="Arial" w:cs="Arial" w:eastAsia="Arial" w:hAnsi="Arial"/>
                <w:sz w:val="18"/>
                <w:szCs w:val="18"/>
                <w:color w:val="auto"/>
              </w:rPr>
              <w:t>9,668</w:t>
            </w:r>
          </w:p>
        </w:tc>
        <w:tc>
          <w:tcPr>
            <w:tcW w:w="12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9,258</w:t>
            </w:r>
          </w:p>
        </w:tc>
        <w:tc>
          <w:tcPr>
            <w:tcW w:w="180" w:type="dxa"/>
            <w:vAlign w:val="bottom"/>
          </w:tcPr>
          <w:p>
            <w:pPr>
              <w:spacing w:after="0"/>
              <w:rPr>
                <w:sz w:val="21"/>
                <w:szCs w:val="21"/>
                <w:color w:val="auto"/>
              </w:rPr>
            </w:pPr>
          </w:p>
        </w:tc>
        <w:tc>
          <w:tcPr>
            <w:tcW w:w="600" w:type="dxa"/>
            <w:vAlign w:val="bottom"/>
          </w:tcPr>
          <w:p>
            <w:pPr>
              <w:ind w:left="200"/>
              <w:spacing w:after="0"/>
              <w:rPr>
                <w:sz w:val="20"/>
                <w:szCs w:val="20"/>
                <w:color w:val="auto"/>
              </w:rPr>
            </w:pPr>
            <w:r>
              <w:rPr>
                <w:rFonts w:ascii="Arial" w:cs="Arial" w:eastAsia="Arial" w:hAnsi="Arial"/>
                <w:sz w:val="18"/>
                <w:szCs w:val="18"/>
                <w:color w:val="auto"/>
                <w:w w:val="84"/>
              </w:rPr>
              <w:t>7,424</w:t>
            </w:r>
          </w:p>
        </w:tc>
        <w:tc>
          <w:tcPr>
            <w:tcW w:w="14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(1,834)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(2,244)</w:t>
            </w:r>
          </w:p>
        </w:tc>
        <w:tc>
          <w:tcPr>
            <w:tcW w:w="12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43"/>
        </w:trPr>
        <w:tc>
          <w:tcPr>
            <w:tcW w:w="4880" w:type="dxa"/>
            <w:vAlign w:val="bottom"/>
            <w:shd w:val="clear" w:color="auto" w:fill="CCFFCC"/>
          </w:tcPr>
          <w:p>
            <w:pPr>
              <w:spacing w:after="0"/>
              <w:rPr>
                <w:sz w:val="20"/>
                <w:szCs w:val="20"/>
                <w:color w:val="auto"/>
              </w:rPr>
            </w:pPr>
            <w:r>
              <w:rPr>
                <w:rFonts w:ascii="Arial" w:cs="Arial" w:eastAsia="Arial" w:hAnsi="Arial"/>
                <w:sz w:val="18"/>
                <w:szCs w:val="18"/>
                <w:color w:val="auto"/>
              </w:rPr>
              <w:t>Disability &amp; survivor (Pension)</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8,914</w:t>
            </w:r>
          </w:p>
        </w:tc>
        <w:tc>
          <w:tcPr>
            <w:tcW w:w="120" w:type="dxa"/>
            <w:vAlign w:val="bottom"/>
            <w:shd w:val="clear" w:color="auto" w:fill="CCFFCC"/>
          </w:tcPr>
          <w:p>
            <w:pPr>
              <w:spacing w:after="0"/>
              <w:rPr>
                <w:sz w:val="21"/>
                <w:szCs w:val="21"/>
                <w:color w:val="auto"/>
              </w:rPr>
            </w:pP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7,401</w:t>
            </w:r>
          </w:p>
        </w:tc>
        <w:tc>
          <w:tcPr>
            <w:tcW w:w="180" w:type="dxa"/>
            <w:vAlign w:val="bottom"/>
            <w:shd w:val="clear" w:color="auto" w:fill="CCFFCC"/>
          </w:tcPr>
          <w:p>
            <w:pPr>
              <w:spacing w:after="0"/>
              <w:rPr>
                <w:sz w:val="21"/>
                <w:szCs w:val="21"/>
                <w:color w:val="auto"/>
              </w:rPr>
            </w:pPr>
          </w:p>
        </w:tc>
        <w:tc>
          <w:tcPr>
            <w:tcW w:w="600" w:type="dxa"/>
            <w:vAlign w:val="bottom"/>
            <w:shd w:val="clear" w:color="auto" w:fill="CCFFCC"/>
          </w:tcPr>
          <w:p>
            <w:pPr>
              <w:ind w:left="200"/>
              <w:spacing w:after="0"/>
              <w:rPr>
                <w:sz w:val="20"/>
                <w:szCs w:val="20"/>
                <w:color w:val="auto"/>
              </w:rPr>
            </w:pPr>
            <w:r>
              <w:rPr>
                <w:rFonts w:ascii="Arial" w:cs="Arial" w:eastAsia="Arial" w:hAnsi="Arial"/>
                <w:sz w:val="18"/>
                <w:szCs w:val="18"/>
                <w:color w:val="auto"/>
                <w:w w:val="84"/>
              </w:rPr>
              <w:t>6,459</w:t>
            </w:r>
          </w:p>
        </w:tc>
        <w:tc>
          <w:tcPr>
            <w:tcW w:w="14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(942)</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(2,455)</w:t>
            </w:r>
          </w:p>
        </w:tc>
        <w:tc>
          <w:tcPr>
            <w:tcW w:w="120" w:type="dxa"/>
            <w:vAlign w:val="bottom"/>
            <w:shd w:val="clear" w:color="auto" w:fill="CCFFCC"/>
          </w:tcPr>
          <w:p>
            <w:pPr>
              <w:spacing w:after="0"/>
              <w:rPr>
                <w:sz w:val="21"/>
                <w:szCs w:val="21"/>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w:t>
            </w: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w:t>
            </w:r>
          </w:p>
        </w:tc>
      </w:tr>
      <w:tr>
        <w:trPr>
          <w:trHeight w:val="243"/>
        </w:trPr>
        <w:tc>
          <w:tcPr>
            <w:tcW w:w="4880" w:type="dxa"/>
            <w:vAlign w:val="bottom"/>
          </w:tcPr>
          <w:p>
            <w:pPr>
              <w:spacing w:after="0"/>
              <w:rPr>
                <w:sz w:val="20"/>
                <w:szCs w:val="20"/>
                <w:color w:val="auto"/>
              </w:rPr>
            </w:pPr>
            <w:r>
              <w:rPr>
                <w:rFonts w:ascii="Arial" w:cs="Arial" w:eastAsia="Arial" w:hAnsi="Arial"/>
                <w:sz w:val="18"/>
                <w:szCs w:val="18"/>
                <w:color w:val="auto"/>
              </w:rPr>
              <w:t>Credit life</w:t>
            </w:r>
          </w:p>
        </w:tc>
        <w:tc>
          <w:tcPr>
            <w:tcW w:w="780" w:type="dxa"/>
            <w:vAlign w:val="bottom"/>
          </w:tcPr>
          <w:p>
            <w:pPr>
              <w:jc w:val="right"/>
              <w:spacing w:after="0"/>
              <w:rPr>
                <w:sz w:val="20"/>
                <w:szCs w:val="20"/>
                <w:color w:val="auto"/>
              </w:rPr>
            </w:pPr>
            <w:r>
              <w:rPr>
                <w:rFonts w:ascii="Arial" w:cs="Arial" w:eastAsia="Arial" w:hAnsi="Arial"/>
                <w:sz w:val="18"/>
                <w:szCs w:val="18"/>
                <w:color w:val="auto"/>
              </w:rPr>
              <w:t>4,199</w:t>
            </w:r>
          </w:p>
        </w:tc>
        <w:tc>
          <w:tcPr>
            <w:tcW w:w="12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3,238</w:t>
            </w:r>
          </w:p>
        </w:tc>
        <w:tc>
          <w:tcPr>
            <w:tcW w:w="180" w:type="dxa"/>
            <w:vAlign w:val="bottom"/>
          </w:tcPr>
          <w:p>
            <w:pPr>
              <w:spacing w:after="0"/>
              <w:rPr>
                <w:sz w:val="21"/>
                <w:szCs w:val="21"/>
                <w:color w:val="auto"/>
              </w:rPr>
            </w:pPr>
          </w:p>
        </w:tc>
        <w:tc>
          <w:tcPr>
            <w:tcW w:w="600" w:type="dxa"/>
            <w:vAlign w:val="bottom"/>
          </w:tcPr>
          <w:p>
            <w:pPr>
              <w:ind w:left="200"/>
              <w:spacing w:after="0"/>
              <w:rPr>
                <w:sz w:val="20"/>
                <w:szCs w:val="20"/>
                <w:color w:val="auto"/>
              </w:rPr>
            </w:pPr>
            <w:r>
              <w:rPr>
                <w:rFonts w:ascii="Arial" w:cs="Arial" w:eastAsia="Arial" w:hAnsi="Arial"/>
                <w:sz w:val="18"/>
                <w:szCs w:val="18"/>
                <w:color w:val="auto"/>
                <w:w w:val="84"/>
              </w:rPr>
              <w:t>2,030</w:t>
            </w:r>
          </w:p>
        </w:tc>
        <w:tc>
          <w:tcPr>
            <w:tcW w:w="14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(1,208)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(2,169)</w:t>
            </w:r>
          </w:p>
        </w:tc>
        <w:tc>
          <w:tcPr>
            <w:tcW w:w="12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r>
      <w:tr>
        <w:trPr>
          <w:trHeight w:val="243"/>
        </w:trPr>
        <w:tc>
          <w:tcPr>
            <w:tcW w:w="4880" w:type="dxa"/>
            <w:vAlign w:val="bottom"/>
            <w:shd w:val="clear" w:color="auto" w:fill="CCFFCC"/>
          </w:tcPr>
          <w:p>
            <w:pPr>
              <w:spacing w:after="0"/>
              <w:rPr>
                <w:sz w:val="20"/>
                <w:szCs w:val="20"/>
                <w:color w:val="auto"/>
              </w:rPr>
            </w:pPr>
            <w:r>
              <w:rPr>
                <w:rFonts w:ascii="Arial" w:cs="Arial" w:eastAsia="Arial" w:hAnsi="Arial"/>
                <w:sz w:val="18"/>
                <w:szCs w:val="18"/>
                <w:color w:val="auto"/>
              </w:rPr>
              <w:t>Group life</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2,636</w:t>
            </w:r>
          </w:p>
        </w:tc>
        <w:tc>
          <w:tcPr>
            <w:tcW w:w="120" w:type="dxa"/>
            <w:vAlign w:val="bottom"/>
            <w:shd w:val="clear" w:color="auto" w:fill="CCFFCC"/>
          </w:tcPr>
          <w:p>
            <w:pPr>
              <w:spacing w:after="0"/>
              <w:rPr>
                <w:sz w:val="21"/>
                <w:szCs w:val="21"/>
                <w:color w:val="auto"/>
              </w:rPr>
            </w:pP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3,057</w:t>
            </w:r>
          </w:p>
        </w:tc>
        <w:tc>
          <w:tcPr>
            <w:tcW w:w="180" w:type="dxa"/>
            <w:vAlign w:val="bottom"/>
            <w:shd w:val="clear" w:color="auto" w:fill="CCFFCC"/>
          </w:tcPr>
          <w:p>
            <w:pPr>
              <w:spacing w:after="0"/>
              <w:rPr>
                <w:sz w:val="21"/>
                <w:szCs w:val="21"/>
                <w:color w:val="auto"/>
              </w:rPr>
            </w:pPr>
          </w:p>
        </w:tc>
        <w:tc>
          <w:tcPr>
            <w:tcW w:w="600" w:type="dxa"/>
            <w:vAlign w:val="bottom"/>
            <w:shd w:val="clear" w:color="auto" w:fill="CCFFCC"/>
          </w:tcPr>
          <w:p>
            <w:pPr>
              <w:ind w:left="200"/>
              <w:spacing w:after="0"/>
              <w:rPr>
                <w:sz w:val="20"/>
                <w:szCs w:val="20"/>
                <w:color w:val="auto"/>
              </w:rPr>
            </w:pPr>
            <w:r>
              <w:rPr>
                <w:rFonts w:ascii="Arial" w:cs="Arial" w:eastAsia="Arial" w:hAnsi="Arial"/>
                <w:sz w:val="18"/>
                <w:szCs w:val="18"/>
                <w:color w:val="auto"/>
                <w:w w:val="84"/>
              </w:rPr>
              <w:t>2,451</w:t>
            </w:r>
          </w:p>
        </w:tc>
        <w:tc>
          <w:tcPr>
            <w:tcW w:w="14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(606)</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FFCC"/>
          </w:tcPr>
          <w:p>
            <w:pPr>
              <w:spacing w:after="0"/>
              <w:rPr>
                <w:sz w:val="21"/>
                <w:szCs w:val="21"/>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-20%</w:t>
            </w: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w:t>
            </w:r>
          </w:p>
        </w:tc>
      </w:tr>
      <w:tr>
        <w:trPr>
          <w:trHeight w:val="243"/>
        </w:trPr>
        <w:tc>
          <w:tcPr>
            <w:tcW w:w="4880" w:type="dxa"/>
            <w:vAlign w:val="bottom"/>
          </w:tcPr>
          <w:p>
            <w:pPr>
              <w:spacing w:after="0"/>
              <w:rPr>
                <w:sz w:val="20"/>
                <w:szCs w:val="20"/>
                <w:color w:val="auto"/>
              </w:rPr>
            </w:pPr>
            <w:r>
              <w:rPr>
                <w:rFonts w:ascii="Arial" w:cs="Arial" w:eastAsia="Arial" w:hAnsi="Arial"/>
                <w:sz w:val="18"/>
                <w:szCs w:val="18"/>
                <w:color w:val="auto"/>
              </w:rPr>
              <w:t>Group life (Law)</w:t>
            </w:r>
          </w:p>
        </w:tc>
        <w:tc>
          <w:tcPr>
            <w:tcW w:w="780" w:type="dxa"/>
            <w:vAlign w:val="bottom"/>
          </w:tcPr>
          <w:p>
            <w:pPr>
              <w:jc w:val="right"/>
              <w:spacing w:after="0"/>
              <w:rPr>
                <w:sz w:val="20"/>
                <w:szCs w:val="20"/>
                <w:color w:val="auto"/>
              </w:rPr>
            </w:pPr>
            <w:r>
              <w:rPr>
                <w:rFonts w:ascii="Arial" w:cs="Arial" w:eastAsia="Arial" w:hAnsi="Arial"/>
                <w:sz w:val="18"/>
                <w:szCs w:val="18"/>
                <w:color w:val="auto"/>
              </w:rPr>
              <w:t>2,312</w:t>
            </w:r>
          </w:p>
        </w:tc>
        <w:tc>
          <w:tcPr>
            <w:tcW w:w="12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1,538</w:t>
            </w:r>
          </w:p>
        </w:tc>
        <w:tc>
          <w:tcPr>
            <w:tcW w:w="180" w:type="dxa"/>
            <w:vAlign w:val="bottom"/>
          </w:tcPr>
          <w:p>
            <w:pPr>
              <w:spacing w:after="0"/>
              <w:rPr>
                <w:sz w:val="21"/>
                <w:szCs w:val="21"/>
                <w:color w:val="auto"/>
              </w:rPr>
            </w:pPr>
          </w:p>
        </w:tc>
        <w:tc>
          <w:tcPr>
            <w:tcW w:w="600" w:type="dxa"/>
            <w:vAlign w:val="bottom"/>
          </w:tcPr>
          <w:p>
            <w:pPr>
              <w:ind w:left="200"/>
              <w:spacing w:after="0"/>
              <w:rPr>
                <w:sz w:val="20"/>
                <w:szCs w:val="20"/>
                <w:color w:val="auto"/>
              </w:rPr>
            </w:pPr>
            <w:r>
              <w:rPr>
                <w:rFonts w:ascii="Arial" w:cs="Arial" w:eastAsia="Arial" w:hAnsi="Arial"/>
                <w:sz w:val="18"/>
                <w:szCs w:val="18"/>
                <w:color w:val="auto"/>
                <w:w w:val="84"/>
              </w:rPr>
              <w:t>1,856</w:t>
            </w:r>
          </w:p>
        </w:tc>
        <w:tc>
          <w:tcPr>
            <w:tcW w:w="14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318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43"/>
        </w:trPr>
        <w:tc>
          <w:tcPr>
            <w:tcW w:w="4880" w:type="dxa"/>
            <w:vAlign w:val="bottom"/>
            <w:shd w:val="clear" w:color="auto" w:fill="CCFFCC"/>
          </w:tcPr>
          <w:p>
            <w:pPr>
              <w:spacing w:after="0"/>
              <w:rPr>
                <w:sz w:val="20"/>
                <w:szCs w:val="20"/>
                <w:color w:val="auto"/>
              </w:rPr>
            </w:pPr>
            <w:r>
              <w:rPr>
                <w:rFonts w:ascii="Arial" w:cs="Arial" w:eastAsia="Arial" w:hAnsi="Arial"/>
                <w:sz w:val="18"/>
                <w:szCs w:val="18"/>
                <w:color w:val="auto"/>
              </w:rPr>
              <w:t>Limited workers compensation</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2,155</w:t>
            </w:r>
          </w:p>
        </w:tc>
        <w:tc>
          <w:tcPr>
            <w:tcW w:w="120" w:type="dxa"/>
            <w:vAlign w:val="bottom"/>
            <w:shd w:val="clear" w:color="auto" w:fill="CCFFCC"/>
          </w:tcPr>
          <w:p>
            <w:pPr>
              <w:spacing w:after="0"/>
              <w:rPr>
                <w:sz w:val="21"/>
                <w:szCs w:val="21"/>
                <w:color w:val="auto"/>
              </w:rPr>
            </w:pP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1,841</w:t>
            </w:r>
          </w:p>
        </w:tc>
        <w:tc>
          <w:tcPr>
            <w:tcW w:w="180" w:type="dxa"/>
            <w:vAlign w:val="bottom"/>
            <w:shd w:val="clear" w:color="auto" w:fill="CCFFCC"/>
          </w:tcPr>
          <w:p>
            <w:pPr>
              <w:spacing w:after="0"/>
              <w:rPr>
                <w:sz w:val="21"/>
                <w:szCs w:val="21"/>
                <w:color w:val="auto"/>
              </w:rPr>
            </w:pPr>
          </w:p>
        </w:tc>
        <w:tc>
          <w:tcPr>
            <w:tcW w:w="600" w:type="dxa"/>
            <w:vAlign w:val="bottom"/>
            <w:shd w:val="clear" w:color="auto" w:fill="CCFFCC"/>
          </w:tcPr>
          <w:p>
            <w:pPr>
              <w:ind w:left="200"/>
              <w:spacing w:after="0"/>
              <w:rPr>
                <w:sz w:val="20"/>
                <w:szCs w:val="20"/>
                <w:color w:val="auto"/>
              </w:rPr>
            </w:pPr>
            <w:r>
              <w:rPr>
                <w:rFonts w:ascii="Arial" w:cs="Arial" w:eastAsia="Arial" w:hAnsi="Arial"/>
                <w:sz w:val="18"/>
                <w:szCs w:val="18"/>
                <w:color w:val="auto"/>
                <w:w w:val="84"/>
              </w:rPr>
              <w:t>1,591</w:t>
            </w:r>
          </w:p>
        </w:tc>
        <w:tc>
          <w:tcPr>
            <w:tcW w:w="14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(250)</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CFFCC"/>
          </w:tcPr>
          <w:p>
            <w:pPr>
              <w:spacing w:after="0"/>
              <w:rPr>
                <w:sz w:val="21"/>
                <w:szCs w:val="21"/>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w:t>
            </w: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-26%</w:t>
            </w: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Personal accidents</w:t>
            </w:r>
          </w:p>
        </w:tc>
        <w:tc>
          <w:tcPr>
            <w:tcW w:w="780" w:type="dxa"/>
            <w:vAlign w:val="bottom"/>
          </w:tcPr>
          <w:p>
            <w:pPr>
              <w:jc w:val="right"/>
              <w:spacing w:after="0"/>
              <w:rPr>
                <w:sz w:val="20"/>
                <w:szCs w:val="20"/>
                <w:color w:val="auto"/>
              </w:rPr>
            </w:pPr>
            <w:r>
              <w:rPr>
                <w:rFonts w:ascii="Arial" w:cs="Arial" w:eastAsia="Arial" w:hAnsi="Arial"/>
                <w:sz w:val="18"/>
                <w:szCs w:val="18"/>
                <w:color w:val="auto"/>
              </w:rPr>
              <w:t>2,130</w:t>
            </w:r>
          </w:p>
        </w:tc>
        <w:tc>
          <w:tcPr>
            <w:tcW w:w="120" w:type="dxa"/>
            <w:vAlign w:val="bottom"/>
          </w:tcPr>
          <w:p>
            <w:pPr>
              <w:spacing w:after="0"/>
              <w:rPr>
                <w:sz w:val="23"/>
                <w:szCs w:val="2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2,008</w:t>
            </w:r>
          </w:p>
        </w:tc>
        <w:tc>
          <w:tcPr>
            <w:tcW w:w="180" w:type="dxa"/>
            <w:vAlign w:val="bottom"/>
          </w:tcPr>
          <w:p>
            <w:pPr>
              <w:spacing w:after="0"/>
              <w:rPr>
                <w:sz w:val="23"/>
                <w:szCs w:val="23"/>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1,611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(397)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r>
      <w:tr>
        <w:trPr>
          <w:trHeight w:val="20"/>
        </w:trPr>
        <w:tc>
          <w:tcPr>
            <w:tcW w:w="48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44"/>
        </w:trPr>
        <w:tc>
          <w:tcPr>
            <w:tcW w:w="48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44,002</w:t>
            </w:r>
          </w:p>
        </w:tc>
        <w:tc>
          <w:tcPr>
            <w:tcW w:w="12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39,368</w:t>
            </w:r>
          </w:p>
        </w:tc>
        <w:tc>
          <w:tcPr>
            <w:tcW w:w="18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gridSpan w:val="2"/>
            <w:shd w:val="clear" w:color="auto" w:fill="CCFFCC"/>
          </w:tcPr>
          <w:p>
            <w:pPr>
              <w:ind w:left="120"/>
              <w:spacing w:after="0"/>
              <w:rPr>
                <w:sz w:val="20"/>
                <w:szCs w:val="20"/>
                <w:color w:val="auto"/>
              </w:rPr>
            </w:pPr>
            <w:r>
              <w:rPr>
                <w:rFonts w:ascii="Arial" w:cs="Arial" w:eastAsia="Arial" w:hAnsi="Arial"/>
                <w:sz w:val="18"/>
                <w:szCs w:val="18"/>
                <w:b w:val="1"/>
                <w:bCs w:val="1"/>
                <w:color w:val="auto"/>
              </w:rPr>
              <w:t>30,352</w:t>
            </w:r>
          </w:p>
        </w:tc>
        <w:tc>
          <w:tcPr>
            <w:tcW w:w="90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(9,016)</w:t>
            </w:r>
          </w:p>
        </w:tc>
        <w:tc>
          <w:tcPr>
            <w:tcW w:w="90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(13,650)</w:t>
            </w:r>
          </w:p>
        </w:tc>
        <w:tc>
          <w:tcPr>
            <w:tcW w:w="12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-23%</w:t>
            </w:r>
          </w:p>
        </w:tc>
        <w:tc>
          <w:tcPr>
            <w:tcW w:w="104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-31%</w:t>
            </w:r>
          </w:p>
        </w:tc>
      </w:tr>
      <w:tr>
        <w:trPr>
          <w:trHeight w:val="20"/>
        </w:trPr>
        <w:tc>
          <w:tcPr>
            <w:tcW w:w="488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Claims in 1Q08 reached US$ 20.2 million, US$ 2.3 million higher than in 4Q07 and US$ 5.4 million higher than 1Q07 as a result of the impact of the currency revaluation on the disability and survivor insurance, the business expansion, which requires greater reserves, and the increase in USD value of Soles denominated liabilities.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Technical result of 1Q08 reached a loss of US$ -1.9 million, as a result of the net claims performance explained above.</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t>Salaries and administrative expenses were US$ 7.5 million, reflecting a 25% QoQ expansion and 42% on a yearly basis. This increase responds to an investment made to develop a better sales network for the medium term future.</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earnings after minority interests reached US$ 2.5 million this 1Q08, and thus compares negatively to the previous quarter and year. Though the main reason for this was explained before when looking at technical results and net claims, a portion of these lower results is also explained by an accounting imbalance generated by the effect of inflation on the adjustments made on the asset and liability sides related to the annuity business.</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higher number in sales force and the introduction to the market of new products led to an increase in market share in the Life segment. As of March 2008, it was 28%, revealing a 2% increase of market share compared to a year ago.</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VI.4 PACIFICO SALUD (EPS)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Total contributions for 1Q08 reached US$ 28.4 million, up 7% QoQ and 33.5% YoY. This growth was fueled mainly by the contributions of health programs.</w:t>
      </w:r>
    </w:p>
    <w:p>
      <w:pPr>
        <w:spacing w:after="0" w:line="3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Total claims in 1Q08 reached US$ 25.5 million, vs. US$ 21.8 million in 4Q07 and US$ 17.0 million in 1Q07. The NEL ratio increase from 81.3% in 1Q07 to 91.0% in 1Q08 due to higher reserves for claims as a consequence of the growth in claims from last quarter.</w:t>
      </w:r>
    </w:p>
    <w:p>
      <w:pPr>
        <w:spacing w:after="0" w:line="22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Technical results reached US$ 0.9 million, significantly lower than the US$ 3.3 an 3.1 million reached in the 4Q07 and 1Q07 respectively, and largely explained by the greater reserves for claims mentioned.</w:t>
      </w:r>
    </w:p>
    <w:p>
      <w:pPr>
        <w:spacing w:after="0" w:line="22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Operating expenses totaled US$ 2.8 million, showing a 12% increase as a result of a change in policy and inclusion into the EPS of medical personnel previously working under advisory contracts and/or on PPS’s payroll.</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Thus, net earnings for 1Q08 reached US$ 0.8 million, similar to the previous quarter and the previous year. In terms of market share, Pacifico maintained its leadership with a commanding 54.3%.</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VII. ECONOMIC OUTLOOK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Activity</w:t>
      </w:r>
    </w:p>
    <w:p>
      <w:pPr>
        <w:spacing w:after="0" w:line="28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Peru’s economy grew 11.9% in February, more than expected but also the consequence of a longer month. In the last twelve months Peru’s economy expanded 9.2%, driven on the expenditure side, by lively private investment, and by production industries, including construction and non primary manufacturing, responding to greater consumer demand. Mining has likewise recovered significantly in recent months. Construction grew 18.7% from March 2007 to March 2008, reflecting dynamic growth in home, office, commercial and industrial building, and works commissioned by regional governments. Non-primary manufacturing grew 13.0% over the same period, accounted for by larger production of both capital and consumer goods, though throughputs, in particular construction industry-related, evidenced also major advancement. On the contrary, primary manufacturing seems to move at a much slower pace (0.7%). The outlook for the coming months is bright sustained by lively domestic demand, though a slow down might occur in 2008 after continued increases in the legal reserve rates, in both soles and dollars, aimed at pushing market lending rates up, in particular dollar denominated.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149225</wp:posOffset>
            </wp:positionV>
            <wp:extent cx="2752725" cy="24784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52725"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Sector</w:t>
      </w:r>
    </w:p>
    <w:p>
      <w:pPr>
        <w:spacing w:after="0" w:line="2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trade balance recorded a US$8.33 billion surplus in the last 12 months, or US$26 million less than the surplus at the end of 2007, as a result of yearly adjusted 45% growth in imports, mainly inputs and consumer goods, higher prices of oil crude and foodstuffs, including wheat, soybean and maize, that more than offset the 27.9% expansion of exports. From March 2007 to February 2008, exports reached US$29.127 billion, with conventional exports growing slightly less (26.7%) than non conventional foreign sales (32.1%). Imports of inputs grew 51.1% while purchases of foreign consumer goods expanded 43%. Imports of capital goods advanced less than average imports (37.7%). After discounting for the price effect, imports grew 34.1% yearly adjusted (31.8% at the end of 2007), reflecting internal demand’s still very lively progress. Last but not least, foreign currency reserves continued to rise and by March had reached an unprecedented US$33,576 million (US$27,689 million at the end of 2007).</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26"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Exports and imports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17145</wp:posOffset>
            </wp:positionV>
            <wp:extent cx="2701290" cy="2160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01290"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Prices and Exchange rate</w:t>
      </w:r>
    </w:p>
    <w:p>
      <w:pPr>
        <w:spacing w:after="0" w:line="28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Cumulative inflation in Metropolitan Lima over the 12 months ending in March 2008 reached 5.5%, above the Central Bank’s 2%± 1% inflation target and the highest since inflation targeting was introduced in 2002. Price hikes in recent months mainly stem from rises in foodstuffs. Once increases in food prices are removed, inflation reaches a bare 2.3%. Nonetheless, food prices are not escalating only as a consequence of external pressure, and conspicuously so in products with a significant foreign component -─e.g. poultry, edible oil and wheat flour─, but also because of rising prices of locally produced goods, like fruits and vegetables. The Central Bank has moved to introduce moderate increases to its benchmark rate, 25 base points so far this year, but also tried to impact market rates by increasing the mandatory legal reserve for local and foreign currency deposits. By introducing a marginal reserve rate of 120% on deposits in Nuevo sol local currency for non residents, it has also discouraged the massive inflow of short term capitals that had increased during the first quarter this year. As a consequence, the exchange rate reacted in recent days by experiencing some volatility though it fell back to under S/.2.80 to the USD. The March closing exchange rate reached a low S/.2.75, evidencing an annual appreciation of 13.7% (12.0% to April 23). Though the Central Bank’s dollar purchases have slowed down in recent weeks, from April 2007 to March 2008, it bought US$16.2 billion (US$10.3 billion at the end of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150495</wp:posOffset>
            </wp:positionV>
            <wp:extent cx="4982845" cy="26073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82845"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Fiscal Aspects</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Central government’s tax collection, Income Tax back payments not included, grew 18.4% in real terms compared to one year before, and experienced 17.1% first-quarter-to-first-quarter growth. If income tax back payments are then added, central government’s tax receipts increased a hefty 8.9% in March. The surge took place despite two tariff cuts in force since October. Meanwhile, local demand continues to move at a lively pace. The fiscal landscape however must take account of expanding government spending and investment. Last year, a significant portion of the surplus (3.2% of GDP) resulted from cash savings by regional governments that may be spent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163195</wp:posOffset>
            </wp:positionV>
            <wp:extent cx="3018790" cy="26155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018790" cy="261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Banking System</w:t>
      </w:r>
    </w:p>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Central Bank data to March shows dollar denominated loans in banking companies grew 46.6% annually (40.7% at the end of 2007). Part of the increase however is a consequence of a stronger Nuevo sol in recent months. In Nuevos soles, bank loans grew 26.4% while by end 2007 they had increased 30.9%. Meanwhile, consumer loans grew the fastest annually (55.6% in February and 47.3% at end 2007), although commercial loans also experienced some advance (from 32.2% to 32.6%). Home loans dropped from 16.3% in December to 13.9% in February.</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26" w:right="239" w:bottom="1440" w:gutter="0" w:footer="0" w:header="0"/>
        </w:sectPr>
      </w:pPr>
    </w:p>
    <w:bookmarkStart w:id="34" w:name="page35"/>
    <w:bookmarkEnd w:id="34"/>
    <w:p>
      <w:pPr>
        <w:jc w:val="both"/>
        <w:spacing w:after="0" w:line="308" w:lineRule="auto"/>
        <w:rPr>
          <w:sz w:val="20"/>
          <w:szCs w:val="20"/>
          <w:color w:val="auto"/>
        </w:rPr>
      </w:pPr>
      <w:r>
        <w:rPr>
          <w:rFonts w:ascii="Arial" w:cs="Arial" w:eastAsia="Arial" w:hAnsi="Arial"/>
          <w:sz w:val="17"/>
          <w:szCs w:val="17"/>
          <w:color w:val="auto"/>
        </w:rPr>
        <w:t>Deposits continued to rise and grew 25.7% in soles since February last year (24.2% at the end of 2007). Greater growth was noticed in time deposits, up 30.1%, though demand deposits also moved quickly, or at 25.8% also above average. Savings deposits grew in February at an annual 14.4%.</w:t>
      </w:r>
    </w:p>
    <w:p>
      <w:pPr>
        <w:spacing w:after="0" w:line="20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banking system’s de-dollarization has speeded up so far this year, in particular dollar denominated deposits that at the end of 2007 made up 59.3% of the total, but fell to 51.9% by February. This trend is accounted for by the patterns followed by term deposits where dollar denominated liabilities fell from 65.7% to 54.7%, although smaller demand dollar denominated deposits were also noticed (a fall from 48.3% to 45.6%) as well as in savings deposits (from 56.7% to 52.2%). Dollar denominated loans have dropped to 60.5% of the total, down from 61.8% at the end of 2007, in particular because of behavior in the micro companies segment, where dollarization fell from 23.6% to 20.9% and in home loans where dollar denominated loans slipped from 80.2% to 78.1%. Over the same period dollar denominated commercial loans increased slightly, from 72.8% to 73.2%.</w:t>
      </w: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rates have been stable or rising slightly in recent months, in line with the Central Bank’s objective to gradually slow down the growth of credit and overheating the economy. Rates charged by banks in local currency (TAMN) closed March at 23.9%, compared to 22.3% at the end of 2007, while the corresponding rate in dollars remained relatively stable and reached 10.3% at the end of the third quarter, compared to 10.5% at the end of 2007. The borrowing rates in Nuevos soles (TIPMN) and in dollars (TIPEX) closed March at 3.3% and 2.6% respectively, slightly above the 3.3% and 2.5% at the end of 2006</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Main Financial Indicators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160"/>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9"/>
        </w:trPr>
        <w:tc>
          <w:tcPr>
            <w:tcW w:w="3900" w:type="dxa"/>
            <w:vAlign w:val="bottom"/>
          </w:tcPr>
          <w:p>
            <w:pPr>
              <w:spacing w:after="0"/>
              <w:rPr>
                <w:sz w:val="23"/>
                <w:szCs w:val="23"/>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23"/>
                <w:szCs w:val="23"/>
                <w:color w:val="auto"/>
              </w:rPr>
            </w:pPr>
          </w:p>
        </w:tc>
        <w:tc>
          <w:tcPr>
            <w:tcW w:w="5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IQ</w:t>
            </w:r>
          </w:p>
        </w:tc>
        <w:tc>
          <w:tcPr>
            <w:tcW w:w="120" w:type="dxa"/>
            <w:vAlign w:val="bottom"/>
          </w:tcPr>
          <w:p>
            <w:pPr>
              <w:spacing w:after="0"/>
              <w:rPr>
                <w:sz w:val="23"/>
                <w:szCs w:val="23"/>
                <w:color w:val="auto"/>
              </w:rPr>
            </w:pPr>
          </w:p>
        </w:tc>
        <w:tc>
          <w:tcPr>
            <w:tcW w:w="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IIQ</w:t>
            </w:r>
          </w:p>
        </w:tc>
        <w:tc>
          <w:tcPr>
            <w:tcW w:w="120" w:type="dxa"/>
            <w:vAlign w:val="bottom"/>
          </w:tcPr>
          <w:p>
            <w:pPr>
              <w:spacing w:after="0"/>
              <w:rPr>
                <w:sz w:val="23"/>
                <w:szCs w:val="23"/>
                <w:color w:val="auto"/>
              </w:rPr>
            </w:pPr>
          </w:p>
        </w:tc>
        <w:tc>
          <w:tcPr>
            <w:tcW w:w="5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IIIQ</w:t>
            </w:r>
          </w:p>
        </w:tc>
        <w:tc>
          <w:tcPr>
            <w:tcW w:w="120" w:type="dxa"/>
            <w:vAlign w:val="bottom"/>
          </w:tcPr>
          <w:p>
            <w:pPr>
              <w:spacing w:after="0"/>
              <w:rPr>
                <w:sz w:val="23"/>
                <w:szCs w:val="23"/>
                <w:color w:val="auto"/>
              </w:rPr>
            </w:pPr>
          </w:p>
        </w:tc>
        <w:tc>
          <w:tcPr>
            <w:tcW w:w="5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IVQ</w:t>
            </w:r>
          </w:p>
        </w:tc>
        <w:tc>
          <w:tcPr>
            <w:tcW w:w="120" w:type="dxa"/>
            <w:vAlign w:val="bottom"/>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23"/>
                <w:szCs w:val="23"/>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IQ</w:t>
            </w:r>
          </w:p>
        </w:tc>
        <w:tc>
          <w:tcPr>
            <w:tcW w:w="100" w:type="dxa"/>
            <w:vAlign w:val="bottom"/>
          </w:tcPr>
          <w:p>
            <w:pPr>
              <w:spacing w:after="0"/>
              <w:rPr>
                <w:sz w:val="23"/>
                <w:szCs w:val="23"/>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IIQ</w:t>
            </w:r>
          </w:p>
        </w:tc>
        <w:tc>
          <w:tcPr>
            <w:tcW w:w="10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Year (F)</w:t>
            </w:r>
          </w:p>
        </w:tc>
        <w:tc>
          <w:tcPr>
            <w:tcW w:w="100" w:type="dxa"/>
            <w:vAlign w:val="bottom"/>
          </w:tcPr>
          <w:p>
            <w:pPr>
              <w:spacing w:after="0"/>
              <w:rPr>
                <w:sz w:val="23"/>
                <w:szCs w:val="23"/>
                <w:color w:val="auto"/>
              </w:rPr>
            </w:pPr>
          </w:p>
        </w:tc>
      </w:tr>
      <w:tr>
        <w:trPr>
          <w:trHeight w:val="237"/>
        </w:trPr>
        <w:tc>
          <w:tcPr>
            <w:tcW w:w="3900" w:type="dxa"/>
            <w:vAlign w:val="bottom"/>
            <w:shd w:val="clear" w:color="auto" w:fill="CCFFCC"/>
          </w:tcPr>
          <w:p>
            <w:pPr>
              <w:spacing w:after="0"/>
              <w:rPr>
                <w:sz w:val="20"/>
                <w:szCs w:val="20"/>
                <w:color w:val="auto"/>
              </w:rPr>
            </w:pPr>
            <w:r>
              <w:rPr>
                <w:rFonts w:ascii="Arial" w:cs="Arial" w:eastAsia="Arial" w:hAnsi="Arial"/>
                <w:sz w:val="14"/>
                <w:szCs w:val="14"/>
                <w:color w:val="auto"/>
              </w:rPr>
              <w:t>GDP (US$ MM)</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79,341</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20,352</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24,203</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23,469</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25,049</w:t>
            </w: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93,377</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24,247</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27,910</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27,046</w:t>
            </w: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30,014</w:t>
            </w: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109,217</w:t>
            </w:r>
          </w:p>
        </w:tc>
      </w:tr>
      <w:tr>
        <w:trPr>
          <w:trHeight w:val="243"/>
        </w:trPr>
        <w:tc>
          <w:tcPr>
            <w:tcW w:w="3900" w:type="dxa"/>
            <w:vAlign w:val="bottom"/>
          </w:tcPr>
          <w:p>
            <w:pPr>
              <w:spacing w:after="0"/>
              <w:rPr>
                <w:sz w:val="20"/>
                <w:szCs w:val="20"/>
                <w:color w:val="auto"/>
              </w:rPr>
            </w:pPr>
            <w:r>
              <w:rPr>
                <w:rFonts w:ascii="Arial" w:cs="Arial" w:eastAsia="Arial" w:hAnsi="Arial"/>
                <w:sz w:val="14"/>
                <w:szCs w:val="14"/>
                <w:color w:val="auto"/>
              </w:rPr>
              <w:t>Real GDP (var. %)</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6.4</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7.6</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6.1</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8.7</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8.5</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8.0</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7.5</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8.5</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8.9</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9.7</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9.0</w:t>
            </w: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4"/>
                <w:szCs w:val="14"/>
                <w:color w:val="auto"/>
              </w:rPr>
              <w:t>GDP per-cápita (US$)</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2,928</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3,004</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3,572</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3,464</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3,534</w:t>
            </w: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3,294</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3,510</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4,029</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3,892</w:t>
            </w: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4,307</w:t>
            </w: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3,935</w:t>
            </w:r>
          </w:p>
        </w:tc>
      </w:tr>
      <w:tr>
        <w:trPr>
          <w:trHeight w:val="243"/>
        </w:trPr>
        <w:tc>
          <w:tcPr>
            <w:tcW w:w="3900" w:type="dxa"/>
            <w:vAlign w:val="bottom"/>
          </w:tcPr>
          <w:p>
            <w:pPr>
              <w:ind w:left="180"/>
              <w:spacing w:after="0"/>
              <w:rPr>
                <w:sz w:val="20"/>
                <w:szCs w:val="20"/>
                <w:color w:val="auto"/>
              </w:rPr>
            </w:pPr>
            <w:r>
              <w:rPr>
                <w:rFonts w:ascii="Arial" w:cs="Arial" w:eastAsia="Arial" w:hAnsi="Arial"/>
                <w:sz w:val="14"/>
                <w:szCs w:val="14"/>
                <w:color w:val="auto"/>
              </w:rPr>
              <w:t>Domestic demand (var. %)</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5.5</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10.7</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7.2</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10.6</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12.5</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10.4</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10.4</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10.9</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13.0</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11.3</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11.6</w:t>
            </w:r>
          </w:p>
        </w:tc>
      </w:tr>
      <w:tr>
        <w:trPr>
          <w:trHeight w:val="243"/>
        </w:trPr>
        <w:tc>
          <w:tcPr>
            <w:tcW w:w="3900" w:type="dxa"/>
            <w:vAlign w:val="bottom"/>
            <w:shd w:val="clear" w:color="auto" w:fill="CCFFCC"/>
          </w:tcPr>
          <w:p>
            <w:pPr>
              <w:ind w:left="340"/>
              <w:spacing w:after="0"/>
              <w:rPr>
                <w:sz w:val="20"/>
                <w:szCs w:val="20"/>
                <w:color w:val="auto"/>
              </w:rPr>
            </w:pPr>
            <w:r>
              <w:rPr>
                <w:rFonts w:ascii="Arial" w:cs="Arial" w:eastAsia="Arial" w:hAnsi="Arial"/>
                <w:sz w:val="14"/>
                <w:szCs w:val="14"/>
                <w:color w:val="auto"/>
              </w:rPr>
              <w:t>Consumption (var. %)</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4.4</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5.3</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5.4</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6.4</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7.4</w:t>
            </w: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6.6</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7.4</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8.1</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8.0</w:t>
            </w: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8.9</w:t>
            </w: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8.3</w:t>
            </w:r>
          </w:p>
        </w:tc>
      </w:tr>
      <w:tr>
        <w:trPr>
          <w:trHeight w:val="243"/>
        </w:trPr>
        <w:tc>
          <w:tcPr>
            <w:tcW w:w="3900" w:type="dxa"/>
            <w:vAlign w:val="bottom"/>
          </w:tcPr>
          <w:p>
            <w:pPr>
              <w:ind w:left="340"/>
              <w:spacing w:after="0"/>
              <w:rPr>
                <w:sz w:val="20"/>
                <w:szCs w:val="20"/>
                <w:color w:val="auto"/>
              </w:rPr>
            </w:pPr>
            <w:r>
              <w:rPr>
                <w:rFonts w:ascii="Arial" w:cs="Arial" w:eastAsia="Arial" w:hAnsi="Arial"/>
                <w:sz w:val="14"/>
                <w:szCs w:val="14"/>
                <w:color w:val="auto"/>
              </w:rPr>
              <w:t>Private Investment (var. %)</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13.6</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22.2</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16.5</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16.7</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31.5</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26.3</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17.2</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22.5</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27.9</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22.6</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22.7</w:t>
            </w: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4"/>
                <w:szCs w:val="14"/>
                <w:color w:val="auto"/>
              </w:rPr>
              <w:t>CPI (annual change, %)</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1.5</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2.5</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1.8</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2.0</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1.5</w:t>
            </w: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1.1</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0.3</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1.6</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2.8</w:t>
            </w: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3.9</w:t>
            </w: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3.9</w:t>
            </w:r>
          </w:p>
        </w:tc>
      </w:tr>
      <w:tr>
        <w:trPr>
          <w:trHeight w:val="243"/>
        </w:trPr>
        <w:tc>
          <w:tcPr>
            <w:tcW w:w="3900" w:type="dxa"/>
            <w:vAlign w:val="bottom"/>
          </w:tcPr>
          <w:p>
            <w:pPr>
              <w:spacing w:after="0"/>
              <w:rPr>
                <w:sz w:val="20"/>
                <w:szCs w:val="20"/>
                <w:color w:val="auto"/>
              </w:rPr>
            </w:pPr>
            <w:r>
              <w:rPr>
                <w:rFonts w:ascii="Arial" w:cs="Arial" w:eastAsia="Arial" w:hAnsi="Arial"/>
                <w:sz w:val="14"/>
                <w:szCs w:val="14"/>
                <w:color w:val="auto"/>
              </w:rPr>
              <w:t>Exchange rate, eop (S/ . per US$)</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3.43</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3.36</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3.26</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3.25</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3.20</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3.20</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3.19</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3.17</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3.09</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3.00</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3.00</w:t>
            </w: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4"/>
                <w:szCs w:val="14"/>
                <w:color w:val="auto"/>
              </w:rPr>
              <w:t>Devaluation (annual change, %)</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4.5</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2.9</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0.2</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-2.8</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-6.8</w:t>
            </w: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-6.8</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-5.1</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-2.8</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-5.0</w:t>
            </w: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-6.1</w:t>
            </w: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-6.1</w:t>
            </w:r>
          </w:p>
        </w:tc>
      </w:tr>
      <w:tr>
        <w:trPr>
          <w:trHeight w:val="243"/>
        </w:trPr>
        <w:tc>
          <w:tcPr>
            <w:tcW w:w="3900" w:type="dxa"/>
            <w:vAlign w:val="bottom"/>
          </w:tcPr>
          <w:p>
            <w:pPr>
              <w:spacing w:after="0"/>
              <w:rPr>
                <w:sz w:val="20"/>
                <w:szCs w:val="20"/>
                <w:color w:val="auto"/>
              </w:rPr>
            </w:pPr>
            <w:r>
              <w:rPr>
                <w:rFonts w:ascii="Arial" w:cs="Arial" w:eastAsia="Arial" w:hAnsi="Arial"/>
                <w:sz w:val="14"/>
                <w:szCs w:val="14"/>
                <w:color w:val="auto"/>
              </w:rPr>
              <w:t>Exchange rate, average (S/ . per US$)</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3.30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3.34</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3.29</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3.24</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3.22</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3.27</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3.19</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3.17</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3.14</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2.98</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3.12</w:t>
            </w: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4"/>
                <w:szCs w:val="14"/>
                <w:color w:val="auto"/>
              </w:rPr>
              <w:t>Non-Financial Public Sector (% of GDP)</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-0.3</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3.9</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5.7</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1.4</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-2.6</w:t>
            </w: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2.1</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4.8</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8.0</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2.1</w:t>
            </w: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-2.4</w:t>
            </w: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3.2</w:t>
            </w:r>
          </w:p>
        </w:tc>
      </w:tr>
      <w:tr>
        <w:trPr>
          <w:trHeight w:val="243"/>
        </w:trPr>
        <w:tc>
          <w:tcPr>
            <w:tcW w:w="3900" w:type="dxa"/>
            <w:vAlign w:val="bottom"/>
          </w:tcPr>
          <w:p>
            <w:pPr>
              <w:ind w:left="180"/>
              <w:spacing w:after="0"/>
              <w:rPr>
                <w:sz w:val="20"/>
                <w:szCs w:val="20"/>
                <w:color w:val="auto"/>
              </w:rPr>
            </w:pPr>
            <w:r>
              <w:rPr>
                <w:rFonts w:ascii="Arial" w:cs="Arial" w:eastAsia="Arial" w:hAnsi="Arial"/>
                <w:sz w:val="14"/>
                <w:szCs w:val="14"/>
                <w:color w:val="auto"/>
              </w:rPr>
              <w:t>Central government current revenues (% of GD</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15.7</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17.8</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18.4</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16.6</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16.2</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17.3</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17.3</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20.1</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17.4</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16.9</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17.9</w:t>
            </w:r>
          </w:p>
        </w:tc>
      </w:tr>
      <w:tr>
        <w:trPr>
          <w:trHeight w:val="243"/>
        </w:trPr>
        <w:tc>
          <w:tcPr>
            <w:tcW w:w="3900" w:type="dxa"/>
            <w:vAlign w:val="bottom"/>
            <w:shd w:val="clear" w:color="auto" w:fill="CCFFCC"/>
          </w:tcPr>
          <w:p>
            <w:pPr>
              <w:ind w:left="340"/>
              <w:spacing w:after="0"/>
              <w:rPr>
                <w:sz w:val="20"/>
                <w:szCs w:val="20"/>
                <w:color w:val="auto"/>
              </w:rPr>
            </w:pPr>
            <w:r>
              <w:rPr>
                <w:rFonts w:ascii="Arial" w:cs="Arial" w:eastAsia="Arial" w:hAnsi="Arial"/>
                <w:sz w:val="14"/>
                <w:szCs w:val="14"/>
                <w:color w:val="auto"/>
              </w:rPr>
              <w:t>Tax Income (% of GDP)</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13.6</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15.2</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16.3</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14.2</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14.0</w:t>
            </w: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14.9</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15.0</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17.4</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14.9</w:t>
            </w: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14.5</w:t>
            </w: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15.4</w:t>
            </w:r>
          </w:p>
        </w:tc>
      </w:tr>
      <w:tr>
        <w:trPr>
          <w:trHeight w:val="243"/>
        </w:trPr>
        <w:tc>
          <w:tcPr>
            <w:tcW w:w="3900" w:type="dxa"/>
            <w:vAlign w:val="bottom"/>
          </w:tcPr>
          <w:p>
            <w:pPr>
              <w:ind w:left="340"/>
              <w:spacing w:after="0"/>
              <w:rPr>
                <w:sz w:val="20"/>
                <w:szCs w:val="20"/>
                <w:color w:val="auto"/>
              </w:rPr>
            </w:pPr>
            <w:r>
              <w:rPr>
                <w:rFonts w:ascii="Arial" w:cs="Arial" w:eastAsia="Arial" w:hAnsi="Arial"/>
                <w:sz w:val="14"/>
                <w:szCs w:val="14"/>
                <w:color w:val="auto"/>
              </w:rPr>
              <w:t>Non Tax Income (% of GDP)</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2.1</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2.6</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2.1</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2.4</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2.1</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2.4</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2.3</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2.8</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2.5</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2.5</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2.5</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4"/>
                <w:szCs w:val="14"/>
                <w:color w:val="auto"/>
              </w:rPr>
              <w:t>Current expenditures (% of GDP)</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12.8</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11.8</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10.7</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12.5</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13.6</w:t>
            </w: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12.2</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11.7</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14.0</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11.4</w:t>
            </w: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12.9</w:t>
            </w: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12.5</w:t>
            </w:r>
          </w:p>
        </w:tc>
      </w:tr>
      <w:tr>
        <w:trPr>
          <w:trHeight w:val="243"/>
        </w:trPr>
        <w:tc>
          <w:tcPr>
            <w:tcW w:w="3900" w:type="dxa"/>
            <w:vAlign w:val="bottom"/>
          </w:tcPr>
          <w:p>
            <w:pPr>
              <w:ind w:left="180"/>
              <w:spacing w:after="0"/>
              <w:rPr>
                <w:sz w:val="20"/>
                <w:szCs w:val="20"/>
                <w:color w:val="auto"/>
              </w:rPr>
            </w:pPr>
            <w:r>
              <w:rPr>
                <w:rFonts w:ascii="Arial" w:cs="Arial" w:eastAsia="Arial" w:hAnsi="Arial"/>
                <w:sz w:val="14"/>
                <w:szCs w:val="14"/>
                <w:color w:val="auto"/>
              </w:rPr>
              <w:t>Capital expenditures (% of GDP)</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1.9</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0.8</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1.3</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2.4</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3.2</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0.8</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1.3</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2.2</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4.1</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2.2</w:t>
            </w: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4"/>
                <w:szCs w:val="14"/>
                <w:color w:val="auto"/>
              </w:rPr>
              <w:t>Trade Balance (US$ MM)</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5,260</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1,245</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2,162</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2,828</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2,529</w:t>
            </w: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8,853</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1,421</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2,244</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2,300</w:t>
            </w: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2,273</w:t>
            </w: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8,357</w:t>
            </w:r>
          </w:p>
        </w:tc>
      </w:tr>
      <w:tr>
        <w:trPr>
          <w:trHeight w:val="243"/>
        </w:trPr>
        <w:tc>
          <w:tcPr>
            <w:tcW w:w="3900" w:type="dxa"/>
            <w:vAlign w:val="bottom"/>
          </w:tcPr>
          <w:p>
            <w:pPr>
              <w:ind w:left="180"/>
              <w:spacing w:after="0"/>
              <w:rPr>
                <w:sz w:val="20"/>
                <w:szCs w:val="20"/>
                <w:color w:val="auto"/>
              </w:rPr>
            </w:pPr>
            <w:r>
              <w:rPr>
                <w:rFonts w:ascii="Arial" w:cs="Arial" w:eastAsia="Arial" w:hAnsi="Arial"/>
                <w:sz w:val="14"/>
                <w:szCs w:val="14"/>
                <w:color w:val="auto"/>
              </w:rPr>
              <w:t>Exports (US$ MM)</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17,336</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4,631</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5,799</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6,503</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6,709</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23,750</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5,647</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6,741</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7,594</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7,874</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27,956</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4"/>
                <w:szCs w:val="14"/>
                <w:color w:val="auto"/>
              </w:rPr>
              <w:t>Imports (US$ MM)</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12,076</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-3,386</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-3,637</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-3,675</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4,180</w:t>
            </w: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14,897</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-4,225</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4,497</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5,294</w:t>
            </w: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5,601</w:t>
            </w: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19,599</w:t>
            </w:r>
          </w:p>
        </w:tc>
      </w:tr>
      <w:tr>
        <w:trPr>
          <w:trHeight w:val="243"/>
        </w:trPr>
        <w:tc>
          <w:tcPr>
            <w:tcW w:w="3900" w:type="dxa"/>
            <w:vAlign w:val="bottom"/>
          </w:tcPr>
          <w:p>
            <w:pPr>
              <w:spacing w:after="0"/>
              <w:rPr>
                <w:sz w:val="20"/>
                <w:szCs w:val="20"/>
                <w:color w:val="auto"/>
              </w:rPr>
            </w:pPr>
            <w:r>
              <w:rPr>
                <w:rFonts w:ascii="Arial" w:cs="Arial" w:eastAsia="Arial" w:hAnsi="Arial"/>
                <w:sz w:val="14"/>
                <w:szCs w:val="14"/>
                <w:color w:val="auto"/>
              </w:rPr>
              <w:t>Current Account Balance (US$ MM)</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1,105</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-227</w:t>
            </w:r>
          </w:p>
        </w:tc>
        <w:tc>
          <w:tcPr>
            <w:tcW w:w="580" w:type="dxa"/>
            <w:vAlign w:val="bottom"/>
          </w:tcPr>
          <w:p>
            <w:pPr>
              <w:jc w:val="right"/>
              <w:spacing w:after="0"/>
              <w:rPr>
                <w:sz w:val="20"/>
                <w:szCs w:val="20"/>
                <w:color w:val="auto"/>
              </w:rPr>
            </w:pPr>
            <w:r>
              <w:rPr>
                <w:rFonts w:ascii="Arial" w:cs="Arial" w:eastAsia="Arial" w:hAnsi="Arial"/>
                <w:sz w:val="14"/>
                <w:szCs w:val="14"/>
                <w:color w:val="auto"/>
              </w:rPr>
              <w:t>401</w:t>
            </w:r>
          </w:p>
        </w:tc>
        <w:tc>
          <w:tcPr>
            <w:tcW w:w="12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1,199</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957</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2,456</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-83</w:t>
            </w:r>
          </w:p>
        </w:tc>
        <w:tc>
          <w:tcPr>
            <w:tcW w:w="560" w:type="dxa"/>
            <w:vAlign w:val="bottom"/>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502</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549</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1,516</w:t>
            </w:r>
          </w:p>
        </w:tc>
      </w:tr>
      <w:tr>
        <w:trPr>
          <w:trHeight w:val="250"/>
        </w:trPr>
        <w:tc>
          <w:tcPr>
            <w:tcW w:w="39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4"/>
                <w:szCs w:val="14"/>
                <w:color w:val="auto"/>
              </w:rPr>
              <w:t>Current Account Balance (% of GDP)</w:t>
            </w:r>
          </w:p>
        </w:tc>
        <w:tc>
          <w:tcPr>
            <w:tcW w:w="7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1.4</w:t>
            </w:r>
          </w:p>
        </w:tc>
        <w:tc>
          <w:tcPr>
            <w:tcW w:w="7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-1.1</w:t>
            </w:r>
          </w:p>
        </w:tc>
        <w:tc>
          <w:tcPr>
            <w:tcW w:w="7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1.7</w:t>
            </w:r>
          </w:p>
        </w:tc>
        <w:tc>
          <w:tcPr>
            <w:tcW w:w="7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5.1</w:t>
            </w:r>
          </w:p>
        </w:tc>
        <w:tc>
          <w:tcPr>
            <w:tcW w:w="7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3.8</w:t>
            </w:r>
          </w:p>
        </w:tc>
        <w:tc>
          <w:tcPr>
            <w:tcW w:w="6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2.6</w:t>
            </w:r>
          </w:p>
        </w:tc>
        <w:tc>
          <w:tcPr>
            <w:tcW w:w="6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-0.3</w:t>
            </w:r>
          </w:p>
        </w:tc>
        <w:tc>
          <w:tcPr>
            <w:tcW w:w="6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1.3</w:t>
            </w:r>
          </w:p>
        </w:tc>
        <w:tc>
          <w:tcPr>
            <w:tcW w:w="6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w:t>
            </w:r>
          </w:p>
        </w:tc>
        <w:tc>
          <w:tcPr>
            <w:tcW w:w="6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1.8</w:t>
            </w:r>
          </w:p>
        </w:tc>
        <w:tc>
          <w:tcPr>
            <w:tcW w:w="6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1.4</w:t>
            </w:r>
          </w:p>
        </w:tc>
      </w:tr>
      <w:tr>
        <w:trPr>
          <w:trHeight w:val="20"/>
        </w:trPr>
        <w:tc>
          <w:tcPr>
            <w:tcW w:w="390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bl>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3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Company Description:</w:t>
      </w: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Credicorp Ltd. (NYSE: BAP) is the leading financial services holding company in Peru. It primarily operates via its four principal Subsidiaries: Banco de Credito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Safe Harbor for forward-looking statements: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 other than statements of historical information provided herein are forward-looking and may contain information about financial results, economic conditions, trends and known uncertainties.</w:t>
      </w:r>
    </w:p>
    <w:p>
      <w:pPr>
        <w:spacing w:after="0" w:line="2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30" w:right="239" w:bottom="1440" w:gutter="0" w:footer="0" w:header="0"/>
        </w:sectPr>
      </w:pPr>
    </w:p>
    <w:bookmarkStart w:id="36" w:name="page37"/>
    <w:bookmarkEnd w:id="36"/>
    <w:p>
      <w:pPr>
        <w:jc w:val="center"/>
        <w:ind w:right="180"/>
        <w:spacing w:after="0"/>
        <w:rPr>
          <w:sz w:val="20"/>
          <w:szCs w:val="20"/>
          <w:color w:val="auto"/>
        </w:rPr>
      </w:pPr>
      <w:r>
        <w:rPr>
          <w:rFonts w:ascii="Arial" w:cs="Arial" w:eastAsia="Arial" w:hAnsi="Arial"/>
          <w:sz w:val="18"/>
          <w:szCs w:val="18"/>
          <w:b w:val="1"/>
          <w:bCs w:val="1"/>
          <w:color w:val="auto"/>
        </w:rPr>
        <w:t>CREDICORP LTD. AND SUBSIDIARIES</w:t>
      </w:r>
    </w:p>
    <w:p>
      <w:pPr>
        <w:spacing w:after="0" w:line="3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CONSOLIDATED BALANCE SHEETS</w:t>
      </w:r>
    </w:p>
    <w:p>
      <w:pPr>
        <w:spacing w:after="0" w:line="3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(In US$ thousands, IFRS)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As of</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rPr>
              <w:t>Mar 08/</w:t>
            </w:r>
          </w:p>
        </w:tc>
        <w:tc>
          <w:tcPr>
            <w:tcW w:w="1320" w:type="dxa"/>
            <w:vAlign w:val="bottom"/>
            <w:gridSpan w:val="2"/>
            <w:vMerge w:val="restart"/>
          </w:tcPr>
          <w:p>
            <w:pPr>
              <w:jc w:val="right"/>
              <w:ind w:right="350"/>
              <w:spacing w:after="0"/>
              <w:rPr>
                <w:sz w:val="20"/>
                <w:szCs w:val="20"/>
                <w:color w:val="auto"/>
              </w:rPr>
            </w:pPr>
            <w:r>
              <w:rPr>
                <w:rFonts w:ascii="Arial" w:cs="Arial" w:eastAsia="Arial" w:hAnsi="Arial"/>
                <w:sz w:val="18"/>
                <w:szCs w:val="18"/>
                <w:b w:val="1"/>
                <w:bCs w:val="1"/>
                <w:color w:val="auto"/>
              </w:rPr>
              <w:t>Mar 08/</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March</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December</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March</w:t>
            </w:r>
          </w:p>
        </w:tc>
        <w:tc>
          <w:tcPr>
            <w:tcW w:w="132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2007</w:t>
            </w:r>
          </w:p>
        </w:tc>
        <w:tc>
          <w:tcPr>
            <w:tcW w:w="120" w:type="dxa"/>
            <w:vAlign w:val="bottom"/>
          </w:tcPr>
          <w:p>
            <w:pPr>
              <w:spacing w:after="0"/>
              <w:rPr>
                <w:sz w:val="23"/>
                <w:szCs w:val="23"/>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3"/>
                <w:szCs w:val="23"/>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22"/>
                <w:szCs w:val="22"/>
                <w:b w:val="1"/>
                <w:bCs w:val="1"/>
                <w:color w:val="auto"/>
              </w:rPr>
              <w:t>Mar 07</w:t>
            </w:r>
          </w:p>
        </w:tc>
        <w:tc>
          <w:tcPr>
            <w:tcW w:w="1320" w:type="dxa"/>
            <w:vAlign w:val="bottom"/>
            <w:gridSpan w:val="2"/>
          </w:tcPr>
          <w:p>
            <w:pPr>
              <w:jc w:val="right"/>
              <w:ind w:right="350"/>
              <w:spacing w:after="0"/>
              <w:rPr>
                <w:sz w:val="20"/>
                <w:szCs w:val="20"/>
                <w:color w:val="auto"/>
              </w:rPr>
            </w:pPr>
            <w:r>
              <w:rPr>
                <w:rFonts w:ascii="Arial" w:cs="Arial" w:eastAsia="Arial" w:hAnsi="Arial"/>
                <w:sz w:val="22"/>
                <w:szCs w:val="22"/>
                <w:b w:val="1"/>
                <w:bCs w:val="1"/>
                <w:color w:val="auto"/>
              </w:rPr>
              <w:t>Dec 07</w:t>
            </w:r>
          </w:p>
        </w:tc>
        <w:tc>
          <w:tcPr>
            <w:tcW w:w="0" w:type="dxa"/>
            <w:vAlign w:val="bottom"/>
          </w:tcPr>
          <w:p>
            <w:pPr>
              <w:spacing w:after="0"/>
              <w:rPr>
                <w:sz w:val="1"/>
                <w:szCs w:val="1"/>
                <w:color w:val="auto"/>
              </w:rPr>
            </w:pPr>
          </w:p>
        </w:tc>
      </w:tr>
      <w:tr>
        <w:trPr>
          <w:trHeight w:val="534"/>
        </w:trPr>
        <w:tc>
          <w:tcPr>
            <w:tcW w:w="5040" w:type="dxa"/>
            <w:vAlign w:val="bottom"/>
          </w:tcPr>
          <w:p>
            <w:pPr>
              <w:jc w:val="center"/>
              <w:ind w:right="110"/>
              <w:spacing w:after="0"/>
              <w:rPr>
                <w:sz w:val="20"/>
                <w:szCs w:val="20"/>
                <w:color w:val="auto"/>
              </w:rPr>
            </w:pPr>
            <w:r>
              <w:rPr>
                <w:rFonts w:ascii="Arial" w:cs="Arial" w:eastAsia="Arial" w:hAnsi="Arial"/>
                <w:sz w:val="18"/>
                <w:szCs w:val="18"/>
                <w:b w:val="1"/>
                <w:bCs w:val="1"/>
                <w:color w:val="auto"/>
                <w:w w:val="81"/>
              </w:rPr>
              <w:t>Assets</w:t>
            </w: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FFCC"/>
          </w:tcPr>
          <w:p>
            <w:pPr>
              <w:ind w:left="660"/>
              <w:spacing w:after="0"/>
              <w:rPr>
                <w:sz w:val="20"/>
                <w:szCs w:val="20"/>
                <w:color w:val="auto"/>
              </w:rPr>
            </w:pPr>
            <w:r>
              <w:rPr>
                <w:rFonts w:ascii="Arial" w:cs="Arial" w:eastAsia="Arial" w:hAnsi="Arial"/>
                <w:sz w:val="18"/>
                <w:szCs w:val="18"/>
                <w:color w:val="auto"/>
              </w:rPr>
              <w:t>Non-interest bearing</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585,618</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620,918</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544,933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7.5%</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5040" w:type="dxa"/>
            <w:vAlign w:val="bottom"/>
          </w:tcPr>
          <w:p>
            <w:pPr>
              <w:ind w:left="660"/>
              <w:spacing w:after="0"/>
              <w:rPr>
                <w:sz w:val="20"/>
                <w:szCs w:val="20"/>
                <w:color w:val="auto"/>
              </w:rPr>
            </w:pPr>
            <w:r>
              <w:rPr>
                <w:rFonts w:ascii="Arial" w:cs="Arial" w:eastAsia="Arial" w:hAnsi="Arial"/>
                <w:sz w:val="18"/>
                <w:szCs w:val="18"/>
                <w:color w:val="auto"/>
              </w:rPr>
              <w:t>Interest bearing</w:t>
            </w:r>
          </w:p>
        </w:tc>
        <w:tc>
          <w:tcPr>
            <w:tcW w:w="1140" w:type="dxa"/>
            <w:vAlign w:val="bottom"/>
          </w:tcPr>
          <w:p>
            <w:pPr>
              <w:jc w:val="right"/>
              <w:spacing w:after="0"/>
              <w:rPr>
                <w:sz w:val="20"/>
                <w:szCs w:val="20"/>
                <w:color w:val="auto"/>
              </w:rPr>
            </w:pPr>
            <w:r>
              <w:rPr>
                <w:rFonts w:ascii="Arial" w:cs="Arial" w:eastAsia="Arial" w:hAnsi="Arial"/>
                <w:sz w:val="18"/>
                <w:szCs w:val="18"/>
                <w:color w:val="auto"/>
              </w:rPr>
              <w:t>2,195,174</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2,452,947</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1,950,342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shd w:val="clear" w:color="auto" w:fill="CCFFCC"/>
          </w:tcPr>
          <w:p>
            <w:pPr>
              <w:ind w:left="660"/>
              <w:spacing w:after="0"/>
              <w:rPr>
                <w:sz w:val="20"/>
                <w:szCs w:val="20"/>
                <w:color w:val="auto"/>
              </w:rPr>
            </w:pPr>
            <w:r>
              <w:rPr>
                <w:rFonts w:ascii="Arial" w:cs="Arial" w:eastAsia="Arial" w:hAnsi="Arial"/>
                <w:sz w:val="18"/>
                <w:szCs w:val="18"/>
                <w:color w:val="auto"/>
              </w:rPr>
              <w:t>Total cash and due from banks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2,780,792</w:t>
            </w: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3,073,865</w:t>
            </w:r>
          </w:p>
        </w:tc>
        <w:tc>
          <w:tcPr>
            <w:tcW w:w="12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2,495,276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11.4%</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64"/>
        </w:trPr>
        <w:tc>
          <w:tcPr>
            <w:tcW w:w="5040" w:type="dxa"/>
            <w:vAlign w:val="bottom"/>
            <w:tcBorders>
              <w:top w:val="single" w:sz="8" w:color="CCFFCC"/>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200" w:type="dxa"/>
            <w:vAlign w:val="bottom"/>
            <w:tcBorders>
              <w:top w:val="single" w:sz="8" w:color="CCFFCC"/>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80" w:type="dxa"/>
            <w:vAlign w:val="bottom"/>
            <w:tcBorders>
              <w:top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Marketable securities, net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41,538</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50,995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61,536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-32.5%</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spacing w:after="0"/>
              <w:rPr>
                <w:sz w:val="23"/>
                <w:szCs w:val="23"/>
                <w:color w:val="auto"/>
              </w:rPr>
            </w:pPr>
          </w:p>
        </w:tc>
        <w:tc>
          <w:tcPr>
            <w:tcW w:w="1320" w:type="dxa"/>
            <w:vAlign w:val="bottom"/>
            <w:gridSpan w:val="2"/>
          </w:tcPr>
          <w:p>
            <w:pPr>
              <w:spacing w:after="0"/>
              <w:rPr>
                <w:sz w:val="23"/>
                <w:szCs w:val="23"/>
                <w:color w:val="auto"/>
              </w:rPr>
            </w:pPr>
          </w:p>
        </w:tc>
        <w:tc>
          <w:tcPr>
            <w:tcW w:w="13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8,919,841</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8,250,819</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6,239,870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42.9%</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504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tcPr>
          <w:p>
            <w:pPr>
              <w:ind w:left="660"/>
              <w:spacing w:after="0"/>
              <w:rPr>
                <w:sz w:val="20"/>
                <w:szCs w:val="20"/>
                <w:color w:val="auto"/>
              </w:rPr>
            </w:pPr>
            <w:r>
              <w:rPr>
                <w:rFonts w:ascii="Arial" w:cs="Arial" w:eastAsia="Arial" w:hAnsi="Arial"/>
                <w:sz w:val="18"/>
                <w:szCs w:val="18"/>
                <w:color w:val="auto"/>
              </w:rPr>
              <w:t>Current</w:t>
            </w:r>
          </w:p>
        </w:tc>
        <w:tc>
          <w:tcPr>
            <w:tcW w:w="1140" w:type="dxa"/>
            <w:vAlign w:val="bottom"/>
          </w:tcPr>
          <w:p>
            <w:pPr>
              <w:jc w:val="right"/>
              <w:spacing w:after="0"/>
              <w:rPr>
                <w:sz w:val="20"/>
                <w:szCs w:val="20"/>
                <w:color w:val="auto"/>
              </w:rPr>
            </w:pPr>
            <w:r>
              <w:rPr>
                <w:rFonts w:ascii="Arial" w:cs="Arial" w:eastAsia="Arial" w:hAnsi="Arial"/>
                <w:sz w:val="18"/>
                <w:szCs w:val="18"/>
                <w:color w:val="auto"/>
              </w:rPr>
              <w:t>8,848,671</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8,189,331</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6,165,394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43.5%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5040" w:type="dxa"/>
            <w:vAlign w:val="bottom"/>
            <w:shd w:val="clear" w:color="auto" w:fill="CCFFCC"/>
          </w:tcPr>
          <w:p>
            <w:pPr>
              <w:ind w:left="660"/>
              <w:spacing w:after="0"/>
              <w:rPr>
                <w:sz w:val="20"/>
                <w:szCs w:val="20"/>
                <w:color w:val="auto"/>
              </w:rPr>
            </w:pPr>
            <w:r>
              <w:rPr>
                <w:rFonts w:ascii="Arial" w:cs="Arial" w:eastAsia="Arial" w:hAnsi="Arial"/>
                <w:sz w:val="18"/>
                <w:szCs w:val="18"/>
                <w:color w:val="auto"/>
              </w:rPr>
              <w:t>Past Due</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71,169</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61,488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74,477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-4.4%</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5040" w:type="dxa"/>
            <w:vAlign w:val="bottom"/>
          </w:tcPr>
          <w:p>
            <w:pPr>
              <w:ind w:left="660"/>
              <w:spacing w:after="0"/>
              <w:rPr>
                <w:sz w:val="20"/>
                <w:szCs w:val="20"/>
                <w:color w:val="auto"/>
              </w:rPr>
            </w:pPr>
            <w:r>
              <w:rPr>
                <w:rFonts w:ascii="Arial" w:cs="Arial" w:eastAsia="Arial" w:hAnsi="Arial"/>
                <w:sz w:val="18"/>
                <w:szCs w:val="18"/>
                <w:color w:val="auto"/>
              </w:rPr>
              <w:t>Less - Reserve for possible loan losses</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(220,617)</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(211,319)</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(187,211)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17.8%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 net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8,699,223</w:t>
            </w: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8,039,500</w:t>
            </w:r>
          </w:p>
        </w:tc>
        <w:tc>
          <w:tcPr>
            <w:tcW w:w="12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6,052,659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43.7%</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64"/>
        </w:trPr>
        <w:tc>
          <w:tcPr>
            <w:tcW w:w="5040" w:type="dxa"/>
            <w:vAlign w:val="bottom"/>
            <w:tcBorders>
              <w:top w:val="single" w:sz="8" w:color="CCFFCC"/>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200" w:type="dxa"/>
            <w:vAlign w:val="bottom"/>
            <w:tcBorders>
              <w:top w:val="single" w:sz="8" w:color="CCFFCC"/>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80" w:type="dxa"/>
            <w:vAlign w:val="bottom"/>
            <w:tcBorders>
              <w:top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4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8"/>
                <w:szCs w:val="18"/>
                <w:b w:val="1"/>
                <w:bCs w:val="1"/>
                <w:color w:val="auto"/>
              </w:rPr>
              <w:t>Investments securities available for sale</w:t>
            </w:r>
          </w:p>
        </w:tc>
        <w:tc>
          <w:tcPr>
            <w:tcW w:w="1140" w:type="dxa"/>
            <w:vAlign w:val="bottom"/>
          </w:tcPr>
          <w:p>
            <w:pPr>
              <w:jc w:val="right"/>
              <w:spacing w:after="0"/>
              <w:rPr>
                <w:sz w:val="20"/>
                <w:szCs w:val="20"/>
                <w:color w:val="auto"/>
              </w:rPr>
            </w:pPr>
            <w:r>
              <w:rPr>
                <w:rFonts w:ascii="Arial" w:cs="Arial" w:eastAsia="Arial" w:hAnsi="Arial"/>
                <w:sz w:val="18"/>
                <w:szCs w:val="18"/>
                <w:color w:val="auto"/>
              </w:rPr>
              <w:t>6,802,999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5,228,641</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4,029,155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68.8%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3"/>
        </w:trPr>
        <w:tc>
          <w:tcPr>
            <w:tcW w:w="5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Reinsurance assets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112,457</w:t>
            </w:r>
          </w:p>
        </w:tc>
        <w:tc>
          <w:tcPr>
            <w:tcW w:w="10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116,141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41,735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169.5%</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8"/>
                <w:szCs w:val="18"/>
                <w:b w:val="1"/>
                <w:bCs w:val="1"/>
                <w:color w:val="auto"/>
              </w:rPr>
              <w:t>Premiums and other policyholder receivables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94,406</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85,495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65,321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44.5%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5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275,206</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274,935</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252,451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9.0%</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8"/>
                <w:szCs w:val="18"/>
                <w:b w:val="1"/>
                <w:bCs w:val="1"/>
                <w:color w:val="auto"/>
              </w:rPr>
              <w:t>Due from customers on acceptances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49,637</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35,901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31,082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59.7%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43"/>
        </w:trPr>
        <w:tc>
          <w:tcPr>
            <w:tcW w:w="5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assets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1,089,004</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800,425</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701,840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55.2%</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FFCC"/>
          </w:tcPr>
          <w:p>
            <w:pPr>
              <w:ind w:left="660"/>
              <w:spacing w:after="0"/>
              <w:rPr>
                <w:sz w:val="20"/>
                <w:szCs w:val="20"/>
                <w:color w:val="auto"/>
              </w:rPr>
            </w:pPr>
            <w:r>
              <w:rPr>
                <w:rFonts w:ascii="Arial" w:cs="Arial" w:eastAsia="Arial" w:hAnsi="Arial"/>
                <w:sz w:val="18"/>
                <w:szCs w:val="18"/>
                <w:b w:val="1"/>
                <w:bCs w:val="1"/>
                <w:color w:val="auto"/>
              </w:rPr>
              <w:t>Total Assets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19,945,264</w:t>
            </w:r>
          </w:p>
        </w:tc>
        <w:tc>
          <w:tcPr>
            <w:tcW w:w="10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17,705,898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13,731,054</w:t>
            </w:r>
          </w:p>
        </w:tc>
        <w:tc>
          <w:tcPr>
            <w:tcW w:w="1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45.3%</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12.6%</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4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Deposits and Obligations</w:t>
            </w: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500"/>
              <w:spacing w:after="0"/>
              <w:rPr>
                <w:sz w:val="20"/>
                <w:szCs w:val="20"/>
                <w:color w:val="auto"/>
              </w:rPr>
            </w:pPr>
            <w:r>
              <w:rPr>
                <w:rFonts w:ascii="Arial" w:cs="Arial" w:eastAsia="Arial" w:hAnsi="Arial"/>
                <w:sz w:val="18"/>
                <w:szCs w:val="18"/>
                <w:color w:val="auto"/>
              </w:rPr>
              <w:t>Non-interest bearing</w:t>
            </w:r>
          </w:p>
        </w:tc>
        <w:tc>
          <w:tcPr>
            <w:tcW w:w="1140" w:type="dxa"/>
            <w:vAlign w:val="bottom"/>
          </w:tcPr>
          <w:p>
            <w:pPr>
              <w:jc w:val="right"/>
              <w:spacing w:after="0"/>
              <w:rPr>
                <w:sz w:val="20"/>
                <w:szCs w:val="20"/>
                <w:color w:val="auto"/>
              </w:rPr>
            </w:pPr>
            <w:r>
              <w:rPr>
                <w:rFonts w:ascii="Arial" w:cs="Arial" w:eastAsia="Arial" w:hAnsi="Arial"/>
                <w:sz w:val="18"/>
                <w:szCs w:val="18"/>
                <w:color w:val="auto"/>
              </w:rPr>
              <w:t>2,875,990</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2,926,308</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2,293,349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040" w:type="dxa"/>
            <w:vAlign w:val="bottom"/>
            <w:shd w:val="clear" w:color="auto" w:fill="CCFFCC"/>
          </w:tcPr>
          <w:p>
            <w:pPr>
              <w:ind w:left="500"/>
              <w:spacing w:after="0"/>
              <w:rPr>
                <w:sz w:val="20"/>
                <w:szCs w:val="20"/>
                <w:color w:val="auto"/>
              </w:rPr>
            </w:pPr>
            <w:r>
              <w:rPr>
                <w:rFonts w:ascii="Arial" w:cs="Arial" w:eastAsia="Arial" w:hAnsi="Arial"/>
                <w:sz w:val="18"/>
                <w:szCs w:val="18"/>
                <w:color w:val="auto"/>
              </w:rPr>
              <w:t>Interest bearing</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10,053,298</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8,474,967</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7,043,170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42.7%</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504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tcPr>
          <w:p>
            <w:pPr>
              <w:ind w:left="500"/>
              <w:spacing w:after="0"/>
              <w:rPr>
                <w:sz w:val="20"/>
                <w:szCs w:val="20"/>
                <w:color w:val="auto"/>
              </w:rPr>
            </w:pPr>
            <w:r>
              <w:rPr>
                <w:rFonts w:ascii="Arial" w:cs="Arial" w:eastAsia="Arial" w:hAnsi="Arial"/>
                <w:sz w:val="18"/>
                <w:szCs w:val="18"/>
                <w:color w:val="auto"/>
              </w:rPr>
              <w:t>Total deposits and Obligations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12,929,288</w:t>
            </w:r>
          </w:p>
        </w:tc>
        <w:tc>
          <w:tcPr>
            <w:tcW w:w="10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11,401,275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9,336,519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38.5%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64"/>
        </w:trPr>
        <w:tc>
          <w:tcPr>
            <w:tcW w:w="5040" w:type="dxa"/>
            <w:vAlign w:val="bottom"/>
            <w:shd w:val="clear" w:color="auto" w:fill="CCFFCC"/>
          </w:tcPr>
          <w:p>
            <w:pPr>
              <w:spacing w:after="0"/>
              <w:rPr>
                <w:sz w:val="22"/>
                <w:szCs w:val="22"/>
                <w:color w:val="auto"/>
              </w:rPr>
            </w:pPr>
          </w:p>
        </w:tc>
        <w:tc>
          <w:tcPr>
            <w:tcW w:w="1140" w:type="dxa"/>
            <w:vAlign w:val="bottom"/>
            <w:tcBorders>
              <w:top w:val="single" w:sz="8" w:color="auto"/>
            </w:tcBorders>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140" w:type="dxa"/>
            <w:vAlign w:val="bottom"/>
            <w:tcBorders>
              <w:top w:val="single" w:sz="8" w:color="auto"/>
            </w:tcBorders>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120" w:type="dxa"/>
            <w:vAlign w:val="bottom"/>
            <w:tcBorders>
              <w:top w:val="single" w:sz="8" w:color="auto"/>
            </w:tcBorders>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120" w:type="dxa"/>
            <w:vAlign w:val="bottom"/>
            <w:tcBorders>
              <w:top w:val="single" w:sz="8" w:color="auto"/>
            </w:tcBorders>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1140" w:type="dxa"/>
            <w:vAlign w:val="bottom"/>
            <w:tcBorders>
              <w:top w:val="single" w:sz="8" w:color="auto"/>
            </w:tcBorders>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140" w:type="dxa"/>
            <w:vAlign w:val="bottom"/>
          </w:tcPr>
          <w:p>
            <w:pPr>
              <w:jc w:val="right"/>
              <w:spacing w:after="0"/>
              <w:rPr>
                <w:sz w:val="20"/>
                <w:szCs w:val="20"/>
                <w:color w:val="auto"/>
              </w:rPr>
            </w:pPr>
            <w:r>
              <w:rPr>
                <w:rFonts w:ascii="Arial" w:cs="Arial" w:eastAsia="Arial" w:hAnsi="Arial"/>
                <w:sz w:val="18"/>
                <w:szCs w:val="18"/>
                <w:color w:val="auto"/>
              </w:rPr>
              <w:t>2,439,363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2,323,665</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1,019,200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139.3%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5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Acceptances outstanding</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49,637</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35,901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31,082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59.7%</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8"/>
                <w:szCs w:val="18"/>
                <w:b w:val="1"/>
                <w:bCs w:val="1"/>
                <w:color w:val="auto"/>
              </w:rPr>
              <w:t>Reserves for property and casualty claims</w:t>
            </w:r>
          </w:p>
        </w:tc>
        <w:tc>
          <w:tcPr>
            <w:tcW w:w="1140" w:type="dxa"/>
            <w:vAlign w:val="bottom"/>
          </w:tcPr>
          <w:p>
            <w:pPr>
              <w:jc w:val="right"/>
              <w:spacing w:after="0"/>
              <w:rPr>
                <w:sz w:val="20"/>
                <w:szCs w:val="20"/>
                <w:color w:val="auto"/>
              </w:rPr>
            </w:pPr>
            <w:r>
              <w:rPr>
                <w:rFonts w:ascii="Arial" w:cs="Arial" w:eastAsia="Arial" w:hAnsi="Arial"/>
                <w:sz w:val="18"/>
                <w:szCs w:val="18"/>
                <w:color w:val="auto"/>
              </w:rPr>
              <w:t>742,774</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688,249</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562,075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32.1%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5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Reserve for unearned premiums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127,285</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127,278</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88,080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44.5%</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8"/>
                <w:szCs w:val="18"/>
                <w:b w:val="1"/>
                <w:bCs w:val="1"/>
                <w:color w:val="auto"/>
              </w:rPr>
              <w:t>Reinsurance payable</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24,444</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21,914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25,856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3"/>
        </w:trPr>
        <w:tc>
          <w:tcPr>
            <w:tcW w:w="5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Bonds and subordinated debt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743,065</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702,298</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481,521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54.3%</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140" w:type="dxa"/>
            <w:vAlign w:val="bottom"/>
          </w:tcPr>
          <w:p>
            <w:pPr>
              <w:jc w:val="right"/>
              <w:spacing w:after="0"/>
              <w:rPr>
                <w:sz w:val="20"/>
                <w:szCs w:val="20"/>
                <w:color w:val="auto"/>
              </w:rPr>
            </w:pPr>
            <w:r>
              <w:rPr>
                <w:rFonts w:ascii="Arial" w:cs="Arial" w:eastAsia="Arial" w:hAnsi="Arial"/>
                <w:sz w:val="18"/>
                <w:szCs w:val="18"/>
                <w:color w:val="auto"/>
              </w:rPr>
              <w:t>899,350</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590,045</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640,988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40.3%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43"/>
        </w:trPr>
        <w:tc>
          <w:tcPr>
            <w:tcW w:w="5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Minority interest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139,378</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139,264</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125,018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11.5%</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504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Total liabilities</w:t>
            </w:r>
          </w:p>
        </w:tc>
        <w:tc>
          <w:tcPr>
            <w:tcW w:w="1140" w:type="dxa"/>
            <w:vAlign w:val="bottom"/>
          </w:tcPr>
          <w:p>
            <w:pPr>
              <w:jc w:val="right"/>
              <w:spacing w:after="0"/>
              <w:rPr>
                <w:sz w:val="20"/>
                <w:szCs w:val="20"/>
                <w:color w:val="auto"/>
              </w:rPr>
            </w:pPr>
            <w:r>
              <w:rPr>
                <w:rFonts w:ascii="Arial" w:cs="Arial" w:eastAsia="Arial" w:hAnsi="Arial"/>
                <w:sz w:val="18"/>
                <w:szCs w:val="18"/>
                <w:color w:val="auto"/>
              </w:rPr>
              <w:t>18,094,584</w:t>
            </w:r>
          </w:p>
        </w:tc>
        <w:tc>
          <w:tcPr>
            <w:tcW w:w="10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16,029,889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12,310,338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47.0%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0"/>
        </w:trPr>
        <w:tc>
          <w:tcPr>
            <w:tcW w:w="504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Net Shareholder's equity</w:t>
            </w:r>
          </w:p>
        </w:tc>
        <w:tc>
          <w:tcPr>
            <w:tcW w:w="1140" w:type="dxa"/>
            <w:vAlign w:val="bottom"/>
          </w:tcPr>
          <w:p>
            <w:pPr>
              <w:jc w:val="right"/>
              <w:spacing w:after="0"/>
              <w:rPr>
                <w:sz w:val="20"/>
                <w:szCs w:val="20"/>
                <w:color w:val="auto"/>
              </w:rPr>
            </w:pPr>
            <w:r>
              <w:rPr>
                <w:rFonts w:ascii="Arial" w:cs="Arial" w:eastAsia="Arial" w:hAnsi="Arial"/>
                <w:sz w:val="18"/>
                <w:szCs w:val="18"/>
                <w:color w:val="auto"/>
              </w:rPr>
              <w:t>1,850,680</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1,676,009</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1,420,716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30.3%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0"/>
        </w:trPr>
        <w:tc>
          <w:tcPr>
            <w:tcW w:w="504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8"/>
                <w:szCs w:val="18"/>
                <w:b w:val="1"/>
                <w:bCs w:val="1"/>
                <w:color w:val="auto"/>
              </w:rPr>
              <w:t>Total liabilities and net shareholder's equity</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19,945,264</w:t>
            </w:r>
          </w:p>
        </w:tc>
        <w:tc>
          <w:tcPr>
            <w:tcW w:w="1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17,705,898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13,731,054</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45.3%</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12.6%</w:t>
            </w:r>
          </w:p>
        </w:tc>
        <w:tc>
          <w:tcPr>
            <w:tcW w:w="0" w:type="dxa"/>
            <w:vAlign w:val="bottom"/>
          </w:tcPr>
          <w:p>
            <w:pPr>
              <w:spacing w:after="0"/>
              <w:rPr>
                <w:sz w:val="1"/>
                <w:szCs w:val="1"/>
                <w:color w:val="auto"/>
              </w:rPr>
            </w:pPr>
          </w:p>
        </w:tc>
      </w:tr>
      <w:tr>
        <w:trPr>
          <w:trHeight w:val="270"/>
        </w:trPr>
        <w:tc>
          <w:tcPr>
            <w:tcW w:w="504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0"/>
                <w:szCs w:val="20"/>
                <w:color w:val="auto"/>
              </w:rPr>
            </w:pPr>
            <w:r>
              <w:rPr>
                <w:rFonts w:ascii="Arial" w:cs="Arial" w:eastAsia="Arial" w:hAnsi="Arial"/>
                <w:sz w:val="18"/>
                <w:szCs w:val="18"/>
                <w:b w:val="1"/>
                <w:bCs w:val="1"/>
                <w:color w:val="auto"/>
              </w:rPr>
              <w:t>Contingent Credits</w:t>
            </w:r>
          </w:p>
        </w:tc>
        <w:tc>
          <w:tcPr>
            <w:tcW w:w="1140" w:type="dxa"/>
            <w:vAlign w:val="bottom"/>
          </w:tcPr>
          <w:p>
            <w:pPr>
              <w:jc w:val="right"/>
              <w:spacing w:after="0"/>
              <w:rPr>
                <w:sz w:val="20"/>
                <w:szCs w:val="20"/>
                <w:color w:val="auto"/>
              </w:rPr>
            </w:pPr>
            <w:r>
              <w:rPr>
                <w:rFonts w:ascii="Arial" w:cs="Arial" w:eastAsia="Arial" w:hAnsi="Arial"/>
                <w:sz w:val="18"/>
                <w:szCs w:val="18"/>
                <w:color w:val="auto"/>
              </w:rPr>
              <w:t>6,066,208</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5,035,068</w:t>
            </w:r>
          </w:p>
        </w:tc>
        <w:tc>
          <w:tcPr>
            <w:tcW w:w="120" w:type="dxa"/>
            <w:vAlign w:val="bottom"/>
          </w:tcPr>
          <w:p>
            <w:pPr>
              <w:spacing w:after="0"/>
              <w:rPr>
                <w:sz w:val="23"/>
                <w:szCs w:val="2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4,061,570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49.4%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480"/>
        </w:trPr>
        <w:tc>
          <w:tcPr>
            <w:tcW w:w="504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35</w:t>
            </w:r>
          </w:p>
        </w:tc>
        <w:tc>
          <w:tcPr>
            <w:tcW w:w="0" w:type="dxa"/>
            <w:vAlign w:val="bottom"/>
          </w:tcPr>
          <w:p>
            <w:pPr>
              <w:spacing w:after="0"/>
              <w:rPr>
                <w:sz w:val="1"/>
                <w:szCs w:val="1"/>
                <w:color w:val="auto"/>
              </w:rPr>
            </w:pPr>
          </w:p>
        </w:tc>
      </w:tr>
      <w:tr>
        <w:trPr>
          <w:trHeight w:val="118"/>
        </w:trPr>
        <w:tc>
          <w:tcPr>
            <w:tcW w:w="50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53" w:right="239" w:bottom="91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20"/>
                <w:szCs w:val="20"/>
                <w:color w:val="auto"/>
              </w:rPr>
            </w:pPr>
          </w:p>
        </w:tc>
        <w:tc>
          <w:tcPr>
            <w:tcW w:w="1760" w:type="dxa"/>
            <w:vAlign w:val="bottom"/>
            <w:gridSpan w:val="6"/>
          </w:tcPr>
          <w:p>
            <w:pPr>
              <w:ind w:left="520"/>
              <w:spacing w:after="0"/>
              <w:rPr>
                <w:sz w:val="20"/>
                <w:szCs w:val="20"/>
                <w:color w:val="auto"/>
              </w:rPr>
            </w:pPr>
            <w:r>
              <w:rPr>
                <w:rFonts w:ascii="Arial" w:cs="Arial" w:eastAsia="Arial" w:hAnsi="Arial"/>
                <w:sz w:val="18"/>
                <w:szCs w:val="18"/>
                <w:b w:val="1"/>
                <w:bCs w:val="1"/>
                <w:color w:val="auto"/>
              </w:rPr>
              <w:t>Change</w:t>
            </w:r>
          </w:p>
        </w:tc>
        <w:tc>
          <w:tcPr>
            <w:tcW w:w="176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Year ended</w:t>
            </w:r>
          </w:p>
        </w:tc>
        <w:tc>
          <w:tcPr>
            <w:tcW w:w="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Change</w:t>
            </w:r>
          </w:p>
        </w:tc>
      </w:tr>
      <w:tr>
        <w:trPr>
          <w:trHeight w:val="191"/>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top w:val="single" w:sz="8" w:color="auto"/>
            </w:tcBorders>
            <w:gridSpan w:val="2"/>
          </w:tcPr>
          <w:p>
            <w:pPr>
              <w:jc w:val="center"/>
              <w:ind w:left="10"/>
              <w:spacing w:after="0" w:line="191" w:lineRule="exact"/>
              <w:rPr>
                <w:sz w:val="20"/>
                <w:szCs w:val="20"/>
                <w:color w:val="auto"/>
              </w:rPr>
            </w:pPr>
            <w:r>
              <w:rPr>
                <w:rFonts w:ascii="Arial" w:cs="Arial" w:eastAsia="Arial" w:hAnsi="Arial"/>
                <w:sz w:val="18"/>
                <w:szCs w:val="18"/>
                <w:b w:val="1"/>
                <w:bCs w:val="1"/>
                <w:color w:val="auto"/>
                <w:w w:val="98"/>
              </w:rPr>
              <w:t>March</w:t>
            </w:r>
          </w:p>
        </w:tc>
        <w:tc>
          <w:tcPr>
            <w:tcW w:w="120" w:type="dxa"/>
            <w:vAlign w:val="bottom"/>
          </w:tcPr>
          <w:p>
            <w:pPr>
              <w:spacing w:after="0"/>
              <w:rPr>
                <w:sz w:val="16"/>
                <w:szCs w:val="16"/>
                <w:color w:val="auto"/>
              </w:rPr>
            </w:pP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rPr>
              <w:t>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3"/>
              </w:rPr>
              <w:t>1Q08/</w:t>
            </w:r>
          </w:p>
        </w:tc>
        <w:tc>
          <w:tcPr>
            <w:tcW w:w="120" w:type="dxa"/>
            <w:vAlign w:val="bottom"/>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1Q08/</w:t>
            </w:r>
          </w:p>
        </w:tc>
        <w:tc>
          <w:tcPr>
            <w:tcW w:w="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March</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March</w:t>
            </w:r>
          </w:p>
        </w:tc>
        <w:tc>
          <w:tcPr>
            <w:tcW w:w="9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8"/>
              </w:rPr>
              <w:t>March</w:t>
            </w:r>
          </w:p>
        </w:tc>
      </w:tr>
      <w:tr>
        <w:trPr>
          <w:trHeight w:val="234"/>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1Q08</w:t>
            </w:r>
          </w:p>
        </w:tc>
        <w:tc>
          <w:tcPr>
            <w:tcW w:w="1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4Q07</w:t>
            </w:r>
          </w:p>
        </w:tc>
        <w:tc>
          <w:tcPr>
            <w:tcW w:w="1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1Q07</w:t>
            </w:r>
          </w:p>
        </w:tc>
        <w:tc>
          <w:tcPr>
            <w:tcW w:w="120" w:type="dxa"/>
            <w:vAlign w:val="bottom"/>
          </w:tcPr>
          <w:p>
            <w:pPr>
              <w:spacing w:after="0"/>
              <w:rPr>
                <w:sz w:val="20"/>
                <w:szCs w:val="20"/>
                <w:color w:val="auto"/>
              </w:rPr>
            </w:pPr>
          </w:p>
        </w:tc>
        <w:tc>
          <w:tcPr>
            <w:tcW w:w="76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0"/>
              </w:rPr>
              <w:t>1Q07</w:t>
            </w:r>
          </w:p>
        </w:tc>
        <w:tc>
          <w:tcPr>
            <w:tcW w:w="120" w:type="dxa"/>
            <w:vAlign w:val="bottom"/>
          </w:tcPr>
          <w:p>
            <w:pPr>
              <w:spacing w:after="0"/>
              <w:rPr>
                <w:sz w:val="20"/>
                <w:szCs w:val="20"/>
                <w:color w:val="auto"/>
              </w:rPr>
            </w:pPr>
          </w:p>
        </w:tc>
        <w:tc>
          <w:tcPr>
            <w:tcW w:w="8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4Q07</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rPr>
              <w:t>07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520"/>
        </w:trPr>
        <w:tc>
          <w:tcPr>
            <w:tcW w:w="4160" w:type="dxa"/>
            <w:vAlign w:val="bottom"/>
          </w:tcPr>
          <w:p>
            <w:pPr>
              <w:spacing w:after="0"/>
              <w:rPr>
                <w:sz w:val="20"/>
                <w:szCs w:val="20"/>
                <w:color w:val="auto"/>
              </w:rPr>
            </w:pPr>
            <w:r>
              <w:rPr>
                <w:rFonts w:ascii="Arial" w:cs="Arial" w:eastAsia="Arial" w:hAnsi="Arial"/>
                <w:sz w:val="18"/>
                <w:szCs w:val="18"/>
                <w:b w:val="1"/>
                <w:bCs w:val="1"/>
                <w:color w:val="auto"/>
              </w:rPr>
              <w:t>Interest income and expense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43"/>
        </w:trPr>
        <w:tc>
          <w:tcPr>
            <w:tcW w:w="4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Interest and dividend income</w:t>
            </w:r>
          </w:p>
        </w:tc>
        <w:tc>
          <w:tcPr>
            <w:tcW w:w="7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325,264</w:t>
            </w:r>
          </w:p>
        </w:tc>
        <w:tc>
          <w:tcPr>
            <w:tcW w:w="100" w:type="dxa"/>
            <w:vAlign w:val="bottom"/>
            <w:tcBorders>
              <w:right w:val="single" w:sz="8" w:color="CCFFCC"/>
            </w:tcBorders>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325,969</w:t>
            </w:r>
          </w:p>
        </w:tc>
        <w:tc>
          <w:tcPr>
            <w:tcW w:w="180" w:type="dxa"/>
            <w:vAlign w:val="bottom"/>
            <w:tcBorders>
              <w:left w:val="single" w:sz="8" w:color="CCFFCC"/>
              <w:right w:val="single" w:sz="8" w:color="CCFFCC"/>
            </w:tcBorders>
            <w:shd w:val="clear" w:color="auto" w:fill="CCFFCC"/>
          </w:tcPr>
          <w:p>
            <w:pPr>
              <w:spacing w:after="0"/>
              <w:rPr>
                <w:sz w:val="21"/>
                <w:szCs w:val="21"/>
                <w:color w:val="auto"/>
              </w:rPr>
            </w:pPr>
          </w:p>
        </w:tc>
        <w:tc>
          <w:tcPr>
            <w:tcW w:w="880" w:type="dxa"/>
            <w:vAlign w:val="bottom"/>
            <w:tcBorders>
              <w:right w:val="single" w:sz="8" w:color="CCFFCC"/>
            </w:tcBorders>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220,847</w:t>
            </w:r>
          </w:p>
        </w:tc>
        <w:tc>
          <w:tcPr>
            <w:tcW w:w="880" w:type="dxa"/>
            <w:vAlign w:val="bottom"/>
            <w:tcBorders>
              <w:righ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47.3%</w:t>
            </w:r>
          </w:p>
        </w:tc>
        <w:tc>
          <w:tcPr>
            <w:tcW w:w="920" w:type="dxa"/>
            <w:vAlign w:val="bottom"/>
            <w:tcBorders>
              <w:righ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FFCC"/>
          </w:tcPr>
          <w:p>
            <w:pPr>
              <w:spacing w:after="0"/>
              <w:rPr>
                <w:sz w:val="21"/>
                <w:szCs w:val="21"/>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8"/>
              </w:rPr>
              <w:t>325,264</w:t>
            </w:r>
          </w:p>
        </w:tc>
        <w:tc>
          <w:tcPr>
            <w:tcW w:w="220" w:type="dxa"/>
            <w:vAlign w:val="bottom"/>
            <w:tcBorders>
              <w:left w:val="single" w:sz="8" w:color="CCFFCC"/>
              <w:right w:val="single" w:sz="8" w:color="CCFFCC"/>
            </w:tcBorders>
            <w:shd w:val="clear" w:color="auto" w:fill="CCFFCC"/>
          </w:tcPr>
          <w:p>
            <w:pPr>
              <w:spacing w:after="0"/>
              <w:rPr>
                <w:sz w:val="21"/>
                <w:szCs w:val="21"/>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220,847</w:t>
            </w:r>
          </w:p>
        </w:tc>
        <w:tc>
          <w:tcPr>
            <w:tcW w:w="180" w:type="dxa"/>
            <w:vAlign w:val="bottom"/>
            <w:tcBorders>
              <w:left w:val="single" w:sz="8" w:color="CCFFCC"/>
              <w:right w:val="single" w:sz="8" w:color="CCFFCC"/>
            </w:tcBorders>
            <w:shd w:val="clear" w:color="auto" w:fill="CCFFCC"/>
          </w:tcPr>
          <w:p>
            <w:pPr>
              <w:spacing w:after="0"/>
              <w:rPr>
                <w:sz w:val="21"/>
                <w:szCs w:val="21"/>
                <w:color w:val="auto"/>
              </w:rPr>
            </w:pPr>
          </w:p>
        </w:tc>
        <w:tc>
          <w:tcPr>
            <w:tcW w:w="9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47.3%</w:t>
            </w: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(133,174)</w:t>
            </w:r>
          </w:p>
        </w:tc>
        <w:tc>
          <w:tcPr>
            <w:tcW w:w="80" w:type="dxa"/>
            <w:vAlign w:val="bottom"/>
          </w:tcPr>
          <w:p>
            <w:pPr>
              <w:spacing w:after="0"/>
              <w:rPr>
                <w:sz w:val="21"/>
                <w:szCs w:val="21"/>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w w:val="95"/>
              </w:rPr>
              <w:t>(151,213)</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(81,988)</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62.4%</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(133,174)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(81,988)</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62.4%</w:t>
            </w:r>
          </w:p>
        </w:tc>
      </w:tr>
      <w:tr>
        <w:trPr>
          <w:trHeight w:val="20"/>
        </w:trPr>
        <w:tc>
          <w:tcPr>
            <w:tcW w:w="4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37"/>
        </w:trPr>
        <w:tc>
          <w:tcPr>
            <w:tcW w:w="4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interest and dividend income</w:t>
            </w:r>
          </w:p>
        </w:tc>
        <w:tc>
          <w:tcPr>
            <w:tcW w:w="7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192,090</w:t>
            </w:r>
          </w:p>
        </w:tc>
        <w:tc>
          <w:tcPr>
            <w:tcW w:w="100" w:type="dxa"/>
            <w:vAlign w:val="bottom"/>
            <w:tcBorders>
              <w:right w:val="single" w:sz="8" w:color="CCFFCC"/>
            </w:tcBorders>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174,756</w:t>
            </w:r>
          </w:p>
        </w:tc>
        <w:tc>
          <w:tcPr>
            <w:tcW w:w="180" w:type="dxa"/>
            <w:vAlign w:val="bottom"/>
            <w:tcBorders>
              <w:left w:val="single" w:sz="8" w:color="CCFFCC"/>
              <w:right w:val="single" w:sz="8" w:color="CCFFCC"/>
            </w:tcBorders>
            <w:shd w:val="clear" w:color="auto" w:fill="CCFFCC"/>
          </w:tcPr>
          <w:p>
            <w:pPr>
              <w:spacing w:after="0"/>
              <w:rPr>
                <w:sz w:val="20"/>
                <w:szCs w:val="20"/>
                <w:color w:val="auto"/>
              </w:rPr>
            </w:pPr>
          </w:p>
        </w:tc>
        <w:tc>
          <w:tcPr>
            <w:tcW w:w="880" w:type="dxa"/>
            <w:vAlign w:val="bottom"/>
            <w:tcBorders>
              <w:right w:val="single" w:sz="8" w:color="CCFFCC"/>
            </w:tcBorders>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138,859</w:t>
            </w:r>
          </w:p>
        </w:tc>
        <w:tc>
          <w:tcPr>
            <w:tcW w:w="880" w:type="dxa"/>
            <w:vAlign w:val="bottom"/>
            <w:tcBorders>
              <w:righ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38.3%</w:t>
            </w:r>
          </w:p>
        </w:tc>
        <w:tc>
          <w:tcPr>
            <w:tcW w:w="920" w:type="dxa"/>
            <w:vAlign w:val="bottom"/>
            <w:tcBorders>
              <w:righ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FFCC"/>
          </w:tcPr>
          <w:p>
            <w:pPr>
              <w:spacing w:after="0"/>
              <w:rPr>
                <w:sz w:val="20"/>
                <w:szCs w:val="20"/>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8"/>
              </w:rPr>
              <w:t>192,090</w:t>
            </w:r>
          </w:p>
        </w:tc>
        <w:tc>
          <w:tcPr>
            <w:tcW w:w="220" w:type="dxa"/>
            <w:vAlign w:val="bottom"/>
            <w:tcBorders>
              <w:left w:val="single" w:sz="8" w:color="CCFFCC"/>
              <w:right w:val="single" w:sz="8" w:color="CCFFCC"/>
            </w:tcBorders>
            <w:shd w:val="clear" w:color="auto" w:fill="CCFFCC"/>
          </w:tcPr>
          <w:p>
            <w:pPr>
              <w:spacing w:after="0"/>
              <w:rPr>
                <w:sz w:val="20"/>
                <w:szCs w:val="20"/>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138,859</w:t>
            </w:r>
          </w:p>
        </w:tc>
        <w:tc>
          <w:tcPr>
            <w:tcW w:w="180" w:type="dxa"/>
            <w:vAlign w:val="bottom"/>
            <w:tcBorders>
              <w:left w:val="single" w:sz="8" w:color="CCFFCC"/>
              <w:right w:val="single" w:sz="8" w:color="CCFFCC"/>
            </w:tcBorders>
            <w:shd w:val="clear" w:color="auto" w:fill="CCFFCC"/>
          </w:tcPr>
          <w:p>
            <w:pPr>
              <w:spacing w:after="0"/>
              <w:rPr>
                <w:sz w:val="20"/>
                <w:szCs w:val="20"/>
                <w:color w:val="auto"/>
              </w:rPr>
            </w:pPr>
          </w:p>
        </w:tc>
        <w:tc>
          <w:tcPr>
            <w:tcW w:w="9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38.3%</w:t>
            </w:r>
          </w:p>
        </w:tc>
      </w:tr>
      <w:tr>
        <w:trPr>
          <w:trHeight w:val="20"/>
        </w:trPr>
        <w:tc>
          <w:tcPr>
            <w:tcW w:w="41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left w:val="single" w:sz="8" w:color="CCFFCC"/>
              <w:right w:val="single" w:sz="8" w:color="auto"/>
            </w:tcBorders>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left w:val="single" w:sz="8" w:color="CCFFCC"/>
              <w:right w:val="single" w:sz="8" w:color="auto"/>
            </w:tcBorders>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left w:val="single" w:sz="8" w:color="CCFFCC"/>
              <w:right w:val="single" w:sz="8" w:color="auto"/>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FFCC"/>
              <w:right w:val="single" w:sz="8" w:color="auto"/>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37"/>
        </w:trPr>
        <w:tc>
          <w:tcPr>
            <w:tcW w:w="4160" w:type="dxa"/>
            <w:vAlign w:val="bottom"/>
          </w:tcPr>
          <w:p>
            <w:pPr>
              <w:spacing w:after="0"/>
              <w:rPr>
                <w:sz w:val="20"/>
                <w:szCs w:val="20"/>
                <w:color w:val="auto"/>
              </w:rPr>
            </w:pPr>
            <w:r>
              <w:rPr>
                <w:rFonts w:ascii="Arial" w:cs="Arial" w:eastAsia="Arial" w:hAnsi="Arial"/>
                <w:sz w:val="18"/>
                <w:szCs w:val="18"/>
                <w:b w:val="1"/>
                <w:bCs w:val="1"/>
                <w:color w:val="auto"/>
              </w:rPr>
              <w:t>Provision for loan losses</w:t>
            </w:r>
          </w:p>
        </w:tc>
        <w:tc>
          <w:tcPr>
            <w:tcW w:w="88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(16,148)</w:t>
            </w:r>
          </w:p>
        </w:tc>
        <w:tc>
          <w:tcPr>
            <w:tcW w:w="8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(9,926)</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(4,418)</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265.5%</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62.7%</w:t>
            </w:r>
          </w:p>
        </w:tc>
        <w:tc>
          <w:tcPr>
            <w:tcW w:w="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(16,148)</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(4,418)</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265.5%</w:t>
            </w:r>
          </w:p>
        </w:tc>
      </w:tr>
      <w:tr>
        <w:trPr>
          <w:trHeight w:val="243"/>
        </w:trPr>
        <w:tc>
          <w:tcPr>
            <w:tcW w:w="4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Non financial income</w:t>
            </w: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00" w:type="dxa"/>
            <w:vAlign w:val="bottom"/>
            <w:tcBorders>
              <w:right w:val="single" w:sz="8" w:color="CCFFCC"/>
            </w:tcBorders>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180" w:type="dxa"/>
            <w:vAlign w:val="bottom"/>
            <w:tcBorders>
              <w:left w:val="single" w:sz="8" w:color="CCFFCC"/>
              <w:right w:val="single" w:sz="8" w:color="CCFFCC"/>
            </w:tcBorders>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00" w:type="dxa"/>
            <w:vAlign w:val="bottom"/>
            <w:tcBorders>
              <w:right w:val="single" w:sz="8" w:color="CCFFCC"/>
            </w:tcBorders>
            <w:shd w:val="clear" w:color="auto" w:fill="CCFFCC"/>
          </w:tcPr>
          <w:p>
            <w:pPr>
              <w:spacing w:after="0"/>
              <w:rPr>
                <w:sz w:val="21"/>
                <w:szCs w:val="21"/>
                <w:color w:val="auto"/>
              </w:rPr>
            </w:pPr>
          </w:p>
        </w:tc>
        <w:tc>
          <w:tcPr>
            <w:tcW w:w="160" w:type="dxa"/>
            <w:vAlign w:val="bottom"/>
            <w:tcBorders>
              <w:right w:val="single" w:sz="8" w:color="CCFFCC"/>
            </w:tcBorders>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540" w:type="dxa"/>
            <w:vAlign w:val="bottom"/>
            <w:shd w:val="clear" w:color="auto" w:fill="CCFFCC"/>
          </w:tcPr>
          <w:p>
            <w:pPr>
              <w:spacing w:after="0"/>
              <w:rPr>
                <w:sz w:val="21"/>
                <w:szCs w:val="21"/>
                <w:color w:val="auto"/>
              </w:rPr>
            </w:pPr>
          </w:p>
        </w:tc>
        <w:tc>
          <w:tcPr>
            <w:tcW w:w="220" w:type="dxa"/>
            <w:vAlign w:val="bottom"/>
            <w:tcBorders>
              <w:right w:val="single" w:sz="8" w:color="CCFFCC"/>
            </w:tcBorders>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240" w:type="dxa"/>
            <w:vAlign w:val="bottom"/>
            <w:tcBorders>
              <w:left w:val="single" w:sz="8" w:color="CCFFCC"/>
              <w:right w:val="single" w:sz="8" w:color="CCFFCC"/>
            </w:tcBorders>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220" w:type="dxa"/>
            <w:vAlign w:val="bottom"/>
            <w:tcBorders>
              <w:left w:val="single" w:sz="8" w:color="CCFFCC"/>
              <w:right w:val="single" w:sz="8" w:color="CCFFCC"/>
            </w:tcBorders>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180" w:type="dxa"/>
            <w:vAlign w:val="bottom"/>
            <w:tcBorders>
              <w:left w:val="single" w:sz="8" w:color="CCFFCC"/>
              <w:right w:val="single" w:sz="8" w:color="CCFFCC"/>
            </w:tcBorders>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Fee income</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99,231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88,314</w:t>
            </w:r>
          </w:p>
        </w:tc>
        <w:tc>
          <w:tcPr>
            <w:tcW w:w="180" w:type="dxa"/>
            <w:vAlign w:val="bottom"/>
          </w:tcPr>
          <w:p>
            <w:pPr>
              <w:spacing w:after="0"/>
              <w:rPr>
                <w:sz w:val="21"/>
                <w:szCs w:val="21"/>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74,076</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34.0%</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99,231</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74,076</w:t>
            </w:r>
          </w:p>
        </w:tc>
        <w:tc>
          <w:tcPr>
            <w:tcW w:w="180" w:type="dxa"/>
            <w:vAlign w:val="bottom"/>
          </w:tcPr>
          <w:p>
            <w:pPr>
              <w:spacing w:after="0"/>
              <w:rPr>
                <w:sz w:val="21"/>
                <w:szCs w:val="21"/>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34.0%</w:t>
            </w:r>
          </w:p>
        </w:tc>
      </w:tr>
      <w:tr>
        <w:trPr>
          <w:trHeight w:val="243"/>
        </w:trPr>
        <w:tc>
          <w:tcPr>
            <w:tcW w:w="4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gain on foreign exchange transactions</w:t>
            </w:r>
          </w:p>
        </w:tc>
        <w:tc>
          <w:tcPr>
            <w:tcW w:w="7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20,606</w:t>
            </w:r>
          </w:p>
        </w:tc>
        <w:tc>
          <w:tcPr>
            <w:tcW w:w="100" w:type="dxa"/>
            <w:vAlign w:val="bottom"/>
            <w:tcBorders>
              <w:right w:val="single" w:sz="8" w:color="CCFFCC"/>
            </w:tcBorders>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22,316</w:t>
            </w:r>
          </w:p>
        </w:tc>
        <w:tc>
          <w:tcPr>
            <w:tcW w:w="180" w:type="dxa"/>
            <w:vAlign w:val="bottom"/>
            <w:tcBorders>
              <w:left w:val="single" w:sz="8" w:color="CCFFCC"/>
              <w:right w:val="single" w:sz="8" w:color="CCFFCC"/>
            </w:tcBorders>
            <w:shd w:val="clear" w:color="auto" w:fill="CCFFCC"/>
          </w:tcPr>
          <w:p>
            <w:pPr>
              <w:spacing w:after="0"/>
              <w:rPr>
                <w:sz w:val="21"/>
                <w:szCs w:val="21"/>
                <w:color w:val="auto"/>
              </w:rPr>
            </w:pPr>
          </w:p>
        </w:tc>
        <w:tc>
          <w:tcPr>
            <w:tcW w:w="880" w:type="dxa"/>
            <w:vAlign w:val="bottom"/>
            <w:tcBorders>
              <w:right w:val="single" w:sz="8" w:color="CCFFCC"/>
            </w:tcBorders>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11,956</w:t>
            </w:r>
          </w:p>
        </w:tc>
        <w:tc>
          <w:tcPr>
            <w:tcW w:w="880" w:type="dxa"/>
            <w:vAlign w:val="bottom"/>
            <w:tcBorders>
              <w:righ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72.4%</w:t>
            </w:r>
          </w:p>
        </w:tc>
        <w:tc>
          <w:tcPr>
            <w:tcW w:w="920" w:type="dxa"/>
            <w:vAlign w:val="bottom"/>
            <w:tcBorders>
              <w:righ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FFCC"/>
          </w:tcPr>
          <w:p>
            <w:pPr>
              <w:spacing w:after="0"/>
              <w:rPr>
                <w:sz w:val="21"/>
                <w:szCs w:val="21"/>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20,606</w:t>
            </w:r>
          </w:p>
        </w:tc>
        <w:tc>
          <w:tcPr>
            <w:tcW w:w="220" w:type="dxa"/>
            <w:vAlign w:val="bottom"/>
            <w:tcBorders>
              <w:left w:val="single" w:sz="8" w:color="CCFFCC"/>
              <w:right w:val="single" w:sz="8" w:color="CCFFCC"/>
            </w:tcBorders>
            <w:shd w:val="clear" w:color="auto" w:fill="CCFFCC"/>
          </w:tcPr>
          <w:p>
            <w:pPr>
              <w:spacing w:after="0"/>
              <w:rPr>
                <w:sz w:val="21"/>
                <w:szCs w:val="21"/>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11,956</w:t>
            </w:r>
          </w:p>
        </w:tc>
        <w:tc>
          <w:tcPr>
            <w:tcW w:w="180" w:type="dxa"/>
            <w:vAlign w:val="bottom"/>
            <w:tcBorders>
              <w:left w:val="single" w:sz="8" w:color="CCFFCC"/>
              <w:right w:val="single" w:sz="8" w:color="CCFFCC"/>
            </w:tcBorders>
            <w:shd w:val="clear" w:color="auto" w:fill="CCFFCC"/>
          </w:tcPr>
          <w:p>
            <w:pPr>
              <w:spacing w:after="0"/>
              <w:rPr>
                <w:sz w:val="21"/>
                <w:szCs w:val="21"/>
                <w:color w:val="auto"/>
              </w:rPr>
            </w:pPr>
          </w:p>
        </w:tc>
        <w:tc>
          <w:tcPr>
            <w:tcW w:w="9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72.4%</w:t>
            </w: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Net gain on sales of securities</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24,230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3,643</w:t>
            </w:r>
          </w:p>
        </w:tc>
        <w:tc>
          <w:tcPr>
            <w:tcW w:w="180" w:type="dxa"/>
            <w:vAlign w:val="bottom"/>
          </w:tcPr>
          <w:p>
            <w:pPr>
              <w:spacing w:after="0"/>
              <w:rPr>
                <w:sz w:val="21"/>
                <w:szCs w:val="21"/>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17,945</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35.0%</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565.0%</w:t>
            </w: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24,230</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17,945</w:t>
            </w:r>
          </w:p>
        </w:tc>
        <w:tc>
          <w:tcPr>
            <w:tcW w:w="180" w:type="dxa"/>
            <w:vAlign w:val="bottom"/>
          </w:tcPr>
          <w:p>
            <w:pPr>
              <w:spacing w:after="0"/>
              <w:rPr>
                <w:sz w:val="21"/>
                <w:szCs w:val="21"/>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35.0%</w:t>
            </w:r>
          </w:p>
        </w:tc>
      </w:tr>
      <w:tr>
        <w:trPr>
          <w:trHeight w:val="243"/>
        </w:trPr>
        <w:tc>
          <w:tcPr>
            <w:tcW w:w="4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Other</w:t>
            </w:r>
          </w:p>
        </w:tc>
        <w:tc>
          <w:tcPr>
            <w:tcW w:w="7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7,982</w:t>
            </w:r>
          </w:p>
        </w:tc>
        <w:tc>
          <w:tcPr>
            <w:tcW w:w="100" w:type="dxa"/>
            <w:vAlign w:val="bottom"/>
            <w:tcBorders>
              <w:right w:val="single" w:sz="8" w:color="CCFFCC"/>
            </w:tcBorders>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7,769</w:t>
            </w:r>
          </w:p>
        </w:tc>
        <w:tc>
          <w:tcPr>
            <w:tcW w:w="180" w:type="dxa"/>
            <w:vAlign w:val="bottom"/>
            <w:tcBorders>
              <w:left w:val="single" w:sz="8" w:color="CCFFCC"/>
              <w:right w:val="single" w:sz="8" w:color="CCFFCC"/>
            </w:tcBorders>
            <w:shd w:val="clear" w:color="auto" w:fill="CCFFCC"/>
          </w:tcPr>
          <w:p>
            <w:pPr>
              <w:spacing w:after="0"/>
              <w:rPr>
                <w:sz w:val="21"/>
                <w:szCs w:val="21"/>
                <w:color w:val="auto"/>
              </w:rPr>
            </w:pPr>
          </w:p>
        </w:tc>
        <w:tc>
          <w:tcPr>
            <w:tcW w:w="880" w:type="dxa"/>
            <w:vAlign w:val="bottom"/>
            <w:tcBorders>
              <w:right w:val="single" w:sz="8" w:color="CCFFCC"/>
            </w:tcBorders>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7,217</w:t>
            </w:r>
          </w:p>
        </w:tc>
        <w:tc>
          <w:tcPr>
            <w:tcW w:w="880" w:type="dxa"/>
            <w:vAlign w:val="bottom"/>
            <w:tcBorders>
              <w:righ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10.6%</w:t>
            </w:r>
          </w:p>
        </w:tc>
        <w:tc>
          <w:tcPr>
            <w:tcW w:w="920" w:type="dxa"/>
            <w:vAlign w:val="bottom"/>
            <w:tcBorders>
              <w:righ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FFCC"/>
          </w:tcPr>
          <w:p>
            <w:pPr>
              <w:spacing w:after="0"/>
              <w:rPr>
                <w:sz w:val="21"/>
                <w:szCs w:val="21"/>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7,982</w:t>
            </w:r>
          </w:p>
        </w:tc>
        <w:tc>
          <w:tcPr>
            <w:tcW w:w="220" w:type="dxa"/>
            <w:vAlign w:val="bottom"/>
            <w:tcBorders>
              <w:left w:val="single" w:sz="8" w:color="CCFFCC"/>
              <w:right w:val="single" w:sz="8" w:color="CCFFCC"/>
            </w:tcBorders>
            <w:shd w:val="clear" w:color="auto" w:fill="CCFFCC"/>
          </w:tcPr>
          <w:p>
            <w:pPr>
              <w:spacing w:after="0"/>
              <w:rPr>
                <w:sz w:val="21"/>
                <w:szCs w:val="21"/>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7,217</w:t>
            </w:r>
          </w:p>
        </w:tc>
        <w:tc>
          <w:tcPr>
            <w:tcW w:w="180" w:type="dxa"/>
            <w:vAlign w:val="bottom"/>
            <w:tcBorders>
              <w:left w:val="single" w:sz="8" w:color="CCFFCC"/>
              <w:right w:val="single" w:sz="8" w:color="CCFFCC"/>
            </w:tcBorders>
            <w:shd w:val="clear" w:color="auto" w:fill="CCFFCC"/>
          </w:tcPr>
          <w:p>
            <w:pPr>
              <w:spacing w:after="0"/>
              <w:rPr>
                <w:sz w:val="21"/>
                <w:szCs w:val="21"/>
                <w:color w:val="auto"/>
              </w:rPr>
            </w:pPr>
          </w:p>
        </w:tc>
        <w:tc>
          <w:tcPr>
            <w:tcW w:w="9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10.6%</w:t>
            </w:r>
          </w:p>
        </w:tc>
      </w:tr>
      <w:tr>
        <w:trPr>
          <w:trHeight w:val="191"/>
        </w:trPr>
        <w:tc>
          <w:tcPr>
            <w:tcW w:w="4160" w:type="dxa"/>
            <w:vAlign w:val="bottom"/>
            <w:tcBorders>
              <w:top w:val="single" w:sz="8" w:color="CCFFCC"/>
            </w:tcBorders>
          </w:tcPr>
          <w:p>
            <w:pPr>
              <w:ind w:left="340"/>
              <w:spacing w:after="0" w:line="191" w:lineRule="exact"/>
              <w:rPr>
                <w:sz w:val="20"/>
                <w:szCs w:val="20"/>
                <w:color w:val="auto"/>
              </w:rPr>
            </w:pPr>
            <w:r>
              <w:rPr>
                <w:rFonts w:ascii="Arial" w:cs="Arial" w:eastAsia="Arial" w:hAnsi="Arial"/>
                <w:sz w:val="18"/>
                <w:szCs w:val="18"/>
                <w:b w:val="1"/>
                <w:bCs w:val="1"/>
                <w:color w:val="auto"/>
              </w:rPr>
              <w:t>Total fees and income from services,</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80" w:type="dxa"/>
            <w:vAlign w:val="bottom"/>
            <w:tcBorders>
              <w:top w:val="single" w:sz="8" w:color="CCFFC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Borders>
              <w:top w:val="single" w:sz="8" w:color="CCFFC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Borders>
              <w:top w:val="single" w:sz="8" w:color="CCFFC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40" w:type="dxa"/>
            <w:vAlign w:val="bottom"/>
            <w:tcBorders>
              <w:top w:val="single" w:sz="8" w:color="CCFFCC"/>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CCFFCC"/>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CCFFCC"/>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CCFFCC"/>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r>
      <w:tr>
        <w:trPr>
          <w:trHeight w:val="234"/>
        </w:trPr>
        <w:tc>
          <w:tcPr>
            <w:tcW w:w="4160" w:type="dxa"/>
            <w:vAlign w:val="bottom"/>
          </w:tcPr>
          <w:p>
            <w:pPr>
              <w:ind w:left="340"/>
              <w:spacing w:after="0"/>
              <w:rPr>
                <w:sz w:val="20"/>
                <w:szCs w:val="20"/>
                <w:color w:val="auto"/>
              </w:rPr>
            </w:pPr>
            <w:r>
              <w:rPr>
                <w:rFonts w:ascii="Arial" w:cs="Arial" w:eastAsia="Arial" w:hAnsi="Arial"/>
                <w:sz w:val="18"/>
                <w:szCs w:val="18"/>
                <w:b w:val="1"/>
                <w:bCs w:val="1"/>
                <w:color w:val="auto"/>
              </w:rPr>
              <w:t>net</w:t>
            </w:r>
          </w:p>
        </w:tc>
        <w:tc>
          <w:tcPr>
            <w:tcW w:w="780" w:type="dxa"/>
            <w:vAlign w:val="bottom"/>
            <w:gridSpan w:val="3"/>
          </w:tcPr>
          <w:p>
            <w:pPr>
              <w:jc w:val="right"/>
              <w:spacing w:after="0"/>
              <w:rPr>
                <w:sz w:val="20"/>
                <w:szCs w:val="20"/>
                <w:color w:val="auto"/>
              </w:rPr>
            </w:pPr>
            <w:r>
              <w:rPr>
                <w:rFonts w:ascii="Arial" w:cs="Arial" w:eastAsia="Arial" w:hAnsi="Arial"/>
                <w:sz w:val="18"/>
                <w:szCs w:val="18"/>
                <w:b w:val="1"/>
                <w:bCs w:val="1"/>
                <w:color w:val="auto"/>
              </w:rPr>
              <w:t>152,048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122,043</w:t>
            </w:r>
          </w:p>
        </w:tc>
        <w:tc>
          <w:tcPr>
            <w:tcW w:w="180" w:type="dxa"/>
            <w:vAlign w:val="bottom"/>
          </w:tcPr>
          <w:p>
            <w:pPr>
              <w:spacing w:after="0"/>
              <w:rPr>
                <w:sz w:val="20"/>
                <w:szCs w:val="20"/>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111,194</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36.7%</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24.6%</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152,048</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111,194</w:t>
            </w:r>
          </w:p>
        </w:tc>
        <w:tc>
          <w:tcPr>
            <w:tcW w:w="180" w:type="dxa"/>
            <w:vAlign w:val="bottom"/>
          </w:tcPr>
          <w:p>
            <w:pPr>
              <w:spacing w:after="0"/>
              <w:rPr>
                <w:sz w:val="20"/>
                <w:szCs w:val="20"/>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20.7%</w:t>
            </w:r>
          </w:p>
        </w:tc>
      </w:tr>
      <w:tr>
        <w:trPr>
          <w:trHeight w:val="243"/>
        </w:trPr>
        <w:tc>
          <w:tcPr>
            <w:tcW w:w="4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Insurance premiums and claims</w:t>
            </w: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00" w:type="dxa"/>
            <w:vAlign w:val="bottom"/>
            <w:tcBorders>
              <w:right w:val="single" w:sz="8" w:color="CCFFCC"/>
            </w:tcBorders>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180" w:type="dxa"/>
            <w:vAlign w:val="bottom"/>
            <w:tcBorders>
              <w:left w:val="single" w:sz="8" w:color="CCFFCC"/>
              <w:right w:val="single" w:sz="8" w:color="CCFFCC"/>
            </w:tcBorders>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00" w:type="dxa"/>
            <w:vAlign w:val="bottom"/>
            <w:tcBorders>
              <w:right w:val="single" w:sz="8" w:color="CCFFCC"/>
            </w:tcBorders>
            <w:shd w:val="clear" w:color="auto" w:fill="CCFFCC"/>
          </w:tcPr>
          <w:p>
            <w:pPr>
              <w:spacing w:after="0"/>
              <w:rPr>
                <w:sz w:val="21"/>
                <w:szCs w:val="21"/>
                <w:color w:val="auto"/>
              </w:rPr>
            </w:pPr>
          </w:p>
        </w:tc>
        <w:tc>
          <w:tcPr>
            <w:tcW w:w="160" w:type="dxa"/>
            <w:vAlign w:val="bottom"/>
            <w:tcBorders>
              <w:right w:val="single" w:sz="8" w:color="CCFFCC"/>
            </w:tcBorders>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540" w:type="dxa"/>
            <w:vAlign w:val="bottom"/>
            <w:shd w:val="clear" w:color="auto" w:fill="CCFFCC"/>
          </w:tcPr>
          <w:p>
            <w:pPr>
              <w:spacing w:after="0"/>
              <w:rPr>
                <w:sz w:val="21"/>
                <w:szCs w:val="21"/>
                <w:color w:val="auto"/>
              </w:rPr>
            </w:pPr>
          </w:p>
        </w:tc>
        <w:tc>
          <w:tcPr>
            <w:tcW w:w="220" w:type="dxa"/>
            <w:vAlign w:val="bottom"/>
            <w:tcBorders>
              <w:right w:val="single" w:sz="8" w:color="CCFFCC"/>
            </w:tcBorders>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240" w:type="dxa"/>
            <w:vAlign w:val="bottom"/>
            <w:tcBorders>
              <w:left w:val="single" w:sz="8" w:color="CCFFCC"/>
              <w:right w:val="single" w:sz="8" w:color="CCFFCC"/>
            </w:tcBorders>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220" w:type="dxa"/>
            <w:vAlign w:val="bottom"/>
            <w:tcBorders>
              <w:left w:val="single" w:sz="8" w:color="CCFFCC"/>
              <w:right w:val="single" w:sz="8" w:color="CCFFCC"/>
            </w:tcBorders>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180" w:type="dxa"/>
            <w:vAlign w:val="bottom"/>
            <w:tcBorders>
              <w:left w:val="single" w:sz="8" w:color="CCFFCC"/>
              <w:right w:val="single" w:sz="8" w:color="CCFFCC"/>
            </w:tcBorders>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88,390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81,113</w:t>
            </w:r>
          </w:p>
        </w:tc>
        <w:tc>
          <w:tcPr>
            <w:tcW w:w="180" w:type="dxa"/>
            <w:vAlign w:val="bottom"/>
          </w:tcPr>
          <w:p>
            <w:pPr>
              <w:spacing w:after="0"/>
              <w:rPr>
                <w:sz w:val="21"/>
                <w:szCs w:val="21"/>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69,991</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26.3%</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88,390</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69,991</w:t>
            </w:r>
          </w:p>
        </w:tc>
        <w:tc>
          <w:tcPr>
            <w:tcW w:w="180" w:type="dxa"/>
            <w:vAlign w:val="bottom"/>
          </w:tcPr>
          <w:p>
            <w:pPr>
              <w:spacing w:after="0"/>
              <w:rPr>
                <w:sz w:val="21"/>
                <w:szCs w:val="21"/>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26.3%</w:t>
            </w:r>
          </w:p>
        </w:tc>
      </w:tr>
      <w:tr>
        <w:trPr>
          <w:trHeight w:val="243"/>
        </w:trPr>
        <w:tc>
          <w:tcPr>
            <w:tcW w:w="4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claims incurred</w:t>
            </w:r>
          </w:p>
        </w:tc>
        <w:tc>
          <w:tcPr>
            <w:tcW w:w="880" w:type="dxa"/>
            <w:vAlign w:val="bottom"/>
            <w:tcBorders>
              <w:right w:val="single" w:sz="8" w:color="CCFFCC"/>
            </w:tcBorders>
            <w:gridSpan w:val="4"/>
            <w:shd w:val="clear" w:color="auto" w:fill="CCFFCC"/>
          </w:tcPr>
          <w:p>
            <w:pPr>
              <w:jc w:val="right"/>
              <w:ind w:right="40"/>
              <w:spacing w:after="0"/>
              <w:rPr>
                <w:sz w:val="20"/>
                <w:szCs w:val="20"/>
                <w:color w:val="auto"/>
              </w:rPr>
            </w:pPr>
            <w:r>
              <w:rPr>
                <w:rFonts w:ascii="Arial" w:cs="Arial" w:eastAsia="Arial" w:hAnsi="Arial"/>
                <w:sz w:val="18"/>
                <w:szCs w:val="18"/>
                <w:color w:val="auto"/>
              </w:rPr>
              <w:t>(19,854)</w:t>
            </w:r>
          </w:p>
        </w:tc>
        <w:tc>
          <w:tcPr>
            <w:tcW w:w="80" w:type="dxa"/>
            <w:vAlign w:val="bottom"/>
            <w:shd w:val="clear" w:color="auto" w:fill="CCFFCC"/>
          </w:tcPr>
          <w:p>
            <w:pPr>
              <w:spacing w:after="0"/>
              <w:rPr>
                <w:sz w:val="21"/>
                <w:szCs w:val="21"/>
                <w:color w:val="auto"/>
              </w:rPr>
            </w:pPr>
          </w:p>
        </w:tc>
        <w:tc>
          <w:tcPr>
            <w:tcW w:w="880" w:type="dxa"/>
            <w:vAlign w:val="bottom"/>
            <w:tcBorders>
              <w:righ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(20,516)</w:t>
            </w:r>
          </w:p>
        </w:tc>
        <w:tc>
          <w:tcPr>
            <w:tcW w:w="880" w:type="dxa"/>
            <w:vAlign w:val="bottom"/>
            <w:tcBorders>
              <w:righ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(13,539)</w:t>
            </w:r>
          </w:p>
        </w:tc>
        <w:tc>
          <w:tcPr>
            <w:tcW w:w="880" w:type="dxa"/>
            <w:vAlign w:val="bottom"/>
            <w:tcBorders>
              <w:righ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46.6%</w:t>
            </w:r>
          </w:p>
        </w:tc>
        <w:tc>
          <w:tcPr>
            <w:tcW w:w="920" w:type="dxa"/>
            <w:vAlign w:val="bottom"/>
            <w:tcBorders>
              <w:righ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FFCC"/>
          </w:tcPr>
          <w:p>
            <w:pPr>
              <w:spacing w:after="0"/>
              <w:rPr>
                <w:sz w:val="21"/>
                <w:szCs w:val="21"/>
                <w:color w:val="auto"/>
              </w:rPr>
            </w:pPr>
          </w:p>
        </w:tc>
        <w:tc>
          <w:tcPr>
            <w:tcW w:w="88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(19,854)</w:t>
            </w:r>
          </w:p>
        </w:tc>
        <w:tc>
          <w:tcPr>
            <w:tcW w:w="8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(13,539)</w:t>
            </w:r>
          </w:p>
        </w:tc>
        <w:tc>
          <w:tcPr>
            <w:tcW w:w="9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46.6%</w:t>
            </w: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Increase in cost for life and health policies</w:t>
            </w: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(56,237)</w:t>
            </w:r>
          </w:p>
        </w:tc>
        <w:tc>
          <w:tcPr>
            <w:tcW w:w="80" w:type="dxa"/>
            <w:vAlign w:val="bottom"/>
          </w:tcPr>
          <w:p>
            <w:pPr>
              <w:spacing w:after="0"/>
              <w:rPr>
                <w:sz w:val="21"/>
                <w:szCs w:val="21"/>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(48,374)</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(39,089)</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43.9%</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(56,237)</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(39,089)</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43.9%</w:t>
            </w:r>
          </w:p>
        </w:tc>
      </w:tr>
      <w:tr>
        <w:trPr>
          <w:trHeight w:val="20"/>
        </w:trPr>
        <w:tc>
          <w:tcPr>
            <w:tcW w:w="4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4"/>
        </w:trPr>
        <w:tc>
          <w:tcPr>
            <w:tcW w:w="41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 other operating income, net</w:t>
            </w:r>
          </w:p>
        </w:tc>
        <w:tc>
          <w:tcPr>
            <w:tcW w:w="780" w:type="dxa"/>
            <w:vAlign w:val="bottom"/>
            <w:gridSpan w:val="3"/>
            <w:shd w:val="clear" w:color="auto" w:fill="CCFFCC"/>
          </w:tcPr>
          <w:p>
            <w:pPr>
              <w:jc w:val="right"/>
              <w:spacing w:after="0"/>
              <w:rPr>
                <w:sz w:val="20"/>
                <w:szCs w:val="20"/>
                <w:color w:val="auto"/>
              </w:rPr>
            </w:pPr>
            <w:r>
              <w:rPr>
                <w:rFonts w:ascii="Arial" w:cs="Arial" w:eastAsia="Arial" w:hAnsi="Arial"/>
                <w:sz w:val="18"/>
                <w:szCs w:val="18"/>
                <w:b w:val="1"/>
                <w:bCs w:val="1"/>
                <w:color w:val="auto"/>
              </w:rPr>
              <w:t>12,298</w:t>
            </w:r>
          </w:p>
        </w:tc>
        <w:tc>
          <w:tcPr>
            <w:tcW w:w="100" w:type="dxa"/>
            <w:vAlign w:val="bottom"/>
            <w:tcBorders>
              <w:right w:val="single" w:sz="8" w:color="CCFFCC"/>
            </w:tcBorders>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12,222</w:t>
            </w:r>
          </w:p>
        </w:tc>
        <w:tc>
          <w:tcPr>
            <w:tcW w:w="180" w:type="dxa"/>
            <w:vAlign w:val="bottom"/>
            <w:tcBorders>
              <w:left w:val="single" w:sz="8" w:color="CCFFCC"/>
              <w:right w:val="single" w:sz="8" w:color="CCFFCC"/>
            </w:tcBorders>
            <w:shd w:val="clear" w:color="auto" w:fill="CCFFCC"/>
          </w:tcPr>
          <w:p>
            <w:pPr>
              <w:spacing w:after="0"/>
              <w:rPr>
                <w:sz w:val="22"/>
                <w:szCs w:val="22"/>
                <w:color w:val="auto"/>
              </w:rPr>
            </w:pPr>
          </w:p>
        </w:tc>
        <w:tc>
          <w:tcPr>
            <w:tcW w:w="880" w:type="dxa"/>
            <w:vAlign w:val="bottom"/>
            <w:tcBorders>
              <w:right w:val="single" w:sz="8" w:color="CCFFCC"/>
            </w:tcBorders>
            <w:gridSpan w:val="3"/>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17,363</w:t>
            </w:r>
          </w:p>
        </w:tc>
        <w:tc>
          <w:tcPr>
            <w:tcW w:w="880" w:type="dxa"/>
            <w:vAlign w:val="bottom"/>
            <w:tcBorders>
              <w:right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-29.2%</w:t>
            </w:r>
          </w:p>
        </w:tc>
        <w:tc>
          <w:tcPr>
            <w:tcW w:w="920" w:type="dxa"/>
            <w:vAlign w:val="bottom"/>
            <w:tcBorders>
              <w:righ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0.6%</w:t>
            </w:r>
          </w:p>
        </w:tc>
        <w:tc>
          <w:tcPr>
            <w:tcW w:w="80" w:type="dxa"/>
            <w:vAlign w:val="bottom"/>
            <w:shd w:val="clear" w:color="auto" w:fill="CCFFCC"/>
          </w:tcPr>
          <w:p>
            <w:pPr>
              <w:spacing w:after="0"/>
              <w:rPr>
                <w:sz w:val="22"/>
                <w:szCs w:val="22"/>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12,298</w:t>
            </w:r>
          </w:p>
        </w:tc>
        <w:tc>
          <w:tcPr>
            <w:tcW w:w="220" w:type="dxa"/>
            <w:vAlign w:val="bottom"/>
            <w:tcBorders>
              <w:left w:val="single" w:sz="8" w:color="CCFFCC"/>
              <w:right w:val="single" w:sz="8" w:color="CCFFCC"/>
            </w:tcBorders>
            <w:shd w:val="clear" w:color="auto" w:fill="CCFFCC"/>
          </w:tcPr>
          <w:p>
            <w:pPr>
              <w:spacing w:after="0"/>
              <w:rPr>
                <w:sz w:val="22"/>
                <w:szCs w:val="22"/>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17,363</w:t>
            </w:r>
          </w:p>
        </w:tc>
        <w:tc>
          <w:tcPr>
            <w:tcW w:w="180" w:type="dxa"/>
            <w:vAlign w:val="bottom"/>
            <w:tcBorders>
              <w:left w:val="single" w:sz="8" w:color="CCFFCC"/>
              <w:right w:val="single" w:sz="8" w:color="CCFFCC"/>
            </w:tcBorders>
            <w:shd w:val="clear" w:color="auto" w:fill="CCFFCC"/>
          </w:tcPr>
          <w:p>
            <w:pPr>
              <w:spacing w:after="0"/>
              <w:rPr>
                <w:sz w:val="22"/>
                <w:szCs w:val="22"/>
                <w:color w:val="auto"/>
              </w:rPr>
            </w:pPr>
          </w:p>
        </w:tc>
        <w:tc>
          <w:tcPr>
            <w:tcW w:w="9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-29.2%</w:t>
            </w:r>
          </w:p>
        </w:tc>
      </w:tr>
      <w:tr>
        <w:trPr>
          <w:trHeight w:val="243"/>
        </w:trPr>
        <w:tc>
          <w:tcPr>
            <w:tcW w:w="41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Salaries and employees benefits</w:t>
            </w:r>
          </w:p>
        </w:tc>
        <w:tc>
          <w:tcPr>
            <w:tcW w:w="880" w:type="dxa"/>
            <w:vAlign w:val="bottom"/>
            <w:tcBorders>
              <w:right w:val="single" w:sz="8" w:color="CCFFCC"/>
            </w:tcBorders>
            <w:gridSpan w:val="4"/>
            <w:shd w:val="clear" w:color="auto" w:fill="CCFFCC"/>
          </w:tcPr>
          <w:p>
            <w:pPr>
              <w:jc w:val="right"/>
              <w:ind w:right="40"/>
              <w:spacing w:after="0"/>
              <w:rPr>
                <w:sz w:val="20"/>
                <w:szCs w:val="20"/>
                <w:color w:val="auto"/>
              </w:rPr>
            </w:pPr>
            <w:r>
              <w:rPr>
                <w:rFonts w:ascii="Arial" w:cs="Arial" w:eastAsia="Arial" w:hAnsi="Arial"/>
                <w:sz w:val="18"/>
                <w:szCs w:val="18"/>
                <w:color w:val="auto"/>
              </w:rPr>
              <w:t>(88,724)</w:t>
            </w:r>
          </w:p>
        </w:tc>
        <w:tc>
          <w:tcPr>
            <w:tcW w:w="80" w:type="dxa"/>
            <w:vAlign w:val="bottom"/>
            <w:shd w:val="clear" w:color="auto" w:fill="CCFFCC"/>
          </w:tcPr>
          <w:p>
            <w:pPr>
              <w:spacing w:after="0"/>
              <w:rPr>
                <w:sz w:val="21"/>
                <w:szCs w:val="21"/>
                <w:color w:val="auto"/>
              </w:rPr>
            </w:pPr>
          </w:p>
        </w:tc>
        <w:tc>
          <w:tcPr>
            <w:tcW w:w="880" w:type="dxa"/>
            <w:vAlign w:val="bottom"/>
            <w:tcBorders>
              <w:righ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(89,585)</w:t>
            </w:r>
          </w:p>
        </w:tc>
        <w:tc>
          <w:tcPr>
            <w:tcW w:w="880" w:type="dxa"/>
            <w:vAlign w:val="bottom"/>
            <w:tcBorders>
              <w:righ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(68,978)</w:t>
            </w:r>
          </w:p>
        </w:tc>
        <w:tc>
          <w:tcPr>
            <w:tcW w:w="880" w:type="dxa"/>
            <w:vAlign w:val="bottom"/>
            <w:tcBorders>
              <w:righ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28.6%</w:t>
            </w:r>
          </w:p>
        </w:tc>
        <w:tc>
          <w:tcPr>
            <w:tcW w:w="920" w:type="dxa"/>
            <w:vAlign w:val="bottom"/>
            <w:tcBorders>
              <w:righ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FFCC"/>
          </w:tcPr>
          <w:p>
            <w:pPr>
              <w:spacing w:after="0"/>
              <w:rPr>
                <w:sz w:val="21"/>
                <w:szCs w:val="21"/>
                <w:color w:val="auto"/>
              </w:rPr>
            </w:pPr>
          </w:p>
        </w:tc>
        <w:tc>
          <w:tcPr>
            <w:tcW w:w="88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(88,724)</w:t>
            </w:r>
          </w:p>
        </w:tc>
        <w:tc>
          <w:tcPr>
            <w:tcW w:w="8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(68,978)</w:t>
            </w:r>
          </w:p>
        </w:tc>
        <w:tc>
          <w:tcPr>
            <w:tcW w:w="9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28.6%</w:t>
            </w: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Administrative, general and tax expenses</w:t>
            </w: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(58,396)</w:t>
            </w:r>
          </w:p>
        </w:tc>
        <w:tc>
          <w:tcPr>
            <w:tcW w:w="80" w:type="dxa"/>
            <w:vAlign w:val="bottom"/>
          </w:tcPr>
          <w:p>
            <w:pPr>
              <w:spacing w:after="0"/>
              <w:rPr>
                <w:sz w:val="21"/>
                <w:szCs w:val="21"/>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(66,366)</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(43,843)</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33.2%</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(58,396)</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(43,843)</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33.2%</w:t>
            </w:r>
          </w:p>
        </w:tc>
      </w:tr>
      <w:tr>
        <w:trPr>
          <w:trHeight w:val="243"/>
        </w:trPr>
        <w:tc>
          <w:tcPr>
            <w:tcW w:w="4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Depreciation and amortization</w:t>
            </w:r>
          </w:p>
        </w:tc>
        <w:tc>
          <w:tcPr>
            <w:tcW w:w="880" w:type="dxa"/>
            <w:vAlign w:val="bottom"/>
            <w:tcBorders>
              <w:right w:val="single" w:sz="8" w:color="CCFFCC"/>
            </w:tcBorders>
            <w:gridSpan w:val="4"/>
            <w:shd w:val="clear" w:color="auto" w:fill="CCFFCC"/>
          </w:tcPr>
          <w:p>
            <w:pPr>
              <w:jc w:val="right"/>
              <w:ind w:right="40"/>
              <w:spacing w:after="0"/>
              <w:rPr>
                <w:sz w:val="20"/>
                <w:szCs w:val="20"/>
                <w:color w:val="auto"/>
              </w:rPr>
            </w:pPr>
            <w:r>
              <w:rPr>
                <w:rFonts w:ascii="Arial" w:cs="Arial" w:eastAsia="Arial" w:hAnsi="Arial"/>
                <w:sz w:val="18"/>
                <w:szCs w:val="18"/>
                <w:color w:val="auto"/>
              </w:rPr>
              <w:t>(13,733)</w:t>
            </w:r>
          </w:p>
        </w:tc>
        <w:tc>
          <w:tcPr>
            <w:tcW w:w="80" w:type="dxa"/>
            <w:vAlign w:val="bottom"/>
            <w:shd w:val="clear" w:color="auto" w:fill="CCFFCC"/>
          </w:tcPr>
          <w:p>
            <w:pPr>
              <w:spacing w:after="0"/>
              <w:rPr>
                <w:sz w:val="21"/>
                <w:szCs w:val="21"/>
                <w:color w:val="auto"/>
              </w:rPr>
            </w:pPr>
          </w:p>
        </w:tc>
        <w:tc>
          <w:tcPr>
            <w:tcW w:w="880" w:type="dxa"/>
            <w:vAlign w:val="bottom"/>
            <w:tcBorders>
              <w:righ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(13,363)</w:t>
            </w:r>
          </w:p>
        </w:tc>
        <w:tc>
          <w:tcPr>
            <w:tcW w:w="880" w:type="dxa"/>
            <w:vAlign w:val="bottom"/>
            <w:tcBorders>
              <w:righ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(12,465)</w:t>
            </w:r>
          </w:p>
        </w:tc>
        <w:tc>
          <w:tcPr>
            <w:tcW w:w="880" w:type="dxa"/>
            <w:vAlign w:val="bottom"/>
            <w:tcBorders>
              <w:righ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10.2%</w:t>
            </w:r>
          </w:p>
        </w:tc>
        <w:tc>
          <w:tcPr>
            <w:tcW w:w="920" w:type="dxa"/>
            <w:vAlign w:val="bottom"/>
            <w:tcBorders>
              <w:righ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FFCC"/>
          </w:tcPr>
          <w:p>
            <w:pPr>
              <w:spacing w:after="0"/>
              <w:rPr>
                <w:sz w:val="21"/>
                <w:szCs w:val="21"/>
                <w:color w:val="auto"/>
              </w:rPr>
            </w:pPr>
          </w:p>
        </w:tc>
        <w:tc>
          <w:tcPr>
            <w:tcW w:w="88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(13,733)</w:t>
            </w:r>
          </w:p>
        </w:tc>
        <w:tc>
          <w:tcPr>
            <w:tcW w:w="8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(12,465)</w:t>
            </w:r>
          </w:p>
        </w:tc>
        <w:tc>
          <w:tcPr>
            <w:tcW w:w="9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10.2%</w:t>
            </w: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Merger Expenses</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100.0%</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0.0%</w:t>
            </w:r>
          </w:p>
        </w:tc>
      </w:tr>
      <w:tr>
        <w:trPr>
          <w:trHeight w:val="243"/>
        </w:trPr>
        <w:tc>
          <w:tcPr>
            <w:tcW w:w="4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Other</w:t>
            </w:r>
          </w:p>
        </w:tc>
        <w:tc>
          <w:tcPr>
            <w:tcW w:w="880" w:type="dxa"/>
            <w:vAlign w:val="bottom"/>
            <w:tcBorders>
              <w:right w:val="single" w:sz="8" w:color="CCFFCC"/>
            </w:tcBorders>
            <w:gridSpan w:val="4"/>
            <w:shd w:val="clear" w:color="auto" w:fill="CCFFCC"/>
          </w:tcPr>
          <w:p>
            <w:pPr>
              <w:jc w:val="right"/>
              <w:ind w:right="40"/>
              <w:spacing w:after="0"/>
              <w:rPr>
                <w:sz w:val="20"/>
                <w:szCs w:val="20"/>
                <w:color w:val="auto"/>
              </w:rPr>
            </w:pPr>
            <w:r>
              <w:rPr>
                <w:rFonts w:ascii="Arial" w:cs="Arial" w:eastAsia="Arial" w:hAnsi="Arial"/>
                <w:sz w:val="18"/>
                <w:szCs w:val="18"/>
                <w:color w:val="auto"/>
              </w:rPr>
              <w:t>(24,678)</w:t>
            </w:r>
          </w:p>
        </w:tc>
        <w:tc>
          <w:tcPr>
            <w:tcW w:w="80" w:type="dxa"/>
            <w:vAlign w:val="bottom"/>
            <w:shd w:val="clear" w:color="auto" w:fill="CCFFCC"/>
          </w:tcPr>
          <w:p>
            <w:pPr>
              <w:spacing w:after="0"/>
              <w:rPr>
                <w:sz w:val="21"/>
                <w:szCs w:val="21"/>
                <w:color w:val="auto"/>
              </w:rPr>
            </w:pPr>
          </w:p>
        </w:tc>
        <w:tc>
          <w:tcPr>
            <w:tcW w:w="880" w:type="dxa"/>
            <w:vAlign w:val="bottom"/>
            <w:tcBorders>
              <w:righ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(24,012)</w:t>
            </w:r>
          </w:p>
        </w:tc>
        <w:tc>
          <w:tcPr>
            <w:tcW w:w="880" w:type="dxa"/>
            <w:vAlign w:val="bottom"/>
            <w:tcBorders>
              <w:righ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(24,524)</w:t>
            </w:r>
          </w:p>
        </w:tc>
        <w:tc>
          <w:tcPr>
            <w:tcW w:w="880" w:type="dxa"/>
            <w:vAlign w:val="bottom"/>
            <w:tcBorders>
              <w:righ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0.6%</w:t>
            </w:r>
          </w:p>
        </w:tc>
        <w:tc>
          <w:tcPr>
            <w:tcW w:w="920" w:type="dxa"/>
            <w:vAlign w:val="bottom"/>
            <w:tcBorders>
              <w:righ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FFCC"/>
          </w:tcPr>
          <w:p>
            <w:pPr>
              <w:spacing w:after="0"/>
              <w:rPr>
                <w:sz w:val="21"/>
                <w:szCs w:val="21"/>
                <w:color w:val="auto"/>
              </w:rPr>
            </w:pPr>
          </w:p>
        </w:tc>
        <w:tc>
          <w:tcPr>
            <w:tcW w:w="88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(24,678)</w:t>
            </w:r>
          </w:p>
        </w:tc>
        <w:tc>
          <w:tcPr>
            <w:tcW w:w="8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(24,524)</w:t>
            </w:r>
          </w:p>
        </w:tc>
        <w:tc>
          <w:tcPr>
            <w:tcW w:w="9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0.6%</w:t>
            </w:r>
          </w:p>
        </w:tc>
      </w:tr>
      <w:tr>
        <w:trPr>
          <w:trHeight w:val="20"/>
        </w:trPr>
        <w:tc>
          <w:tcPr>
            <w:tcW w:w="41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left w:val="single" w:sz="8" w:color="CCFFCC"/>
              <w:right w:val="single" w:sz="8" w:color="auto"/>
            </w:tcBorders>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left w:val="single" w:sz="8" w:color="CCFFCC"/>
              <w:right w:val="single" w:sz="8" w:color="auto"/>
            </w:tcBorders>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left w:val="single" w:sz="8" w:color="CCFFCC"/>
              <w:right w:val="single" w:sz="8" w:color="auto"/>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FFCC"/>
              <w:right w:val="single" w:sz="8" w:color="auto"/>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64"/>
        </w:trPr>
        <w:tc>
          <w:tcPr>
            <w:tcW w:w="416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88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(185,532)</w:t>
            </w:r>
          </w:p>
        </w:tc>
        <w:tc>
          <w:tcPr>
            <w:tcW w:w="80" w:type="dxa"/>
            <w:vAlign w:val="bottom"/>
          </w:tcPr>
          <w:p>
            <w:pPr>
              <w:spacing w:after="0"/>
              <w:rPr>
                <w:sz w:val="22"/>
                <w:szCs w:val="22"/>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5"/>
              </w:rPr>
              <w:t>(193,327)</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8"/>
              </w:rPr>
              <w:t>(149,810)</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23.8%</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-4.0%</w:t>
            </w:r>
          </w:p>
        </w:tc>
        <w:tc>
          <w:tcPr>
            <w:tcW w:w="8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0"/>
              </w:rPr>
              <w:t>(185,532)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5"/>
              </w:rPr>
              <w:t>(149,810)</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23.8%</w:t>
            </w:r>
          </w:p>
        </w:tc>
      </w:tr>
      <w:tr>
        <w:trPr>
          <w:trHeight w:val="198"/>
        </w:trPr>
        <w:tc>
          <w:tcPr>
            <w:tcW w:w="4160" w:type="dxa"/>
            <w:vAlign w:val="bottom"/>
            <w:shd w:val="clear" w:color="auto" w:fill="CCFFCC"/>
          </w:tcPr>
          <w:p>
            <w:pPr>
              <w:spacing w:after="0" w:line="198" w:lineRule="exact"/>
              <w:rPr>
                <w:sz w:val="20"/>
                <w:szCs w:val="20"/>
                <w:color w:val="auto"/>
              </w:rPr>
            </w:pPr>
            <w:r>
              <w:rPr>
                <w:rFonts w:ascii="Arial" w:cs="Arial" w:eastAsia="Arial" w:hAnsi="Arial"/>
                <w:sz w:val="18"/>
                <w:szCs w:val="18"/>
                <w:b w:val="1"/>
                <w:bCs w:val="1"/>
                <w:color w:val="auto"/>
                <w:w w:val="92"/>
              </w:rPr>
              <w:t>Net Income before translation results,workers' profit</w:t>
            </w: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560" w:type="dxa"/>
            <w:vAlign w:val="bottom"/>
            <w:shd w:val="clear" w:color="auto" w:fill="CCFFCC"/>
          </w:tcPr>
          <w:p>
            <w:pPr>
              <w:spacing w:after="0"/>
              <w:rPr>
                <w:sz w:val="17"/>
                <w:szCs w:val="17"/>
                <w:color w:val="auto"/>
              </w:rPr>
            </w:pPr>
          </w:p>
        </w:tc>
        <w:tc>
          <w:tcPr>
            <w:tcW w:w="10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180" w:type="dxa"/>
            <w:vAlign w:val="bottom"/>
            <w:tcBorders>
              <w:left w:val="single" w:sz="8" w:color="CCFFCC"/>
              <w:right w:val="single" w:sz="8" w:color="CCFFCC"/>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00" w:type="dxa"/>
            <w:vAlign w:val="bottom"/>
            <w:tcBorders>
              <w:right w:val="single" w:sz="8" w:color="CCFFCC"/>
            </w:tcBorders>
            <w:shd w:val="clear" w:color="auto" w:fill="CCFFCC"/>
          </w:tcPr>
          <w:p>
            <w:pPr>
              <w:spacing w:after="0"/>
              <w:rPr>
                <w:sz w:val="17"/>
                <w:szCs w:val="17"/>
                <w:color w:val="auto"/>
              </w:rPr>
            </w:pPr>
          </w:p>
        </w:tc>
        <w:tc>
          <w:tcPr>
            <w:tcW w:w="160" w:type="dxa"/>
            <w:vAlign w:val="bottom"/>
            <w:tcBorders>
              <w:right w:val="single" w:sz="8" w:color="CCFFCC"/>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220" w:type="dxa"/>
            <w:vAlign w:val="bottom"/>
            <w:tcBorders>
              <w:right w:val="single" w:sz="8" w:color="CCFFCC"/>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560" w:type="dxa"/>
            <w:vAlign w:val="bottom"/>
            <w:shd w:val="clear" w:color="auto" w:fill="CCFFCC"/>
          </w:tcPr>
          <w:p>
            <w:pPr>
              <w:spacing w:after="0"/>
              <w:rPr>
                <w:sz w:val="17"/>
                <w:szCs w:val="17"/>
                <w:color w:val="auto"/>
              </w:rPr>
            </w:pPr>
          </w:p>
        </w:tc>
        <w:tc>
          <w:tcPr>
            <w:tcW w:w="240" w:type="dxa"/>
            <w:vAlign w:val="bottom"/>
            <w:tcBorders>
              <w:left w:val="single" w:sz="8" w:color="CCFFCC"/>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220" w:type="dxa"/>
            <w:vAlign w:val="bottom"/>
            <w:tcBorders>
              <w:left w:val="single" w:sz="8" w:color="CCFFCC"/>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80" w:type="dxa"/>
            <w:vAlign w:val="bottom"/>
            <w:tcBorders>
              <w:left w:val="single" w:sz="8" w:color="CCFFCC"/>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r>
      <w:tr>
        <w:trPr>
          <w:trHeight w:val="234"/>
        </w:trPr>
        <w:tc>
          <w:tcPr>
            <w:tcW w:w="4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sharing and income taxes</w:t>
            </w:r>
          </w:p>
        </w:tc>
        <w:tc>
          <w:tcPr>
            <w:tcW w:w="780" w:type="dxa"/>
            <w:vAlign w:val="bottom"/>
            <w:gridSpan w:val="3"/>
            <w:shd w:val="clear" w:color="auto" w:fill="CCFFCC"/>
          </w:tcPr>
          <w:p>
            <w:pPr>
              <w:jc w:val="right"/>
              <w:spacing w:after="0"/>
              <w:rPr>
                <w:sz w:val="20"/>
                <w:szCs w:val="20"/>
                <w:color w:val="auto"/>
              </w:rPr>
            </w:pPr>
            <w:r>
              <w:rPr>
                <w:rFonts w:ascii="Arial" w:cs="Arial" w:eastAsia="Arial" w:hAnsi="Arial"/>
                <w:sz w:val="18"/>
                <w:szCs w:val="18"/>
                <w:b w:val="1"/>
                <w:bCs w:val="1"/>
                <w:color w:val="auto"/>
              </w:rPr>
              <w:t>154,757</w:t>
            </w:r>
          </w:p>
        </w:tc>
        <w:tc>
          <w:tcPr>
            <w:tcW w:w="100" w:type="dxa"/>
            <w:vAlign w:val="bottom"/>
            <w:tcBorders>
              <w:right w:val="single" w:sz="8" w:color="CCFFCC"/>
            </w:tcBorders>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105,768</w:t>
            </w:r>
          </w:p>
        </w:tc>
        <w:tc>
          <w:tcPr>
            <w:tcW w:w="180" w:type="dxa"/>
            <w:vAlign w:val="bottom"/>
            <w:tcBorders>
              <w:left w:val="single" w:sz="8" w:color="CCFFCC"/>
              <w:right w:val="single" w:sz="8" w:color="CCFFCC"/>
            </w:tcBorders>
            <w:shd w:val="clear" w:color="auto" w:fill="CCFFCC"/>
          </w:tcPr>
          <w:p>
            <w:pPr>
              <w:spacing w:after="0"/>
              <w:rPr>
                <w:sz w:val="20"/>
                <w:szCs w:val="20"/>
                <w:color w:val="auto"/>
              </w:rPr>
            </w:pPr>
          </w:p>
        </w:tc>
        <w:tc>
          <w:tcPr>
            <w:tcW w:w="880" w:type="dxa"/>
            <w:vAlign w:val="bottom"/>
            <w:tcBorders>
              <w:right w:val="single" w:sz="8" w:color="CCFFCC"/>
            </w:tcBorders>
            <w:gridSpan w:val="3"/>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113,188</w:t>
            </w:r>
          </w:p>
        </w:tc>
        <w:tc>
          <w:tcPr>
            <w:tcW w:w="880" w:type="dxa"/>
            <w:vAlign w:val="bottom"/>
            <w:tcBorders>
              <w:right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36.7%</w:t>
            </w:r>
          </w:p>
        </w:tc>
        <w:tc>
          <w:tcPr>
            <w:tcW w:w="920" w:type="dxa"/>
            <w:vAlign w:val="bottom"/>
            <w:tcBorders>
              <w:righ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46.3%</w:t>
            </w:r>
          </w:p>
        </w:tc>
        <w:tc>
          <w:tcPr>
            <w:tcW w:w="80" w:type="dxa"/>
            <w:vAlign w:val="bottom"/>
            <w:shd w:val="clear" w:color="auto" w:fill="CCFFCC"/>
          </w:tcPr>
          <w:p>
            <w:pPr>
              <w:spacing w:after="0"/>
              <w:rPr>
                <w:sz w:val="20"/>
                <w:szCs w:val="20"/>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98"/>
              </w:rPr>
              <w:t>154,757</w:t>
            </w:r>
          </w:p>
        </w:tc>
        <w:tc>
          <w:tcPr>
            <w:tcW w:w="220" w:type="dxa"/>
            <w:vAlign w:val="bottom"/>
            <w:tcBorders>
              <w:left w:val="single" w:sz="8" w:color="CCFFCC"/>
              <w:right w:val="single" w:sz="8" w:color="CCFFCC"/>
            </w:tcBorders>
            <w:shd w:val="clear" w:color="auto" w:fill="CCFFCC"/>
          </w:tcPr>
          <w:p>
            <w:pPr>
              <w:spacing w:after="0"/>
              <w:rPr>
                <w:sz w:val="20"/>
                <w:szCs w:val="20"/>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113,188</w:t>
            </w:r>
          </w:p>
        </w:tc>
        <w:tc>
          <w:tcPr>
            <w:tcW w:w="180" w:type="dxa"/>
            <w:vAlign w:val="bottom"/>
            <w:tcBorders>
              <w:left w:val="single" w:sz="8" w:color="CCFFCC"/>
              <w:right w:val="single" w:sz="8" w:color="CCFFCC"/>
            </w:tcBorders>
            <w:shd w:val="clear" w:color="auto" w:fill="CCFFCC"/>
          </w:tcPr>
          <w:p>
            <w:pPr>
              <w:spacing w:after="0"/>
              <w:rPr>
                <w:sz w:val="20"/>
                <w:szCs w:val="20"/>
                <w:color w:val="auto"/>
              </w:rPr>
            </w:pPr>
          </w:p>
        </w:tc>
        <w:tc>
          <w:tcPr>
            <w:tcW w:w="9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36.7%</w:t>
            </w: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Workers’ profit sharing</w:t>
            </w:r>
          </w:p>
        </w:tc>
        <w:tc>
          <w:tcPr>
            <w:tcW w:w="960" w:type="dxa"/>
            <w:vAlign w:val="bottom"/>
            <w:gridSpan w:val="5"/>
          </w:tcPr>
          <w:p>
            <w:pPr>
              <w:jc w:val="right"/>
              <w:ind w:right="40"/>
              <w:spacing w:after="0"/>
              <w:rPr>
                <w:sz w:val="20"/>
                <w:szCs w:val="20"/>
                <w:color w:val="auto"/>
              </w:rPr>
            </w:pPr>
            <w:r>
              <w:rPr>
                <w:rFonts w:ascii="Arial" w:cs="Arial" w:eastAsia="Arial" w:hAnsi="Arial"/>
                <w:sz w:val="18"/>
                <w:szCs w:val="18"/>
                <w:color w:val="auto"/>
              </w:rPr>
              <w:t>(5,417)</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(2,046)</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(3,762)</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44.0%</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164.7%</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960" w:type="dxa"/>
            <w:vAlign w:val="bottom"/>
            <w:gridSpan w:val="5"/>
          </w:tcPr>
          <w:p>
            <w:pPr>
              <w:jc w:val="right"/>
              <w:ind w:right="40"/>
              <w:spacing w:after="0"/>
              <w:rPr>
                <w:sz w:val="20"/>
                <w:szCs w:val="20"/>
                <w:color w:val="auto"/>
              </w:rPr>
            </w:pPr>
            <w:r>
              <w:rPr>
                <w:rFonts w:ascii="Arial" w:cs="Arial" w:eastAsia="Arial" w:hAnsi="Arial"/>
                <w:sz w:val="18"/>
                <w:szCs w:val="18"/>
                <w:color w:val="auto"/>
              </w:rPr>
              <w:t>(33,309)</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(22,559)</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(24,162)</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37.9%</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47.7%</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Minority interest</w:t>
            </w:r>
          </w:p>
        </w:tc>
        <w:tc>
          <w:tcPr>
            <w:tcW w:w="960" w:type="dxa"/>
            <w:vAlign w:val="bottom"/>
            <w:gridSpan w:val="5"/>
            <w:shd w:val="clear" w:color="auto" w:fill="CCFFCC"/>
          </w:tcPr>
          <w:p>
            <w:pPr>
              <w:jc w:val="right"/>
              <w:ind w:right="40"/>
              <w:spacing w:after="0"/>
              <w:rPr>
                <w:sz w:val="20"/>
                <w:szCs w:val="20"/>
                <w:color w:val="auto"/>
              </w:rPr>
            </w:pPr>
            <w:r>
              <w:rPr>
                <w:rFonts w:ascii="Arial" w:cs="Arial" w:eastAsia="Arial" w:hAnsi="Arial"/>
                <w:sz w:val="18"/>
                <w:szCs w:val="18"/>
                <w:color w:val="auto"/>
              </w:rPr>
              <w:t>(6,728)</w:t>
            </w:r>
          </w:p>
        </w:tc>
        <w:tc>
          <w:tcPr>
            <w:tcW w:w="880" w:type="dxa"/>
            <w:vAlign w:val="bottom"/>
            <w:tcBorders>
              <w:righ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(4,590)</w:t>
            </w:r>
          </w:p>
        </w:tc>
        <w:tc>
          <w:tcPr>
            <w:tcW w:w="880" w:type="dxa"/>
            <w:vAlign w:val="bottom"/>
            <w:tcBorders>
              <w:righ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(7,897)</w:t>
            </w:r>
          </w:p>
        </w:tc>
        <w:tc>
          <w:tcPr>
            <w:tcW w:w="880" w:type="dxa"/>
            <w:vAlign w:val="bottom"/>
            <w:tcBorders>
              <w:right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-14.8%</w:t>
            </w:r>
          </w:p>
        </w:tc>
        <w:tc>
          <w:tcPr>
            <w:tcW w:w="920" w:type="dxa"/>
            <w:vAlign w:val="bottom"/>
            <w:tcBorders>
              <w:right w:val="single" w:sz="8" w:color="CCFFCC"/>
            </w:tcBorders>
            <w:gridSpan w:val="3"/>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46.6%</w:t>
            </w:r>
          </w:p>
        </w:tc>
        <w:tc>
          <w:tcPr>
            <w:tcW w:w="8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220" w:type="dxa"/>
            <w:vAlign w:val="bottom"/>
            <w:tcBorders>
              <w:left w:val="single" w:sz="8" w:color="CCFFCC"/>
              <w:right w:val="single" w:sz="8" w:color="CCFFCC"/>
            </w:tcBorders>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180" w:type="dxa"/>
            <w:vAlign w:val="bottom"/>
            <w:tcBorders>
              <w:left w:val="single" w:sz="8" w:color="CCFFCC"/>
              <w:right w:val="single" w:sz="8" w:color="CCFFCC"/>
            </w:tcBorders>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198"/>
        </w:trPr>
        <w:tc>
          <w:tcPr>
            <w:tcW w:w="4160" w:type="dxa"/>
            <w:vAlign w:val="bottom"/>
          </w:tcPr>
          <w:p>
            <w:pPr>
              <w:spacing w:after="0" w:line="198" w:lineRule="exact"/>
              <w:rPr>
                <w:sz w:val="20"/>
                <w:szCs w:val="20"/>
                <w:color w:val="auto"/>
              </w:rPr>
            </w:pPr>
            <w:r>
              <w:rPr>
                <w:rFonts w:ascii="Arial" w:cs="Arial" w:eastAsia="Arial" w:hAnsi="Arial"/>
                <w:sz w:val="18"/>
                <w:szCs w:val="18"/>
                <w:b w:val="1"/>
                <w:bCs w:val="1"/>
                <w:color w:val="auto"/>
                <w:w w:val="91"/>
              </w:rPr>
              <w:t>Net income attributed to Credicorp before translation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160" w:type="dxa"/>
            <w:vAlign w:val="bottom"/>
          </w:tcPr>
          <w:p>
            <w:pPr>
              <w:spacing w:after="0"/>
              <w:rPr>
                <w:sz w:val="20"/>
                <w:szCs w:val="20"/>
                <w:color w:val="auto"/>
              </w:rPr>
            </w:pPr>
            <w:r>
              <w:rPr>
                <w:rFonts w:ascii="Arial" w:cs="Arial" w:eastAsia="Arial" w:hAnsi="Arial"/>
                <w:sz w:val="18"/>
                <w:szCs w:val="18"/>
                <w:b w:val="1"/>
                <w:bCs w:val="1"/>
                <w:color w:val="auto"/>
              </w:rPr>
              <w:t>result</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109,303</w:t>
            </w:r>
          </w:p>
        </w:tc>
        <w:tc>
          <w:tcPr>
            <w:tcW w:w="80" w:type="dxa"/>
            <w:vAlign w:val="bottom"/>
          </w:tcPr>
          <w:p>
            <w:pPr>
              <w:spacing w:after="0"/>
              <w:rPr>
                <w:sz w:val="20"/>
                <w:szCs w:val="20"/>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76,573</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77,368</w:t>
            </w:r>
          </w:p>
        </w:tc>
        <w:tc>
          <w:tcPr>
            <w:tcW w:w="160" w:type="dxa"/>
            <w:vAlign w:val="bottom"/>
          </w:tcPr>
          <w:p>
            <w:pPr>
              <w:spacing w:after="0"/>
              <w:rPr>
                <w:sz w:val="20"/>
                <w:szCs w:val="20"/>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41.3%</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42.7%</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4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Translation result</w:t>
            </w:r>
          </w:p>
        </w:tc>
        <w:tc>
          <w:tcPr>
            <w:tcW w:w="880" w:type="dxa"/>
            <w:vAlign w:val="bottom"/>
            <w:tcBorders>
              <w:right w:val="single" w:sz="8" w:color="CCFFCC"/>
            </w:tcBorders>
            <w:gridSpan w:val="4"/>
            <w:shd w:val="clear" w:color="auto" w:fill="CCFFCC"/>
          </w:tcPr>
          <w:p>
            <w:pPr>
              <w:jc w:val="right"/>
              <w:ind w:right="20"/>
              <w:spacing w:after="0"/>
              <w:rPr>
                <w:sz w:val="20"/>
                <w:szCs w:val="20"/>
                <w:color w:val="auto"/>
              </w:rPr>
            </w:pPr>
            <w:r>
              <w:rPr>
                <w:rFonts w:ascii="Arial" w:cs="Arial" w:eastAsia="Arial" w:hAnsi="Arial"/>
                <w:sz w:val="18"/>
                <w:szCs w:val="18"/>
                <w:color w:val="auto"/>
              </w:rPr>
              <w:t>68,695</w:t>
            </w:r>
          </w:p>
        </w:tc>
        <w:tc>
          <w:tcPr>
            <w:tcW w:w="80" w:type="dxa"/>
            <w:vAlign w:val="bottom"/>
            <w:shd w:val="clear" w:color="auto" w:fill="CCFFCC"/>
          </w:tcPr>
          <w:p>
            <w:pPr>
              <w:spacing w:after="0"/>
              <w:rPr>
                <w:sz w:val="21"/>
                <w:szCs w:val="21"/>
                <w:color w:val="auto"/>
              </w:rPr>
            </w:pPr>
          </w:p>
        </w:tc>
        <w:tc>
          <w:tcPr>
            <w:tcW w:w="880" w:type="dxa"/>
            <w:vAlign w:val="bottom"/>
            <w:tcBorders>
              <w:righ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17,442</w:t>
            </w:r>
          </w:p>
        </w:tc>
        <w:tc>
          <w:tcPr>
            <w:tcW w:w="72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1,645</w:t>
            </w:r>
          </w:p>
        </w:tc>
        <w:tc>
          <w:tcPr>
            <w:tcW w:w="160" w:type="dxa"/>
            <w:vAlign w:val="bottom"/>
            <w:tcBorders>
              <w:right w:val="single" w:sz="8" w:color="CCFFCC"/>
            </w:tcBorders>
            <w:shd w:val="clear" w:color="auto" w:fill="CCFFCC"/>
          </w:tcPr>
          <w:p>
            <w:pPr>
              <w:spacing w:after="0"/>
              <w:rPr>
                <w:sz w:val="21"/>
                <w:szCs w:val="21"/>
                <w:color w:val="auto"/>
              </w:rPr>
            </w:pPr>
          </w:p>
        </w:tc>
        <w:tc>
          <w:tcPr>
            <w:tcW w:w="880" w:type="dxa"/>
            <w:vAlign w:val="bottom"/>
            <w:tcBorders>
              <w:righ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4075.4%</w:t>
            </w:r>
          </w:p>
        </w:tc>
        <w:tc>
          <w:tcPr>
            <w:tcW w:w="920" w:type="dxa"/>
            <w:vAlign w:val="bottom"/>
            <w:tcBorders>
              <w:righ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293.8%</w:t>
            </w:r>
          </w:p>
        </w:tc>
        <w:tc>
          <w:tcPr>
            <w:tcW w:w="80" w:type="dxa"/>
            <w:vAlign w:val="bottom"/>
            <w:shd w:val="clear" w:color="auto" w:fill="CCFFCC"/>
          </w:tcPr>
          <w:p>
            <w:pPr>
              <w:spacing w:after="0"/>
              <w:rPr>
                <w:sz w:val="21"/>
                <w:szCs w:val="21"/>
                <w:color w:val="auto"/>
              </w:rPr>
            </w:pPr>
          </w:p>
        </w:tc>
        <w:tc>
          <w:tcPr>
            <w:tcW w:w="88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68,695</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1,645</w:t>
            </w:r>
          </w:p>
        </w:tc>
        <w:tc>
          <w:tcPr>
            <w:tcW w:w="180" w:type="dxa"/>
            <w:vAlign w:val="bottom"/>
            <w:tcBorders>
              <w:left w:val="single" w:sz="8" w:color="CCFFCC"/>
              <w:right w:val="single" w:sz="8" w:color="CCFFCC"/>
            </w:tcBorders>
            <w:shd w:val="clear" w:color="auto" w:fill="CCFFCC"/>
          </w:tcPr>
          <w:p>
            <w:pPr>
              <w:spacing w:after="0"/>
              <w:rPr>
                <w:sz w:val="21"/>
                <w:szCs w:val="21"/>
                <w:color w:val="auto"/>
              </w:rPr>
            </w:pPr>
          </w:p>
        </w:tc>
        <w:tc>
          <w:tcPr>
            <w:tcW w:w="9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4075.4%</w:t>
            </w:r>
          </w:p>
        </w:tc>
      </w:tr>
      <w:tr>
        <w:trPr>
          <w:trHeight w:val="243"/>
        </w:trPr>
        <w:tc>
          <w:tcPr>
            <w:tcW w:w="4160" w:type="dxa"/>
            <w:vAlign w:val="bottom"/>
          </w:tcPr>
          <w:p>
            <w:pPr>
              <w:spacing w:after="0"/>
              <w:rPr>
                <w:sz w:val="20"/>
                <w:szCs w:val="20"/>
                <w:color w:val="auto"/>
              </w:rPr>
            </w:pPr>
            <w:r>
              <w:rPr>
                <w:rFonts w:ascii="Arial" w:cs="Arial" w:eastAsia="Arial" w:hAnsi="Arial"/>
                <w:sz w:val="18"/>
                <w:szCs w:val="18"/>
                <w:b w:val="1"/>
                <w:bCs w:val="1"/>
                <w:color w:val="auto"/>
              </w:rPr>
              <w:t>Net income attributed to Credicorp</w:t>
            </w:r>
          </w:p>
        </w:tc>
        <w:tc>
          <w:tcPr>
            <w:tcW w:w="120" w:type="dxa"/>
            <w:vAlign w:val="bottom"/>
          </w:tcPr>
          <w:p>
            <w:pPr>
              <w:spacing w:after="0"/>
              <w:rPr>
                <w:sz w:val="21"/>
                <w:szCs w:val="21"/>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177,998</w:t>
            </w:r>
          </w:p>
        </w:tc>
        <w:tc>
          <w:tcPr>
            <w:tcW w:w="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94,016</w:t>
            </w:r>
          </w:p>
        </w:tc>
        <w:tc>
          <w:tcPr>
            <w:tcW w:w="1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79,013</w:t>
            </w:r>
          </w:p>
        </w:tc>
        <w:tc>
          <w:tcPr>
            <w:tcW w:w="160" w:type="dxa"/>
            <w:vAlign w:val="bottom"/>
          </w:tcPr>
          <w:p>
            <w:pPr>
              <w:spacing w:after="0"/>
              <w:rPr>
                <w:sz w:val="21"/>
                <w:szCs w:val="21"/>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125.3%</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89.3%</w:t>
            </w:r>
          </w:p>
        </w:tc>
        <w:tc>
          <w:tcPr>
            <w:tcW w:w="8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177,998</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79,013</w:t>
            </w:r>
          </w:p>
        </w:tc>
        <w:tc>
          <w:tcPr>
            <w:tcW w:w="180" w:type="dxa"/>
            <w:vAlign w:val="bottom"/>
          </w:tcPr>
          <w:p>
            <w:pPr>
              <w:spacing w:after="0"/>
              <w:rPr>
                <w:sz w:val="21"/>
                <w:szCs w:val="21"/>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125.3%</w:t>
            </w:r>
          </w:p>
        </w:tc>
      </w:tr>
      <w:tr>
        <w:trPr>
          <w:trHeight w:val="480"/>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9"/>
              </w:rPr>
              <w:t>36</w:t>
            </w:r>
          </w:p>
        </w:tc>
      </w:tr>
      <w:tr>
        <w:trPr>
          <w:trHeight w:val="118"/>
        </w:trPr>
        <w:tc>
          <w:tcPr>
            <w:tcW w:w="4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8" w:name="page39"/>
    <w:bookmarkEnd w:id="38"/>
    <w:p>
      <w:pPr>
        <w:ind w:left="4000"/>
        <w:spacing w:after="0"/>
        <w:rPr>
          <w:sz w:val="20"/>
          <w:szCs w:val="20"/>
          <w:color w:val="auto"/>
        </w:rPr>
      </w:pPr>
      <w:r>
        <w:rPr>
          <w:rFonts w:ascii="Arial" w:cs="Arial" w:eastAsia="Arial" w:hAnsi="Arial"/>
          <w:sz w:val="18"/>
          <w:szCs w:val="18"/>
          <w:b w:val="1"/>
          <w:bCs w:val="1"/>
          <w:color w:val="auto"/>
        </w:rPr>
        <w:t>CREDICORP LTD. AND SUBSISIARIES</w:t>
      </w:r>
    </w:p>
    <w:p>
      <w:pPr>
        <w:spacing w:after="0" w:line="3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SELECTED FINANCIAL INDICATORS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1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Year ended</w:t>
            </w:r>
          </w:p>
        </w:tc>
        <w:tc>
          <w:tcPr>
            <w:tcW w:w="160" w:type="dxa"/>
            <w:vAlign w:val="bottom"/>
          </w:tcPr>
          <w:p>
            <w:pPr>
              <w:spacing w:after="0"/>
              <w:rPr>
                <w:sz w:val="20"/>
                <w:szCs w:val="20"/>
                <w:color w:val="auto"/>
              </w:rPr>
            </w:pPr>
          </w:p>
        </w:tc>
      </w:tr>
      <w:tr>
        <w:trPr>
          <w:trHeight w:val="291"/>
        </w:trPr>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1Q08</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4Q07</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1Q07</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 08</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 07</w:t>
            </w:r>
          </w:p>
        </w:tc>
      </w:tr>
      <w:tr>
        <w:trPr>
          <w:trHeight w:val="493"/>
        </w:trPr>
        <w:tc>
          <w:tcPr>
            <w:tcW w:w="5000" w:type="dxa"/>
            <w:vAlign w:val="bottom"/>
            <w:gridSpan w:val="5"/>
          </w:tcPr>
          <w:p>
            <w:pPr>
              <w:spacing w:after="0"/>
              <w:rPr>
                <w:sz w:val="20"/>
                <w:szCs w:val="20"/>
                <w:color w:val="auto"/>
              </w:rPr>
            </w:pPr>
            <w:r>
              <w:rPr>
                <w:rFonts w:ascii="Arial" w:cs="Arial" w:eastAsia="Arial" w:hAnsi="Arial"/>
                <w:sz w:val="18"/>
                <w:szCs w:val="18"/>
                <w:b w:val="1"/>
                <w:bCs w:val="1"/>
                <w:color w:val="auto"/>
              </w:rPr>
              <w:t>Profitability</w:t>
            </w:r>
          </w:p>
        </w:tc>
        <w:tc>
          <w:tcPr>
            <w:tcW w:w="11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34"/>
        </w:trPr>
        <w:tc>
          <w:tcPr>
            <w:tcW w:w="940" w:type="dxa"/>
            <w:vAlign w:val="bottom"/>
            <w:tcBorders>
              <w:top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43"/>
        </w:trPr>
        <w:tc>
          <w:tcPr>
            <w:tcW w:w="5000" w:type="dxa"/>
            <w:vAlign w:val="bottom"/>
            <w:gridSpan w:val="5"/>
            <w:shd w:val="clear" w:color="auto" w:fill="CCFFCC"/>
          </w:tcPr>
          <w:p>
            <w:pPr>
              <w:ind w:left="180"/>
              <w:spacing w:after="0"/>
              <w:rPr>
                <w:sz w:val="20"/>
                <w:szCs w:val="20"/>
                <w:color w:val="auto"/>
              </w:rPr>
            </w:pPr>
            <w:r>
              <w:rPr>
                <w:rFonts w:ascii="Arial" w:cs="Arial" w:eastAsia="Arial" w:hAnsi="Arial"/>
                <w:sz w:val="18"/>
                <w:szCs w:val="18"/>
                <w:color w:val="auto"/>
              </w:rPr>
              <w:t>Net income per common share (US$ per share)(1)</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2.23</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1.18</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0.99</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2.23</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0.99</w:t>
            </w:r>
          </w:p>
        </w:tc>
      </w:tr>
      <w:tr>
        <w:trPr>
          <w:trHeight w:val="243"/>
        </w:trPr>
        <w:tc>
          <w:tcPr>
            <w:tcW w:w="5000" w:type="dxa"/>
            <w:vAlign w:val="bottom"/>
            <w:gridSpan w:val="5"/>
          </w:tcPr>
          <w:p>
            <w:pPr>
              <w:ind w:left="180"/>
              <w:spacing w:after="0"/>
              <w:rPr>
                <w:sz w:val="20"/>
                <w:szCs w:val="20"/>
                <w:color w:val="auto"/>
              </w:rPr>
            </w:pPr>
            <w:r>
              <w:rPr>
                <w:rFonts w:ascii="Arial" w:cs="Arial" w:eastAsia="Arial" w:hAnsi="Arial"/>
                <w:sz w:val="18"/>
                <w:szCs w:val="18"/>
                <w:color w:val="auto"/>
              </w:rPr>
              <w:t>Net interest margin on interest earning assets (2)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5.09%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5.18%</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5.15%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5.83%</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5.46%</w:t>
            </w:r>
          </w:p>
        </w:tc>
      </w:tr>
      <w:tr>
        <w:trPr>
          <w:trHeight w:val="243"/>
        </w:trPr>
        <w:tc>
          <w:tcPr>
            <w:tcW w:w="5000" w:type="dxa"/>
            <w:vAlign w:val="bottom"/>
            <w:gridSpan w:val="5"/>
            <w:shd w:val="clear" w:color="auto" w:fill="CCFFCC"/>
          </w:tcPr>
          <w:p>
            <w:pPr>
              <w:ind w:left="180"/>
              <w:spacing w:after="0"/>
              <w:rPr>
                <w:sz w:val="20"/>
                <w:szCs w:val="20"/>
                <w:color w:val="auto"/>
              </w:rPr>
            </w:pPr>
            <w:r>
              <w:rPr>
                <w:rFonts w:ascii="Arial" w:cs="Arial" w:eastAsia="Arial" w:hAnsi="Arial"/>
                <w:sz w:val="18"/>
                <w:szCs w:val="18"/>
                <w:color w:val="auto"/>
              </w:rPr>
              <w:t>Return on average total assets (2)(3)</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3.78%</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2.25%</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2.55%</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1.08%</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0.66%</w:t>
            </w:r>
          </w:p>
        </w:tc>
      </w:tr>
      <w:tr>
        <w:trPr>
          <w:trHeight w:val="243"/>
        </w:trPr>
        <w:tc>
          <w:tcPr>
            <w:tcW w:w="5000" w:type="dxa"/>
            <w:vAlign w:val="bottom"/>
            <w:gridSpan w:val="5"/>
          </w:tcPr>
          <w:p>
            <w:pPr>
              <w:ind w:left="180"/>
              <w:spacing w:after="0"/>
              <w:rPr>
                <w:sz w:val="20"/>
                <w:szCs w:val="20"/>
                <w:color w:val="auto"/>
              </w:rPr>
            </w:pPr>
            <w:r>
              <w:rPr>
                <w:rFonts w:ascii="Arial" w:cs="Arial" w:eastAsia="Arial" w:hAnsi="Arial"/>
                <w:sz w:val="18"/>
                <w:szCs w:val="18"/>
                <w:color w:val="auto"/>
              </w:rPr>
              <w:t>Return on average shareholders' equity (2)(3)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40.38%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22.94%</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23.47%</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40.91%</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22.06%</w:t>
            </w:r>
          </w:p>
        </w:tc>
      </w:tr>
      <w:tr>
        <w:trPr>
          <w:trHeight w:val="243"/>
        </w:trPr>
        <w:tc>
          <w:tcPr>
            <w:tcW w:w="5000" w:type="dxa"/>
            <w:vAlign w:val="bottom"/>
            <w:gridSpan w:val="5"/>
            <w:shd w:val="clear" w:color="auto" w:fill="CCFFCC"/>
          </w:tcPr>
          <w:p>
            <w:pPr>
              <w:ind w:left="180"/>
              <w:spacing w:after="0"/>
              <w:rPr>
                <w:sz w:val="20"/>
                <w:szCs w:val="20"/>
                <w:color w:val="auto"/>
              </w:rPr>
            </w:pPr>
            <w:r>
              <w:rPr>
                <w:rFonts w:ascii="Arial" w:cs="Arial" w:eastAsia="Arial" w:hAnsi="Arial"/>
                <w:sz w:val="18"/>
                <w:szCs w:val="18"/>
                <w:color w:val="auto"/>
              </w:rPr>
              <w:t>No. of outstanding shares (millions)(4)</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79.76</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79.76</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79.76</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79.76</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79.76</w:t>
            </w:r>
          </w:p>
        </w:tc>
      </w:tr>
      <w:tr>
        <w:trPr>
          <w:trHeight w:val="486"/>
        </w:trPr>
        <w:tc>
          <w:tcPr>
            <w:tcW w:w="5000" w:type="dxa"/>
            <w:vAlign w:val="bottom"/>
            <w:gridSpan w:val="5"/>
          </w:tcPr>
          <w:p>
            <w:pPr>
              <w:spacing w:after="0"/>
              <w:rPr>
                <w:sz w:val="20"/>
                <w:szCs w:val="20"/>
                <w:color w:val="auto"/>
              </w:rPr>
            </w:pPr>
            <w:r>
              <w:rPr>
                <w:rFonts w:ascii="Arial" w:cs="Arial" w:eastAsia="Arial" w:hAnsi="Arial"/>
                <w:sz w:val="18"/>
                <w:szCs w:val="18"/>
                <w:b w:val="1"/>
                <w:bCs w:val="1"/>
                <w:color w:val="auto"/>
              </w:rPr>
              <w:t>Quality of loan portfolio</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4"/>
        </w:trPr>
        <w:tc>
          <w:tcPr>
            <w:tcW w:w="94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43"/>
        </w:trPr>
        <w:tc>
          <w:tcPr>
            <w:tcW w:w="5000" w:type="dxa"/>
            <w:vAlign w:val="bottom"/>
            <w:gridSpan w:val="5"/>
            <w:shd w:val="clear" w:color="auto" w:fill="CCFFCC"/>
          </w:tcPr>
          <w:p>
            <w:pPr>
              <w:ind w:left="180"/>
              <w:spacing w:after="0"/>
              <w:rPr>
                <w:sz w:val="20"/>
                <w:szCs w:val="20"/>
                <w:color w:val="auto"/>
              </w:rPr>
            </w:pPr>
            <w:r>
              <w:rPr>
                <w:rFonts w:ascii="Arial" w:cs="Arial" w:eastAsia="Arial" w:hAnsi="Arial"/>
                <w:sz w:val="18"/>
                <w:szCs w:val="18"/>
                <w:color w:val="auto"/>
              </w:rPr>
              <w:t>Past due loans as a percentage of total loans</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0.80%</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0.75%</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1.19%</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0.80%</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1.19%</w:t>
            </w:r>
          </w:p>
        </w:tc>
      </w:tr>
      <w:tr>
        <w:trPr>
          <w:trHeight w:val="243"/>
        </w:trPr>
        <w:tc>
          <w:tcPr>
            <w:tcW w:w="5000" w:type="dxa"/>
            <w:vAlign w:val="bottom"/>
            <w:gridSpan w:val="5"/>
          </w:tcPr>
          <w:p>
            <w:pPr>
              <w:ind w:left="180"/>
              <w:spacing w:after="0"/>
              <w:rPr>
                <w:sz w:val="20"/>
                <w:szCs w:val="20"/>
                <w:color w:val="auto"/>
              </w:rPr>
            </w:pPr>
            <w:r>
              <w:rPr>
                <w:rFonts w:ascii="Arial" w:cs="Arial" w:eastAsia="Arial" w:hAnsi="Arial"/>
                <w:sz w:val="18"/>
                <w:szCs w:val="18"/>
                <w:color w:val="auto"/>
              </w:rPr>
              <w:t>Reserves for loan losses as a percentage of</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5000" w:type="dxa"/>
            <w:vAlign w:val="bottom"/>
            <w:gridSpan w:val="5"/>
            <w:shd w:val="clear" w:color="auto" w:fill="CCFFCC"/>
          </w:tcPr>
          <w:p>
            <w:pPr>
              <w:ind w:left="340"/>
              <w:spacing w:after="0"/>
              <w:rPr>
                <w:sz w:val="20"/>
                <w:szCs w:val="20"/>
                <w:color w:val="auto"/>
              </w:rPr>
            </w:pPr>
            <w:r>
              <w:rPr>
                <w:rFonts w:ascii="Arial" w:cs="Arial" w:eastAsia="Arial" w:hAnsi="Arial"/>
                <w:sz w:val="18"/>
                <w:szCs w:val="18"/>
                <w:color w:val="auto"/>
              </w:rPr>
              <w:t>total past due loans</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309.99%</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343.68%</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251.37%</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309.99%</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251.37%</w:t>
            </w:r>
          </w:p>
        </w:tc>
      </w:tr>
      <w:tr>
        <w:trPr>
          <w:trHeight w:val="243"/>
        </w:trPr>
        <w:tc>
          <w:tcPr>
            <w:tcW w:w="5000" w:type="dxa"/>
            <w:vAlign w:val="bottom"/>
            <w:gridSpan w:val="5"/>
          </w:tcPr>
          <w:p>
            <w:pPr>
              <w:ind w:left="180"/>
              <w:spacing w:after="0"/>
              <w:rPr>
                <w:sz w:val="20"/>
                <w:szCs w:val="20"/>
                <w:color w:val="auto"/>
              </w:rPr>
            </w:pPr>
            <w:r>
              <w:rPr>
                <w:rFonts w:ascii="Arial" w:cs="Arial" w:eastAsia="Arial" w:hAnsi="Arial"/>
                <w:sz w:val="18"/>
                <w:szCs w:val="18"/>
                <w:color w:val="auto"/>
              </w:rPr>
              <w:t>Reserves for loan losses as a percentage of</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5000" w:type="dxa"/>
            <w:vAlign w:val="bottom"/>
            <w:gridSpan w:val="5"/>
            <w:shd w:val="clear" w:color="auto" w:fill="CCFFCC"/>
          </w:tcPr>
          <w:p>
            <w:pPr>
              <w:ind w:left="340"/>
              <w:spacing w:after="0"/>
              <w:rPr>
                <w:sz w:val="20"/>
                <w:szCs w:val="20"/>
                <w:color w:val="auto"/>
              </w:rPr>
            </w:pPr>
            <w:r>
              <w:rPr>
                <w:rFonts w:ascii="Arial" w:cs="Arial" w:eastAsia="Arial" w:hAnsi="Arial"/>
                <w:sz w:val="18"/>
                <w:szCs w:val="18"/>
                <w:color w:val="auto"/>
              </w:rPr>
              <w:t>total loans</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2.47%</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4.04%</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3.00%</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2.47%</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3.00%</w:t>
            </w:r>
          </w:p>
        </w:tc>
      </w:tr>
      <w:tr>
        <w:trPr>
          <w:trHeight w:val="473"/>
        </w:trPr>
        <w:tc>
          <w:tcPr>
            <w:tcW w:w="5000" w:type="dxa"/>
            <w:vAlign w:val="bottom"/>
            <w:gridSpan w:val="5"/>
          </w:tcPr>
          <w:p>
            <w:pPr>
              <w:spacing w:after="0"/>
              <w:rPr>
                <w:sz w:val="20"/>
                <w:szCs w:val="20"/>
                <w:color w:val="auto"/>
              </w:rPr>
            </w:pPr>
            <w:r>
              <w:rPr>
                <w:rFonts w:ascii="Arial" w:cs="Arial" w:eastAsia="Arial" w:hAnsi="Arial"/>
                <w:sz w:val="18"/>
                <w:szCs w:val="18"/>
                <w:b w:val="1"/>
                <w:bCs w:val="1"/>
                <w:color w:val="auto"/>
              </w:rPr>
              <w:t>Operating efficiency</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4"/>
        </w:trPr>
        <w:tc>
          <w:tcPr>
            <w:tcW w:w="94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43"/>
        </w:trPr>
        <w:tc>
          <w:tcPr>
            <w:tcW w:w="5000" w:type="dxa"/>
            <w:vAlign w:val="bottom"/>
            <w:gridSpan w:val="5"/>
            <w:shd w:val="clear" w:color="auto" w:fill="CCFFCC"/>
          </w:tcPr>
          <w:p>
            <w:pPr>
              <w:ind w:left="180"/>
              <w:spacing w:after="0"/>
              <w:rPr>
                <w:sz w:val="20"/>
                <w:szCs w:val="20"/>
                <w:color w:val="auto"/>
              </w:rPr>
            </w:pPr>
            <w:r>
              <w:rPr>
                <w:rFonts w:ascii="Arial" w:cs="Arial" w:eastAsia="Arial" w:hAnsi="Arial"/>
                <w:sz w:val="18"/>
                <w:szCs w:val="18"/>
                <w:color w:val="auto"/>
              </w:rPr>
              <w:t>Oper. expense as a percent. of total income (5)</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40.18%</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46.20%</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42.49%</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40.18%</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42.49%</w:t>
            </w:r>
          </w:p>
        </w:tc>
      </w:tr>
      <w:tr>
        <w:trPr>
          <w:trHeight w:val="243"/>
        </w:trPr>
        <w:tc>
          <w:tcPr>
            <w:tcW w:w="5000" w:type="dxa"/>
            <w:vAlign w:val="bottom"/>
            <w:gridSpan w:val="5"/>
          </w:tcPr>
          <w:p>
            <w:pPr>
              <w:ind w:left="180"/>
              <w:spacing w:after="0"/>
              <w:rPr>
                <w:sz w:val="20"/>
                <w:szCs w:val="20"/>
                <w:color w:val="auto"/>
              </w:rPr>
            </w:pPr>
            <w:r>
              <w:rPr>
                <w:rFonts w:ascii="Arial" w:cs="Arial" w:eastAsia="Arial" w:hAnsi="Arial"/>
                <w:sz w:val="18"/>
                <w:szCs w:val="18"/>
                <w:color w:val="auto"/>
              </w:rPr>
              <w:t>Oper. expense as a percent. of av. tot. assets(2)(3)(5)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3.42%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4.04%</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4.05%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3.92%</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4.16%</w:t>
            </w:r>
          </w:p>
        </w:tc>
      </w:tr>
      <w:tr>
        <w:trPr>
          <w:trHeight w:val="473"/>
        </w:trPr>
        <w:tc>
          <w:tcPr>
            <w:tcW w:w="5000" w:type="dxa"/>
            <w:vAlign w:val="bottom"/>
            <w:gridSpan w:val="5"/>
          </w:tcPr>
          <w:p>
            <w:pPr>
              <w:spacing w:after="0"/>
              <w:rPr>
                <w:sz w:val="20"/>
                <w:szCs w:val="20"/>
                <w:color w:val="auto"/>
              </w:rPr>
            </w:pPr>
            <w:r>
              <w:rPr>
                <w:rFonts w:ascii="Arial" w:cs="Arial" w:eastAsia="Arial" w:hAnsi="Arial"/>
                <w:sz w:val="18"/>
                <w:szCs w:val="18"/>
                <w:b w:val="1"/>
                <w:bCs w:val="1"/>
                <w:color w:val="auto"/>
              </w:rPr>
              <w:t xml:space="preserve">Average balances (millions of </w:t>
            </w:r>
            <w:r>
              <w:rPr>
                <w:rFonts w:ascii="Arial" w:cs="Arial" w:eastAsia="Arial" w:hAnsi="Arial"/>
                <w:sz w:val="18"/>
                <w:szCs w:val="18"/>
                <w:b w:val="1"/>
                <w:bCs w:val="1"/>
                <w:u w:val="single" w:color="auto"/>
                <w:color w:val="auto"/>
              </w:rPr>
              <w:t>US$</w:t>
            </w:r>
            <w:r>
              <w:rPr>
                <w:rFonts w:ascii="Arial" w:cs="Arial" w:eastAsia="Arial" w:hAnsi="Arial"/>
                <w:sz w:val="18"/>
                <w:szCs w:val="18"/>
                <w:b w:val="1"/>
                <w:bCs w:val="1"/>
                <w:color w:val="auto"/>
              </w:rPr>
              <w:t>) (3)</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4"/>
        </w:trPr>
        <w:tc>
          <w:tcPr>
            <w:tcW w:w="94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43"/>
        </w:trPr>
        <w:tc>
          <w:tcPr>
            <w:tcW w:w="5000" w:type="dxa"/>
            <w:vAlign w:val="bottom"/>
            <w:gridSpan w:val="5"/>
            <w:shd w:val="clear" w:color="auto" w:fill="CCFFCC"/>
          </w:tcPr>
          <w:p>
            <w:pPr>
              <w:ind w:left="180"/>
              <w:spacing w:after="0"/>
              <w:rPr>
                <w:sz w:val="20"/>
                <w:szCs w:val="20"/>
                <w:color w:val="auto"/>
              </w:rPr>
            </w:pPr>
            <w:r>
              <w:rPr>
                <w:rFonts w:ascii="Arial" w:cs="Arial" w:eastAsia="Arial" w:hAnsi="Arial"/>
                <w:sz w:val="18"/>
                <w:szCs w:val="18"/>
                <w:color w:val="auto"/>
              </w:rPr>
              <w:t>Interest earning assets</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15,100</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13,498</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10,784</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13,189</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10,178</w:t>
            </w:r>
          </w:p>
        </w:tc>
      </w:tr>
      <w:tr>
        <w:trPr>
          <w:trHeight w:val="243"/>
        </w:trPr>
        <w:tc>
          <w:tcPr>
            <w:tcW w:w="5000" w:type="dxa"/>
            <w:vAlign w:val="bottom"/>
            <w:gridSpan w:val="5"/>
          </w:tcPr>
          <w:p>
            <w:pPr>
              <w:ind w:left="180"/>
              <w:spacing w:after="0"/>
              <w:rPr>
                <w:sz w:val="20"/>
                <w:szCs w:val="20"/>
                <w:color w:val="auto"/>
              </w:rPr>
            </w:pPr>
            <w:r>
              <w:rPr>
                <w:rFonts w:ascii="Arial" w:cs="Arial" w:eastAsia="Arial" w:hAnsi="Arial"/>
                <w:sz w:val="18"/>
                <w:szCs w:val="18"/>
                <w:color w:val="auto"/>
              </w:rPr>
              <w:t>Total Assets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18,826</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16,744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12,370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16,411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12,053</w:t>
            </w:r>
          </w:p>
        </w:tc>
      </w:tr>
      <w:tr>
        <w:trPr>
          <w:trHeight w:val="243"/>
        </w:trPr>
        <w:tc>
          <w:tcPr>
            <w:tcW w:w="5000" w:type="dxa"/>
            <w:vAlign w:val="bottom"/>
            <w:gridSpan w:val="5"/>
            <w:shd w:val="clear" w:color="auto" w:fill="CCFFCC"/>
          </w:tcPr>
          <w:p>
            <w:pPr>
              <w:ind w:left="180"/>
              <w:spacing w:after="0"/>
              <w:rPr>
                <w:sz w:val="20"/>
                <w:szCs w:val="20"/>
                <w:color w:val="auto"/>
              </w:rPr>
            </w:pPr>
            <w:r>
              <w:rPr>
                <w:rFonts w:ascii="Arial" w:cs="Arial" w:eastAsia="Arial" w:hAnsi="Arial"/>
                <w:sz w:val="18"/>
                <w:szCs w:val="18"/>
                <w:color w:val="auto"/>
              </w:rPr>
              <w:t>Net equity</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1,763</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1,640</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1,347</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1,612</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1,285</w:t>
            </w:r>
          </w:p>
        </w:tc>
      </w:tr>
    </w:tbl>
    <w:p>
      <w:pPr>
        <w:spacing w:after="0" w:line="238"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Based on Net Income attributed to BAP. Number of shares outstanding of 79.8 million in all periods.</w:t>
      </w:r>
    </w:p>
    <w:p>
      <w:pPr>
        <w:spacing w:after="0" w:line="21" w:lineRule="exact"/>
        <w:rPr>
          <w:rFonts w:ascii="Arial" w:cs="Arial" w:eastAsia="Arial" w:hAnsi="Arial"/>
          <w:sz w:val="14"/>
          <w:szCs w:val="14"/>
          <w:i w:val="1"/>
          <w:iCs w:val="1"/>
          <w:color w:val="auto"/>
        </w:rPr>
      </w:pPr>
    </w:p>
    <w:p>
      <w:pPr>
        <w:ind w:left="220" w:hanging="212"/>
        <w:spacing w:after="0"/>
        <w:tabs>
          <w:tab w:leader="none" w:pos="22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Ratios are annualized.</w:t>
      </w:r>
    </w:p>
    <w:p>
      <w:pPr>
        <w:spacing w:after="0" w:line="14" w:lineRule="exact"/>
        <w:rPr>
          <w:rFonts w:ascii="Arial" w:cs="Arial" w:eastAsia="Arial" w:hAnsi="Arial"/>
          <w:sz w:val="14"/>
          <w:szCs w:val="14"/>
          <w:i w:val="1"/>
          <w:iCs w:val="1"/>
          <w:color w:val="auto"/>
        </w:rPr>
      </w:pPr>
    </w:p>
    <w:p>
      <w:pPr>
        <w:ind w:left="220" w:hanging="212"/>
        <w:spacing w:after="0"/>
        <w:tabs>
          <w:tab w:leader="none" w:pos="22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Averages are determined as the average of period-beginning and period-ending balances.</w:t>
      </w:r>
    </w:p>
    <w:p>
      <w:pPr>
        <w:spacing w:after="0" w:line="14" w:lineRule="exact"/>
        <w:rPr>
          <w:rFonts w:ascii="Arial" w:cs="Arial" w:eastAsia="Arial" w:hAnsi="Arial"/>
          <w:sz w:val="14"/>
          <w:szCs w:val="14"/>
          <w:i w:val="1"/>
          <w:iCs w:val="1"/>
          <w:color w:val="auto"/>
        </w:rPr>
      </w:pPr>
    </w:p>
    <w:p>
      <w:pPr>
        <w:ind w:left="220" w:hanging="212"/>
        <w:spacing w:after="0"/>
        <w:tabs>
          <w:tab w:leader="none" w:pos="22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Net of treasury shares. The total number of shares was of 94.38 million.</w:t>
      </w:r>
    </w:p>
    <w:p>
      <w:pPr>
        <w:spacing w:after="0" w:line="14" w:lineRule="exact"/>
        <w:rPr>
          <w:rFonts w:ascii="Arial" w:cs="Arial" w:eastAsia="Arial" w:hAnsi="Arial"/>
          <w:sz w:val="14"/>
          <w:szCs w:val="14"/>
          <w:i w:val="1"/>
          <w:iCs w:val="1"/>
          <w:color w:val="auto"/>
        </w:rPr>
      </w:pPr>
    </w:p>
    <w:p>
      <w:pPr>
        <w:ind w:left="220" w:hanging="212"/>
        <w:spacing w:after="0"/>
        <w:tabs>
          <w:tab w:leader="none" w:pos="22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Total income includes net interest income, fee income, net gain on foreign exchange transactions and net premiums earned. Operating expense does not include Other expenses.</w:t>
      </w:r>
    </w:p>
    <w:p>
      <w:pPr>
        <w:spacing w:after="0" w:line="14" w:lineRule="exact"/>
        <w:rPr>
          <w:rFonts w:ascii="Arial" w:cs="Arial" w:eastAsia="Arial" w:hAnsi="Arial"/>
          <w:sz w:val="14"/>
          <w:szCs w:val="14"/>
          <w:i w:val="1"/>
          <w:iCs w:val="1"/>
          <w:color w:val="auto"/>
        </w:rPr>
      </w:pPr>
    </w:p>
    <w:p>
      <w:pPr>
        <w:ind w:left="220" w:hanging="212"/>
        <w:spacing w:after="0"/>
        <w:tabs>
          <w:tab w:leader="none" w:pos="22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For holding's financial institutions.</w:t>
      </w:r>
    </w:p>
    <w:p>
      <w:pPr>
        <w:spacing w:after="0" w:line="14" w:lineRule="exact"/>
        <w:rPr>
          <w:rFonts w:ascii="Arial" w:cs="Arial" w:eastAsia="Arial" w:hAnsi="Arial"/>
          <w:sz w:val="14"/>
          <w:szCs w:val="14"/>
          <w:i w:val="1"/>
          <w:iCs w:val="1"/>
          <w:color w:val="auto"/>
        </w:rPr>
      </w:pPr>
    </w:p>
    <w:p>
      <w:pPr>
        <w:ind w:left="220" w:hanging="212"/>
        <w:spacing w:after="0"/>
        <w:tabs>
          <w:tab w:leader="none" w:pos="22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Risk-weighted assets include market risk.</w:t>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26" w:right="239" w:bottom="1440" w:gutter="0" w:footer="0" w:header="0"/>
        </w:sectPr>
      </w:pPr>
    </w:p>
    <w:bookmarkStart w:id="39" w:name="page40"/>
    <w:bookmarkEnd w:id="39"/>
    <w:p>
      <w:pPr>
        <w:jc w:val="center"/>
        <w:ind w:right="180"/>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3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CONSOLIDATED BALANCE SHEET</w:t>
      </w:r>
    </w:p>
    <w:p>
      <w:pPr>
        <w:spacing w:after="0" w:line="3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(In US$ thousands, IFRS)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As of</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Mar-08/ Mar-</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Mar-08/ Dec-</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20" w:type="dxa"/>
            <w:vAlign w:val="bottom"/>
          </w:tcPr>
          <w:p>
            <w:pPr>
              <w:spacing w:after="0"/>
              <w:rPr>
                <w:sz w:val="23"/>
                <w:szCs w:val="23"/>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Mar-08</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Dec-07</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Mar-07</w:t>
            </w: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07</w:t>
            </w:r>
          </w:p>
        </w:tc>
        <w:tc>
          <w:tcPr>
            <w:tcW w:w="200" w:type="dxa"/>
            <w:vAlign w:val="bottom"/>
          </w:tcPr>
          <w:p>
            <w:pPr>
              <w:spacing w:after="0"/>
              <w:rPr>
                <w:sz w:val="23"/>
                <w:szCs w:val="23"/>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07</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502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ASSETS</w:t>
            </w: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and due from banks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2,640,741</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2,765,209</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2,343,833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320"/>
              <w:spacing w:after="0"/>
              <w:rPr>
                <w:sz w:val="20"/>
                <w:szCs w:val="20"/>
                <w:color w:val="auto"/>
              </w:rPr>
            </w:pPr>
            <w:r>
              <w:rPr>
                <w:rFonts w:ascii="Arial" w:cs="Arial" w:eastAsia="Arial" w:hAnsi="Arial"/>
                <w:sz w:val="18"/>
                <w:szCs w:val="18"/>
                <w:color w:val="auto"/>
              </w:rPr>
              <w:t>Cash and BCRP</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2,304,499</w:t>
            </w:r>
          </w:p>
        </w:tc>
        <w:tc>
          <w:tcPr>
            <w:tcW w:w="1140" w:type="dxa"/>
            <w:vAlign w:val="bottom"/>
          </w:tcPr>
          <w:p>
            <w:pPr>
              <w:jc w:val="right"/>
              <w:spacing w:after="0"/>
              <w:rPr>
                <w:sz w:val="20"/>
                <w:szCs w:val="20"/>
                <w:color w:val="auto"/>
              </w:rPr>
            </w:pPr>
            <w:r>
              <w:rPr>
                <w:rFonts w:ascii="Arial" w:cs="Arial" w:eastAsia="Arial" w:hAnsi="Arial"/>
                <w:sz w:val="18"/>
                <w:szCs w:val="18"/>
                <w:color w:val="auto"/>
              </w:rPr>
              <w:t>2,362,339</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1,834,901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Deposits in other Banks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330,662</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393,042</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500,540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-33.9%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320"/>
              <w:spacing w:after="0"/>
              <w:rPr>
                <w:sz w:val="20"/>
                <w:szCs w:val="20"/>
                <w:color w:val="auto"/>
              </w:rPr>
            </w:pPr>
            <w:r>
              <w:rPr>
                <w:rFonts w:ascii="Arial" w:cs="Arial" w:eastAsia="Arial" w:hAnsi="Arial"/>
                <w:sz w:val="18"/>
                <w:szCs w:val="18"/>
                <w:color w:val="auto"/>
              </w:rPr>
              <w:t>Interbanks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1,468</w:t>
            </w:r>
          </w:p>
        </w:tc>
        <w:tc>
          <w:tcPr>
            <w:tcW w:w="114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4,542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-67.7%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Accrued interest on cash and due from banks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4,111</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4,828</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3,850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0"/>
        </w:trPr>
        <w:tc>
          <w:tcPr>
            <w:tcW w:w="5040" w:type="dxa"/>
            <w:vAlign w:val="bottom"/>
            <w:gridSpan w:val="2"/>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Marketable securities, net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38,538</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102,316</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54,505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70"/>
        </w:trPr>
        <w:tc>
          <w:tcPr>
            <w:tcW w:w="5040" w:type="dxa"/>
            <w:vAlign w:val="bottom"/>
            <w:gridSpan w:val="2"/>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w:t>
            </w: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320"/>
              <w:spacing w:after="0"/>
              <w:rPr>
                <w:sz w:val="20"/>
                <w:szCs w:val="20"/>
                <w:color w:val="auto"/>
              </w:rPr>
            </w:pPr>
            <w:r>
              <w:rPr>
                <w:rFonts w:ascii="Arial" w:cs="Arial" w:eastAsia="Arial" w:hAnsi="Arial"/>
                <w:sz w:val="18"/>
                <w:szCs w:val="18"/>
                <w:color w:val="auto"/>
              </w:rPr>
              <w:t>Current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8,767,674</w:t>
            </w:r>
          </w:p>
        </w:tc>
        <w:tc>
          <w:tcPr>
            <w:tcW w:w="1140" w:type="dxa"/>
            <w:vAlign w:val="bottom"/>
          </w:tcPr>
          <w:p>
            <w:pPr>
              <w:jc w:val="right"/>
              <w:spacing w:after="0"/>
              <w:rPr>
                <w:sz w:val="20"/>
                <w:szCs w:val="20"/>
                <w:color w:val="auto"/>
              </w:rPr>
            </w:pPr>
            <w:r>
              <w:rPr>
                <w:rFonts w:ascii="Arial" w:cs="Arial" w:eastAsia="Arial" w:hAnsi="Arial"/>
                <w:sz w:val="18"/>
                <w:szCs w:val="18"/>
                <w:color w:val="auto"/>
              </w:rPr>
              <w:t>8,164,334</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6,109,064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43.5%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Past Due</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70,015</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60,279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73,237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320"/>
              <w:spacing w:after="0"/>
              <w:rPr>
                <w:sz w:val="20"/>
                <w:szCs w:val="20"/>
                <w:color w:val="auto"/>
              </w:rPr>
            </w:pPr>
            <w:r>
              <w:rPr>
                <w:rFonts w:ascii="Arial" w:cs="Arial" w:eastAsia="Arial" w:hAnsi="Arial"/>
                <w:sz w:val="18"/>
                <w:szCs w:val="18"/>
                <w:color w:val="auto"/>
              </w:rPr>
              <w:t>Less - Reserve for possible loan losses</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(219,295)</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(212,060)</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(184,627)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 net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8,618,394</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8,012,553</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5,997,673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43.7%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0"/>
        </w:trPr>
        <w:tc>
          <w:tcPr>
            <w:tcW w:w="5040" w:type="dxa"/>
            <w:vAlign w:val="bottom"/>
            <w:gridSpan w:val="2"/>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Investment securities available for sale</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4,928,259</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3,377,263</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2,344,510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110.2%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217,746</w:t>
            </w:r>
          </w:p>
        </w:tc>
        <w:tc>
          <w:tcPr>
            <w:tcW w:w="1140" w:type="dxa"/>
            <w:vAlign w:val="bottom"/>
          </w:tcPr>
          <w:p>
            <w:pPr>
              <w:jc w:val="right"/>
              <w:spacing w:after="0"/>
              <w:rPr>
                <w:sz w:val="20"/>
                <w:szCs w:val="20"/>
                <w:color w:val="auto"/>
              </w:rPr>
            </w:pPr>
            <w:r>
              <w:rPr>
                <w:rFonts w:ascii="Arial" w:cs="Arial" w:eastAsia="Arial" w:hAnsi="Arial"/>
                <w:sz w:val="18"/>
                <w:szCs w:val="18"/>
                <w:color w:val="auto"/>
              </w:rPr>
              <w:t>217,049</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192,113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Due from customers acceptances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49,594</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35,822</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30,972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60.1%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806,106</w:t>
            </w:r>
          </w:p>
        </w:tc>
        <w:tc>
          <w:tcPr>
            <w:tcW w:w="1140" w:type="dxa"/>
            <w:vAlign w:val="bottom"/>
          </w:tcPr>
          <w:p>
            <w:pPr>
              <w:jc w:val="right"/>
              <w:spacing w:after="0"/>
              <w:rPr>
                <w:sz w:val="20"/>
                <w:szCs w:val="20"/>
                <w:color w:val="auto"/>
              </w:rPr>
            </w:pPr>
            <w:r>
              <w:rPr>
                <w:rFonts w:ascii="Arial" w:cs="Arial" w:eastAsia="Arial" w:hAnsi="Arial"/>
                <w:sz w:val="18"/>
                <w:szCs w:val="18"/>
                <w:color w:val="auto"/>
              </w:rPr>
              <w:t>661,126</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439,584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83.4%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2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jc w:val="center"/>
              <w:ind w:right="130"/>
              <w:spacing w:after="0"/>
              <w:rPr>
                <w:sz w:val="20"/>
                <w:szCs w:val="20"/>
                <w:color w:val="auto"/>
              </w:rPr>
            </w:pPr>
            <w:r>
              <w:rPr>
                <w:rFonts w:ascii="Arial" w:cs="Arial" w:eastAsia="Arial" w:hAnsi="Arial"/>
                <w:sz w:val="18"/>
                <w:szCs w:val="18"/>
                <w:b w:val="1"/>
                <w:bCs w:val="1"/>
                <w:color w:val="auto"/>
                <w:w w:val="85"/>
              </w:rPr>
              <w:t>Total Assets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17,299,378</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15,171,338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11,403,190</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51.7%</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2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jc w:val="center"/>
              <w:ind w:right="130"/>
              <w:spacing w:after="0"/>
              <w:rPr>
                <w:sz w:val="20"/>
                <w:szCs w:val="20"/>
                <w:color w:val="auto"/>
              </w:rPr>
            </w:pPr>
            <w:r>
              <w:rPr>
                <w:rFonts w:ascii="Arial" w:cs="Arial" w:eastAsia="Arial" w:hAnsi="Arial"/>
                <w:sz w:val="18"/>
                <w:szCs w:val="18"/>
                <w:b w:val="1"/>
                <w:bCs w:val="1"/>
                <w:color w:val="auto"/>
              </w:rPr>
              <w:t>LIABILITIES AND SHAREHOLDERS' EQUITY</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2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Deposits and obligations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12,938,927</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11,249,104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8,842,654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46.3%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Demand deposits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3,726,879</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3,656,678</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2,985,931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320"/>
              <w:spacing w:after="0"/>
              <w:rPr>
                <w:sz w:val="20"/>
                <w:szCs w:val="20"/>
                <w:color w:val="auto"/>
              </w:rPr>
            </w:pPr>
            <w:r>
              <w:rPr>
                <w:rFonts w:ascii="Arial" w:cs="Arial" w:eastAsia="Arial" w:hAnsi="Arial"/>
                <w:sz w:val="18"/>
                <w:szCs w:val="18"/>
                <w:color w:val="auto"/>
              </w:rPr>
              <w:t>Saving deposits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2,749,983</w:t>
            </w:r>
          </w:p>
        </w:tc>
        <w:tc>
          <w:tcPr>
            <w:tcW w:w="1140" w:type="dxa"/>
            <w:vAlign w:val="bottom"/>
          </w:tcPr>
          <w:p>
            <w:pPr>
              <w:jc w:val="right"/>
              <w:spacing w:after="0"/>
              <w:rPr>
                <w:sz w:val="20"/>
                <w:szCs w:val="20"/>
                <w:color w:val="auto"/>
              </w:rPr>
            </w:pPr>
            <w:r>
              <w:rPr>
                <w:rFonts w:ascii="Arial" w:cs="Arial" w:eastAsia="Arial" w:hAnsi="Arial"/>
                <w:sz w:val="18"/>
                <w:szCs w:val="18"/>
                <w:color w:val="auto"/>
              </w:rPr>
              <w:t>2,381,012</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2,066,269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33.1%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Time deposits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5,543,993</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4,268,233</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3,021,401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83.5%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320"/>
              <w:spacing w:after="0"/>
              <w:rPr>
                <w:sz w:val="20"/>
                <w:szCs w:val="20"/>
                <w:color w:val="auto"/>
              </w:rPr>
            </w:pPr>
            <w:r>
              <w:rPr>
                <w:rFonts w:ascii="Arial" w:cs="Arial" w:eastAsia="Arial" w:hAnsi="Arial"/>
                <w:sz w:val="18"/>
                <w:szCs w:val="18"/>
                <w:color w:val="auto"/>
              </w:rPr>
              <w:t>Severance indemnity deposits (CTS)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859,630</w:t>
            </w:r>
          </w:p>
        </w:tc>
        <w:tc>
          <w:tcPr>
            <w:tcW w:w="1140" w:type="dxa"/>
            <w:vAlign w:val="bottom"/>
          </w:tcPr>
          <w:p>
            <w:pPr>
              <w:jc w:val="right"/>
              <w:spacing w:after="0"/>
              <w:rPr>
                <w:sz w:val="20"/>
                <w:szCs w:val="20"/>
                <w:color w:val="auto"/>
              </w:rPr>
            </w:pPr>
            <w:r>
              <w:rPr>
                <w:rFonts w:ascii="Arial" w:cs="Arial" w:eastAsia="Arial" w:hAnsi="Arial"/>
                <w:sz w:val="18"/>
                <w:szCs w:val="18"/>
                <w:color w:val="auto"/>
              </w:rPr>
              <w:t>896,283</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733,835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Interest payable</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58,442</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46,899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35,219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65.9%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0"/>
        </w:trPr>
        <w:tc>
          <w:tcPr>
            <w:tcW w:w="5040" w:type="dxa"/>
            <w:vAlign w:val="bottom"/>
            <w:gridSpan w:val="2"/>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color w:val="auto"/>
              </w:rPr>
              <w:t>Due to banks and correspondents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1,538,238</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1,459,359</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560,691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174.3%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Bonds and subordinated debt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768,783</w:t>
            </w:r>
          </w:p>
        </w:tc>
        <w:tc>
          <w:tcPr>
            <w:tcW w:w="1140" w:type="dxa"/>
            <w:vAlign w:val="bottom"/>
          </w:tcPr>
          <w:p>
            <w:pPr>
              <w:jc w:val="right"/>
              <w:spacing w:after="0"/>
              <w:rPr>
                <w:sz w:val="20"/>
                <w:szCs w:val="20"/>
                <w:color w:val="auto"/>
              </w:rPr>
            </w:pPr>
            <w:r>
              <w:rPr>
                <w:rFonts w:ascii="Arial" w:cs="Arial" w:eastAsia="Arial" w:hAnsi="Arial"/>
                <w:sz w:val="18"/>
                <w:szCs w:val="18"/>
                <w:color w:val="auto"/>
              </w:rPr>
              <w:t>721,056</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517,313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48.6%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Acceptances outstanding</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49,594</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35,822</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30,972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60.1%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Other liabilities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808,248</w:t>
            </w:r>
          </w:p>
        </w:tc>
        <w:tc>
          <w:tcPr>
            <w:tcW w:w="1140" w:type="dxa"/>
            <w:vAlign w:val="bottom"/>
          </w:tcPr>
          <w:p>
            <w:pPr>
              <w:jc w:val="right"/>
              <w:spacing w:after="0"/>
              <w:rPr>
                <w:sz w:val="20"/>
                <w:szCs w:val="20"/>
                <w:color w:val="auto"/>
              </w:rPr>
            </w:pPr>
            <w:r>
              <w:rPr>
                <w:rFonts w:ascii="Arial" w:cs="Arial" w:eastAsia="Arial" w:hAnsi="Arial"/>
                <w:sz w:val="18"/>
                <w:szCs w:val="18"/>
                <w:color w:val="auto"/>
              </w:rPr>
              <w:t>573,433</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570,074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41.8%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2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Total liabilities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16,103,791</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14,038,774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10,521,705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53.1%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2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NET SHAREHOLDERS' EQUITY</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1,195,587</w:t>
            </w:r>
          </w:p>
        </w:tc>
        <w:tc>
          <w:tcPr>
            <w:tcW w:w="1140" w:type="dxa"/>
            <w:vAlign w:val="bottom"/>
          </w:tcPr>
          <w:p>
            <w:pPr>
              <w:jc w:val="right"/>
              <w:spacing w:after="0"/>
              <w:rPr>
                <w:sz w:val="20"/>
                <w:szCs w:val="20"/>
                <w:color w:val="auto"/>
              </w:rPr>
            </w:pPr>
            <w:r>
              <w:rPr>
                <w:rFonts w:ascii="Arial" w:cs="Arial" w:eastAsia="Arial" w:hAnsi="Arial"/>
                <w:sz w:val="18"/>
                <w:szCs w:val="18"/>
                <w:color w:val="auto"/>
              </w:rPr>
              <w:t>1,132,564</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881,485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35.6%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Capital stock</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364,706</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364,706</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364,706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320"/>
              <w:spacing w:after="0"/>
              <w:rPr>
                <w:sz w:val="20"/>
                <w:szCs w:val="20"/>
                <w:color w:val="auto"/>
              </w:rPr>
            </w:pPr>
            <w:r>
              <w:rPr>
                <w:rFonts w:ascii="Arial" w:cs="Arial" w:eastAsia="Arial" w:hAnsi="Arial"/>
                <w:sz w:val="18"/>
                <w:szCs w:val="18"/>
                <w:color w:val="auto"/>
              </w:rPr>
              <w:t>Reserves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388,062</w:t>
            </w:r>
          </w:p>
        </w:tc>
        <w:tc>
          <w:tcPr>
            <w:tcW w:w="1140" w:type="dxa"/>
            <w:vAlign w:val="bottom"/>
          </w:tcPr>
          <w:p>
            <w:pPr>
              <w:jc w:val="right"/>
              <w:spacing w:after="0"/>
              <w:rPr>
                <w:sz w:val="20"/>
                <w:szCs w:val="20"/>
                <w:color w:val="auto"/>
              </w:rPr>
            </w:pPr>
            <w:r>
              <w:rPr>
                <w:rFonts w:ascii="Arial" w:cs="Arial" w:eastAsia="Arial" w:hAnsi="Arial"/>
                <w:sz w:val="18"/>
                <w:szCs w:val="18"/>
                <w:color w:val="auto"/>
              </w:rPr>
              <w:t>282,189</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282,189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37.5%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Unrealized Gains and Losses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90,285</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57,771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65,449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186,761</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96,245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96,484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93.6%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Income for the year</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165,772</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331,652</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72,657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128.2%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50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020" w:type="dxa"/>
            <w:vAlign w:val="bottom"/>
            <w:shd w:val="clear" w:color="auto" w:fill="CCFFCC"/>
          </w:tcPr>
          <w:p>
            <w:pPr>
              <w:spacing w:after="0" w:line="198" w:lineRule="exact"/>
              <w:rPr>
                <w:sz w:val="20"/>
                <w:szCs w:val="20"/>
                <w:color w:val="auto"/>
              </w:rPr>
            </w:pPr>
            <w:r>
              <w:rPr>
                <w:rFonts w:ascii="Arial" w:cs="Arial" w:eastAsia="Arial" w:hAnsi="Arial"/>
                <w:sz w:val="18"/>
                <w:szCs w:val="18"/>
                <w:b w:val="1"/>
                <w:bCs w:val="1"/>
                <w:color w:val="auto"/>
              </w:rPr>
              <w:t>TOTAL LIABILITIES and NET SHAREHOLDERS'</w:t>
            </w: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EQUITY</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17,299,378</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15,171,338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11,403,190</w:t>
            </w:r>
          </w:p>
        </w:tc>
        <w:tc>
          <w:tcPr>
            <w:tcW w:w="1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51.7%</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14.0%</w:t>
            </w:r>
          </w:p>
        </w:tc>
        <w:tc>
          <w:tcPr>
            <w:tcW w:w="0" w:type="dxa"/>
            <w:vAlign w:val="bottom"/>
          </w:tcPr>
          <w:p>
            <w:pPr>
              <w:spacing w:after="0"/>
              <w:rPr>
                <w:sz w:val="1"/>
                <w:szCs w:val="1"/>
                <w:color w:val="auto"/>
              </w:rPr>
            </w:pPr>
          </w:p>
        </w:tc>
      </w:tr>
      <w:tr>
        <w:trPr>
          <w:trHeight w:val="270"/>
        </w:trPr>
        <w:tc>
          <w:tcPr>
            <w:tcW w:w="5040" w:type="dxa"/>
            <w:vAlign w:val="bottom"/>
            <w:gridSpan w:val="2"/>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CONTINGENT CREDITS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6,071,114</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5,011,497</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3,740,352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62.3%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26" w:right="239" w:bottom="667"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tcBorders>
              <w:bottom w:val="single" w:sz="8" w:color="auto"/>
            </w:tcBorders>
            <w:gridSpan w:val="5"/>
          </w:tcPr>
          <w:p>
            <w:pPr>
              <w:ind w:left="960"/>
              <w:spacing w:after="0"/>
              <w:rPr>
                <w:sz w:val="20"/>
                <w:szCs w:val="20"/>
                <w:color w:val="auto"/>
              </w:rPr>
            </w:pPr>
            <w:r>
              <w:rPr>
                <w:rFonts w:ascii="Arial" w:cs="Arial" w:eastAsia="Arial" w:hAnsi="Arial"/>
                <w:sz w:val="18"/>
                <w:szCs w:val="18"/>
                <w:b w:val="1"/>
                <w:bCs w:val="1"/>
                <w:color w:val="auto"/>
                <w:w w:val="94"/>
              </w:rPr>
              <w:t>Three months ended</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w w:val="96"/>
              </w:rPr>
              <w:t>Change</w:t>
            </w:r>
          </w:p>
        </w:tc>
        <w:tc>
          <w:tcPr>
            <w:tcW w:w="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91"/>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center"/>
              <w:ind w:right="520"/>
              <w:spacing w:after="0" w:line="191" w:lineRule="exact"/>
              <w:rPr>
                <w:sz w:val="20"/>
                <w:szCs w:val="20"/>
                <w:color w:val="auto"/>
              </w:rPr>
            </w:pPr>
            <w:r>
              <w:rPr>
                <w:rFonts w:ascii="Arial" w:cs="Arial" w:eastAsia="Arial" w:hAnsi="Arial"/>
                <w:sz w:val="18"/>
                <w:szCs w:val="18"/>
                <w:b w:val="1"/>
                <w:bCs w:val="1"/>
                <w:color w:val="auto"/>
                <w:w w:val="93"/>
              </w:rPr>
              <w:t>1Q08/</w:t>
            </w:r>
          </w:p>
        </w:tc>
        <w:tc>
          <w:tcPr>
            <w:tcW w:w="82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93"/>
              </w:rPr>
              <w:t>1Q08/</w:t>
            </w:r>
          </w:p>
        </w:tc>
        <w:tc>
          <w:tcPr>
            <w:tcW w:w="180" w:type="dxa"/>
            <w:vAlign w:val="bottom"/>
          </w:tcPr>
          <w:p>
            <w:pPr>
              <w:spacing w:after="0"/>
              <w:rPr>
                <w:sz w:val="16"/>
                <w:szCs w:val="16"/>
                <w:color w:val="auto"/>
              </w:rPr>
            </w:pPr>
          </w:p>
        </w:tc>
      </w:tr>
      <w:tr>
        <w:trPr>
          <w:trHeight w:val="234"/>
        </w:trPr>
        <w:tc>
          <w:tcPr>
            <w:tcW w:w="5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1Q08</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4Q07</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1Q07</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1Q07</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4Q07</w:t>
            </w:r>
          </w:p>
        </w:tc>
        <w:tc>
          <w:tcPr>
            <w:tcW w:w="180" w:type="dxa"/>
            <w:vAlign w:val="bottom"/>
          </w:tcPr>
          <w:p>
            <w:pPr>
              <w:spacing w:after="0"/>
              <w:rPr>
                <w:sz w:val="20"/>
                <w:szCs w:val="20"/>
                <w:color w:val="auto"/>
              </w:rPr>
            </w:pPr>
          </w:p>
        </w:tc>
      </w:tr>
      <w:tr>
        <w:trPr>
          <w:trHeight w:val="480"/>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Interest income and expense</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51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Interest and dividend income</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296,660</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272,204</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195,388</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51.8%</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9.0%</w:t>
            </w:r>
          </w:p>
        </w:tc>
      </w:tr>
      <w:tr>
        <w:trPr>
          <w:trHeight w:val="216"/>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(124,049)</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(116,640)</w:t>
            </w:r>
          </w:p>
        </w:tc>
        <w:tc>
          <w:tcPr>
            <w:tcW w:w="2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(72,098)</w:t>
            </w: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72.1%</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r>
      <w:tr>
        <w:trPr>
          <w:trHeight w:val="216"/>
        </w:trPr>
        <w:tc>
          <w:tcPr>
            <w:tcW w:w="51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Net interest and dividend income</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172,611</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155,565</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123,289</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40.0%</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11.0%</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Provision for loan losses</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(16,951)</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(11,089)</w:t>
            </w:r>
          </w:p>
        </w:tc>
        <w:tc>
          <w:tcPr>
            <w:tcW w:w="2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(5,859)</w:t>
            </w: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189.3%</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r>
      <w:tr>
        <w:trPr>
          <w:trHeight w:val="216"/>
        </w:trPr>
        <w:tc>
          <w:tcPr>
            <w:tcW w:w="51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Non financial income</w:t>
            </w: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216"/>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Banking services commissions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79,747</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76,708</w:t>
            </w:r>
          </w:p>
        </w:tc>
        <w:tc>
          <w:tcPr>
            <w:tcW w:w="2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62,470</w:t>
            </w: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27.7%</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216"/>
        </w:trPr>
        <w:tc>
          <w:tcPr>
            <w:tcW w:w="51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Net gain on foreign exchange transactions</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19,971</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21,497</w:t>
            </w: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11,937</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67.3%</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-7.1%</w:t>
            </w:r>
          </w:p>
        </w:tc>
      </w:tr>
      <w:tr>
        <w:trPr>
          <w:trHeight w:val="216"/>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Net gain on sales of securities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22,655</w:t>
            </w:r>
          </w:p>
        </w:tc>
        <w:tc>
          <w:tcPr>
            <w:tcW w:w="1140" w:type="dxa"/>
            <w:vAlign w:val="bottom"/>
          </w:tcPr>
          <w:p>
            <w:pPr>
              <w:jc w:val="right"/>
              <w:spacing w:after="0"/>
              <w:rPr>
                <w:sz w:val="20"/>
                <w:szCs w:val="20"/>
                <w:color w:val="auto"/>
              </w:rPr>
            </w:pPr>
            <w:r>
              <w:rPr>
                <w:rFonts w:ascii="Arial" w:cs="Arial" w:eastAsia="Arial" w:hAnsi="Arial"/>
                <w:sz w:val="18"/>
                <w:szCs w:val="18"/>
                <w:color w:val="auto"/>
              </w:rPr>
              <w:t>2,661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9,210</w:t>
            </w: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146.0%</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751.5%</w:t>
            </w:r>
          </w:p>
        </w:tc>
      </w:tr>
      <w:tr>
        <w:trPr>
          <w:trHeight w:val="216"/>
        </w:trPr>
        <w:tc>
          <w:tcPr>
            <w:tcW w:w="51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2,190</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2,592</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2,638</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-17.0%</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-15.5%</w:t>
            </w:r>
          </w:p>
        </w:tc>
      </w:tr>
      <w:tr>
        <w:trPr>
          <w:trHeight w:val="216"/>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Total fees and income from services, net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124,563</w:t>
            </w:r>
          </w:p>
        </w:tc>
        <w:tc>
          <w:tcPr>
            <w:tcW w:w="1140" w:type="dxa"/>
            <w:vAlign w:val="bottom"/>
          </w:tcPr>
          <w:p>
            <w:pPr>
              <w:jc w:val="right"/>
              <w:spacing w:after="0"/>
              <w:rPr>
                <w:sz w:val="20"/>
                <w:szCs w:val="20"/>
                <w:color w:val="auto"/>
              </w:rPr>
            </w:pPr>
            <w:r>
              <w:rPr>
                <w:rFonts w:ascii="Arial" w:cs="Arial" w:eastAsia="Arial" w:hAnsi="Arial"/>
                <w:sz w:val="18"/>
                <w:szCs w:val="18"/>
                <w:color w:val="auto"/>
              </w:rPr>
              <w:t>103,458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86,255</w:t>
            </w: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44.4%</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r>
      <w:tr>
        <w:trPr>
          <w:trHeight w:val="216"/>
        </w:trPr>
        <w:tc>
          <w:tcPr>
            <w:tcW w:w="51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Operating expenses</w:t>
            </w: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216"/>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Salaries and employees benefits</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(70,553)</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(75,147)</w:t>
            </w:r>
          </w:p>
        </w:tc>
        <w:tc>
          <w:tcPr>
            <w:tcW w:w="2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(51,302)</w:t>
            </w: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37.5%</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r>
        <w:trPr>
          <w:trHeight w:val="216"/>
        </w:trPr>
        <w:tc>
          <w:tcPr>
            <w:tcW w:w="51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Administrative expenses</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(48,520)</w:t>
            </w: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(59,234)</w:t>
            </w: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(37,755)</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28.5%</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-18.1%</w:t>
            </w:r>
          </w:p>
        </w:tc>
      </w:tr>
      <w:tr>
        <w:trPr>
          <w:trHeight w:val="216"/>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(10,364)</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(9,423)</w:t>
            </w: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16"/>
        </w:trPr>
        <w:tc>
          <w:tcPr>
            <w:tcW w:w="51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(8,898)</w:t>
            </w: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(7,485)</w:t>
            </w: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(9,738)</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-8.6%</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18.9%</w:t>
            </w:r>
          </w:p>
        </w:tc>
      </w:tr>
      <w:tr>
        <w:trPr>
          <w:trHeight w:val="216"/>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(138,335)</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(151,867)</w:t>
            </w:r>
          </w:p>
        </w:tc>
        <w:tc>
          <w:tcPr>
            <w:tcW w:w="2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(108,218)</w:t>
            </w: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27.8%</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r>
      <w:tr>
        <w:trPr>
          <w:trHeight w:val="216"/>
        </w:trPr>
        <w:tc>
          <w:tcPr>
            <w:tcW w:w="51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w w:val="99"/>
              </w:rPr>
              <w:t>Net income before worker´s profit sharing and income taxes</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141,888</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96,068</w:t>
            </w: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95,467</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48.6%</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47.7%</w:t>
            </w:r>
          </w:p>
        </w:tc>
      </w:tr>
      <w:tr>
        <w:trPr>
          <w:trHeight w:val="216"/>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Workers’ profit sharing</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(5,073)</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(1,813)</w:t>
            </w:r>
          </w:p>
        </w:tc>
        <w:tc>
          <w:tcPr>
            <w:tcW w:w="2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59.5%</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179.8%</w:t>
            </w:r>
          </w:p>
        </w:tc>
      </w:tr>
      <w:tr>
        <w:trPr>
          <w:trHeight w:val="216"/>
        </w:trPr>
        <w:tc>
          <w:tcPr>
            <w:tcW w:w="51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Income taxes</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(28,292)</w:t>
            </w: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(23,310)</w:t>
            </w: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(20,940)</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35.1%</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21.4%</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Net income before translation results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108,523</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70,945</w:t>
            </w:r>
          </w:p>
        </w:tc>
        <w:tc>
          <w:tcPr>
            <w:tcW w:w="2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71,347</w:t>
            </w: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52.1%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53.0%</w:t>
            </w:r>
          </w:p>
        </w:tc>
      </w:tr>
      <w:tr>
        <w:trPr>
          <w:trHeight w:val="216"/>
        </w:trPr>
        <w:tc>
          <w:tcPr>
            <w:tcW w:w="51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Translation result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57,249</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15,253</w:t>
            </w:r>
          </w:p>
        </w:tc>
        <w:tc>
          <w:tcPr>
            <w:tcW w:w="2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1,310</w:t>
            </w:r>
          </w:p>
        </w:tc>
        <w:tc>
          <w:tcPr>
            <w:tcW w:w="1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4270.1%</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275.3%</w:t>
            </w:r>
          </w:p>
        </w:tc>
      </w:t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165,772</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86,198</w:t>
            </w:r>
          </w:p>
        </w:tc>
        <w:tc>
          <w:tcPr>
            <w:tcW w:w="2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72,657</w:t>
            </w:r>
          </w:p>
        </w:tc>
        <w:tc>
          <w:tcPr>
            <w:tcW w:w="1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128.2%</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92.3%</w:t>
            </w:r>
          </w:p>
        </w:tc>
      </w:tr>
      <w:tr>
        <w:trPr>
          <w:trHeight w:val="441"/>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118"/>
        </w:trPr>
        <w:tc>
          <w:tcPr>
            <w:tcW w:w="50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41" w:name="page42"/>
    <w:bookmarkEnd w:id="41"/>
    <w:p>
      <w:pPr>
        <w:jc w:val="center"/>
        <w:ind w:right="160"/>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3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SELECTED FINANCIAL INDICATORS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780" w:type="dxa"/>
            <w:vAlign w:val="bottom"/>
            <w:tcBorders>
              <w:bottom w:val="single" w:sz="8" w:color="auto"/>
            </w:tcBorders>
            <w:gridSpan w:val="5"/>
          </w:tcPr>
          <w:p>
            <w:pPr>
              <w:ind w:left="1060"/>
              <w:spacing w:after="0"/>
              <w:rPr>
                <w:sz w:val="20"/>
                <w:szCs w:val="20"/>
                <w:color w:val="auto"/>
              </w:rPr>
            </w:pPr>
            <w:r>
              <w:rPr>
                <w:rFonts w:ascii="Arial" w:cs="Arial" w:eastAsia="Arial" w:hAnsi="Arial"/>
                <w:sz w:val="18"/>
                <w:szCs w:val="18"/>
                <w:b w:val="1"/>
                <w:bCs w:val="1"/>
                <w:color w:val="auto"/>
                <w:w w:val="96"/>
              </w:rPr>
              <w:t>Three months ended</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r>
      <w:tr>
        <w:trPr>
          <w:trHeight w:val="291"/>
        </w:trPr>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1Q08</w:t>
            </w:r>
          </w:p>
        </w:tc>
        <w:tc>
          <w:tcPr>
            <w:tcW w:w="15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4Q07</w:t>
            </w:r>
          </w:p>
        </w:tc>
        <w:tc>
          <w:tcPr>
            <w:tcW w:w="1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1Q07</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Mar-08</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Mar-07</w:t>
            </w:r>
          </w:p>
        </w:tc>
      </w:tr>
      <w:tr>
        <w:trPr>
          <w:trHeight w:val="264"/>
        </w:trPr>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1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FFFFFF"/>
              </w:rPr>
              <w:t>11</w:t>
            </w:r>
          </w:p>
        </w:tc>
        <w:tc>
          <w:tcPr>
            <w:tcW w:w="160" w:type="dxa"/>
            <w:vAlign w:val="bottom"/>
          </w:tcPr>
          <w:p>
            <w:pPr>
              <w:spacing w:after="0"/>
              <w:rPr>
                <w:sz w:val="22"/>
                <w:szCs w:val="22"/>
                <w:color w:val="auto"/>
              </w:rPr>
            </w:pPr>
          </w:p>
        </w:tc>
        <w:tc>
          <w:tcPr>
            <w:tcW w:w="11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FFFFFF"/>
              </w:rPr>
              <w:t>10</w:t>
            </w:r>
          </w:p>
        </w:tc>
        <w:tc>
          <w:tcPr>
            <w:tcW w:w="1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FFFFFF"/>
              </w:rPr>
              <w:t>7</w:t>
            </w:r>
          </w:p>
        </w:tc>
        <w:tc>
          <w:tcPr>
            <w:tcW w:w="160" w:type="dxa"/>
            <w:vAlign w:val="bottom"/>
          </w:tcPr>
          <w:p>
            <w:pPr>
              <w:spacing w:after="0"/>
              <w:rPr>
                <w:sz w:val="22"/>
                <w:szCs w:val="22"/>
                <w:color w:val="auto"/>
              </w:rPr>
            </w:pPr>
          </w:p>
        </w:tc>
        <w:tc>
          <w:tcPr>
            <w:tcW w:w="11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FFFFFF"/>
              </w:rPr>
              <w:t>13</w:t>
            </w:r>
          </w:p>
        </w:tc>
        <w:tc>
          <w:tcPr>
            <w:tcW w:w="160" w:type="dxa"/>
            <w:vAlign w:val="bottom"/>
          </w:tcPr>
          <w:p>
            <w:pPr>
              <w:spacing w:after="0"/>
              <w:rPr>
                <w:sz w:val="22"/>
                <w:szCs w:val="22"/>
                <w:color w:val="auto"/>
              </w:rPr>
            </w:pPr>
          </w:p>
        </w:tc>
        <w:tc>
          <w:tcPr>
            <w:tcW w:w="11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FFFFFF"/>
              </w:rPr>
              <w:t>14</w:t>
            </w:r>
          </w:p>
        </w:tc>
        <w:tc>
          <w:tcPr>
            <w:tcW w:w="160" w:type="dxa"/>
            <w:vAlign w:val="bottom"/>
          </w:tcPr>
          <w:p>
            <w:pPr>
              <w:spacing w:after="0"/>
              <w:rPr>
                <w:sz w:val="22"/>
                <w:szCs w:val="22"/>
                <w:color w:val="auto"/>
              </w:rPr>
            </w:pPr>
          </w:p>
        </w:tc>
      </w:tr>
      <w:tr>
        <w:trPr>
          <w:trHeight w:val="230"/>
        </w:trPr>
        <w:tc>
          <w:tcPr>
            <w:tcW w:w="4980" w:type="dxa"/>
            <w:vAlign w:val="bottom"/>
            <w:gridSpan w:val="6"/>
          </w:tcPr>
          <w:p>
            <w:pPr>
              <w:spacing w:after="0"/>
              <w:rPr>
                <w:sz w:val="20"/>
                <w:szCs w:val="20"/>
                <w:color w:val="auto"/>
              </w:rPr>
            </w:pPr>
            <w:r>
              <w:rPr>
                <w:rFonts w:ascii="Arial" w:cs="Arial" w:eastAsia="Arial" w:hAnsi="Arial"/>
                <w:sz w:val="18"/>
                <w:szCs w:val="18"/>
                <w:b w:val="1"/>
                <w:bCs w:val="1"/>
                <w:color w:val="auto"/>
              </w:rPr>
              <w:t>Profitability</w:t>
            </w: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34"/>
        </w:trPr>
        <w:tc>
          <w:tcPr>
            <w:tcW w:w="9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43"/>
        </w:trPr>
        <w:tc>
          <w:tcPr>
            <w:tcW w:w="4980" w:type="dxa"/>
            <w:vAlign w:val="bottom"/>
            <w:gridSpan w:val="6"/>
            <w:shd w:val="clear" w:color="auto" w:fill="CCFFCC"/>
          </w:tcPr>
          <w:p>
            <w:pPr>
              <w:ind w:left="180"/>
              <w:spacing w:after="0"/>
              <w:rPr>
                <w:sz w:val="20"/>
                <w:szCs w:val="20"/>
                <w:color w:val="auto"/>
              </w:rPr>
            </w:pPr>
            <w:r>
              <w:rPr>
                <w:rFonts w:ascii="Arial" w:cs="Arial" w:eastAsia="Arial" w:hAnsi="Arial"/>
                <w:sz w:val="18"/>
                <w:szCs w:val="18"/>
                <w:color w:val="auto"/>
              </w:rPr>
              <w:t>Net income per common share (US$ per share)(1)</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0.129</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0.067</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0.057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0.129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0.057</w:t>
            </w:r>
          </w:p>
        </w:tc>
      </w:tr>
      <w:tr>
        <w:trPr>
          <w:trHeight w:val="243"/>
        </w:trPr>
        <w:tc>
          <w:tcPr>
            <w:tcW w:w="4980" w:type="dxa"/>
            <w:vAlign w:val="bottom"/>
            <w:gridSpan w:val="6"/>
          </w:tcPr>
          <w:p>
            <w:pPr>
              <w:ind w:left="180"/>
              <w:spacing w:after="0"/>
              <w:rPr>
                <w:sz w:val="20"/>
                <w:szCs w:val="20"/>
                <w:color w:val="auto"/>
              </w:rPr>
            </w:pPr>
            <w:r>
              <w:rPr>
                <w:rFonts w:ascii="Arial" w:cs="Arial" w:eastAsia="Arial" w:hAnsi="Arial"/>
                <w:sz w:val="18"/>
                <w:szCs w:val="18"/>
                <w:color w:val="auto"/>
              </w:rPr>
              <w:t>Net interest margin on interest earning assets (2)</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5.07%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5.17%</w:t>
            </w:r>
          </w:p>
        </w:tc>
        <w:tc>
          <w:tcPr>
            <w:tcW w:w="2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5.22%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5.87%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5.55%</w:t>
            </w:r>
          </w:p>
        </w:tc>
      </w:tr>
      <w:tr>
        <w:trPr>
          <w:trHeight w:val="243"/>
        </w:trPr>
        <w:tc>
          <w:tcPr>
            <w:tcW w:w="4980" w:type="dxa"/>
            <w:vAlign w:val="bottom"/>
            <w:gridSpan w:val="6"/>
            <w:shd w:val="clear" w:color="auto" w:fill="CCFFCC"/>
          </w:tcPr>
          <w:p>
            <w:pPr>
              <w:ind w:left="180"/>
              <w:spacing w:after="0"/>
              <w:rPr>
                <w:sz w:val="20"/>
                <w:szCs w:val="20"/>
                <w:color w:val="auto"/>
              </w:rPr>
            </w:pPr>
            <w:r>
              <w:rPr>
                <w:rFonts w:ascii="Arial" w:cs="Arial" w:eastAsia="Arial" w:hAnsi="Arial"/>
                <w:sz w:val="18"/>
                <w:szCs w:val="18"/>
                <w:color w:val="auto"/>
              </w:rPr>
              <w:t>Return on average total assets (2)(3)</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4.08%</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2.43%</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2.62%</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4.75%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2.83%</w:t>
            </w:r>
          </w:p>
        </w:tc>
      </w:tr>
      <w:tr>
        <w:trPr>
          <w:trHeight w:val="243"/>
        </w:trPr>
        <w:tc>
          <w:tcPr>
            <w:tcW w:w="4980" w:type="dxa"/>
            <w:vAlign w:val="bottom"/>
            <w:gridSpan w:val="6"/>
          </w:tcPr>
          <w:p>
            <w:pPr>
              <w:ind w:left="180"/>
              <w:spacing w:after="0"/>
              <w:rPr>
                <w:sz w:val="20"/>
                <w:szCs w:val="20"/>
                <w:color w:val="auto"/>
              </w:rPr>
            </w:pPr>
            <w:r>
              <w:rPr>
                <w:rFonts w:ascii="Arial" w:cs="Arial" w:eastAsia="Arial" w:hAnsi="Arial"/>
                <w:sz w:val="18"/>
                <w:szCs w:val="18"/>
                <w:color w:val="auto"/>
              </w:rPr>
              <w:t>Return on average shareholders' equity (2)(3)</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56.96%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31.67%</w:t>
            </w:r>
          </w:p>
        </w:tc>
        <w:tc>
          <w:tcPr>
            <w:tcW w:w="2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31.50%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63.53%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31.87%</w:t>
            </w:r>
          </w:p>
        </w:tc>
      </w:tr>
      <w:tr>
        <w:trPr>
          <w:trHeight w:val="243"/>
        </w:trPr>
        <w:tc>
          <w:tcPr>
            <w:tcW w:w="4980" w:type="dxa"/>
            <w:vAlign w:val="bottom"/>
            <w:gridSpan w:val="6"/>
            <w:shd w:val="clear" w:color="auto" w:fill="CCFFCC"/>
          </w:tcPr>
          <w:p>
            <w:pPr>
              <w:ind w:left="180"/>
              <w:spacing w:after="0"/>
              <w:rPr>
                <w:sz w:val="20"/>
                <w:szCs w:val="20"/>
                <w:color w:val="auto"/>
              </w:rPr>
            </w:pPr>
            <w:r>
              <w:rPr>
                <w:rFonts w:ascii="Arial" w:cs="Arial" w:eastAsia="Arial" w:hAnsi="Arial"/>
                <w:sz w:val="18"/>
                <w:szCs w:val="18"/>
                <w:color w:val="auto"/>
              </w:rPr>
              <w:t>No. of outstanding shares (millions)</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1,286.53</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1,286.53</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1,286.53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1,286.53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1,286.53</w:t>
            </w:r>
          </w:p>
        </w:tc>
      </w:tr>
      <w:tr>
        <w:trPr>
          <w:trHeight w:val="486"/>
        </w:trPr>
        <w:tc>
          <w:tcPr>
            <w:tcW w:w="4980" w:type="dxa"/>
            <w:vAlign w:val="bottom"/>
            <w:gridSpan w:val="6"/>
          </w:tcPr>
          <w:p>
            <w:pPr>
              <w:spacing w:after="0"/>
              <w:rPr>
                <w:sz w:val="20"/>
                <w:szCs w:val="20"/>
                <w:color w:val="auto"/>
              </w:rPr>
            </w:pPr>
            <w:r>
              <w:rPr>
                <w:rFonts w:ascii="Arial" w:cs="Arial" w:eastAsia="Arial" w:hAnsi="Arial"/>
                <w:sz w:val="18"/>
                <w:szCs w:val="18"/>
                <w:b w:val="1"/>
                <w:bCs w:val="1"/>
                <w:color w:val="auto"/>
              </w:rPr>
              <w:t>Quality of loan portfolio</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4"/>
        </w:trPr>
        <w:tc>
          <w:tcPr>
            <w:tcW w:w="94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43"/>
        </w:trPr>
        <w:tc>
          <w:tcPr>
            <w:tcW w:w="4980" w:type="dxa"/>
            <w:vAlign w:val="bottom"/>
            <w:gridSpan w:val="6"/>
            <w:shd w:val="clear" w:color="auto" w:fill="CCFFCC"/>
          </w:tcPr>
          <w:p>
            <w:pPr>
              <w:ind w:left="180"/>
              <w:spacing w:after="0"/>
              <w:rPr>
                <w:sz w:val="20"/>
                <w:szCs w:val="20"/>
                <w:color w:val="auto"/>
              </w:rPr>
            </w:pPr>
            <w:r>
              <w:rPr>
                <w:rFonts w:ascii="Arial" w:cs="Arial" w:eastAsia="Arial" w:hAnsi="Arial"/>
                <w:sz w:val="18"/>
                <w:szCs w:val="18"/>
                <w:color w:val="auto"/>
              </w:rPr>
              <w:t>Past due loans as a percentage of total loans</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0.79%</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0.73%</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1.18%</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0.79%</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1.18%</w:t>
            </w:r>
          </w:p>
        </w:tc>
      </w:tr>
      <w:tr>
        <w:trPr>
          <w:trHeight w:val="243"/>
        </w:trPr>
        <w:tc>
          <w:tcPr>
            <w:tcW w:w="4980" w:type="dxa"/>
            <w:vAlign w:val="bottom"/>
            <w:gridSpan w:val="6"/>
          </w:tcPr>
          <w:p>
            <w:pPr>
              <w:ind w:left="180"/>
              <w:spacing w:after="0"/>
              <w:rPr>
                <w:sz w:val="20"/>
                <w:szCs w:val="20"/>
                <w:color w:val="auto"/>
              </w:rPr>
            </w:pPr>
            <w:r>
              <w:rPr>
                <w:rFonts w:ascii="Arial" w:cs="Arial" w:eastAsia="Arial" w:hAnsi="Arial"/>
                <w:sz w:val="18"/>
                <w:szCs w:val="18"/>
                <w:color w:val="auto"/>
              </w:rPr>
              <w:t>Reserves for loan losses as a percentage of</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980" w:type="dxa"/>
            <w:vAlign w:val="bottom"/>
            <w:gridSpan w:val="6"/>
            <w:shd w:val="clear" w:color="auto" w:fill="CCFFCC"/>
          </w:tcPr>
          <w:p>
            <w:pPr>
              <w:ind w:left="340"/>
              <w:spacing w:after="0"/>
              <w:rPr>
                <w:sz w:val="20"/>
                <w:szCs w:val="20"/>
                <w:color w:val="auto"/>
              </w:rPr>
            </w:pPr>
            <w:r>
              <w:rPr>
                <w:rFonts w:ascii="Arial" w:cs="Arial" w:eastAsia="Arial" w:hAnsi="Arial"/>
                <w:sz w:val="18"/>
                <w:szCs w:val="18"/>
                <w:color w:val="auto"/>
              </w:rPr>
              <w:t>total past due loans</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313.21%</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351.80%</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252.10%</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313.21%</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252.10%</w:t>
            </w:r>
          </w:p>
        </w:tc>
      </w:tr>
      <w:tr>
        <w:trPr>
          <w:trHeight w:val="243"/>
        </w:trPr>
        <w:tc>
          <w:tcPr>
            <w:tcW w:w="4980" w:type="dxa"/>
            <w:vAlign w:val="bottom"/>
            <w:gridSpan w:val="6"/>
          </w:tcPr>
          <w:p>
            <w:pPr>
              <w:ind w:left="180"/>
              <w:spacing w:after="0"/>
              <w:rPr>
                <w:sz w:val="20"/>
                <w:szCs w:val="20"/>
                <w:color w:val="auto"/>
              </w:rPr>
            </w:pPr>
            <w:r>
              <w:rPr>
                <w:rFonts w:ascii="Arial" w:cs="Arial" w:eastAsia="Arial" w:hAnsi="Arial"/>
                <w:sz w:val="18"/>
                <w:szCs w:val="18"/>
                <w:color w:val="auto"/>
              </w:rPr>
              <w:t>Reserves for loan losses as a percentage of</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980" w:type="dxa"/>
            <w:vAlign w:val="bottom"/>
            <w:gridSpan w:val="6"/>
            <w:shd w:val="clear" w:color="auto" w:fill="CCFFCC"/>
          </w:tcPr>
          <w:p>
            <w:pPr>
              <w:ind w:left="340"/>
              <w:spacing w:after="0"/>
              <w:rPr>
                <w:sz w:val="20"/>
                <w:szCs w:val="20"/>
                <w:color w:val="auto"/>
              </w:rPr>
            </w:pPr>
            <w:r>
              <w:rPr>
                <w:rFonts w:ascii="Arial" w:cs="Arial" w:eastAsia="Arial" w:hAnsi="Arial"/>
                <w:sz w:val="18"/>
                <w:szCs w:val="18"/>
                <w:color w:val="auto"/>
              </w:rPr>
              <w:t>total loans</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2.48%</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2.58%</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2.99%</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2.48%</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2.99%</w:t>
            </w:r>
          </w:p>
        </w:tc>
      </w:tr>
      <w:tr>
        <w:trPr>
          <w:trHeight w:val="473"/>
        </w:trPr>
        <w:tc>
          <w:tcPr>
            <w:tcW w:w="4980" w:type="dxa"/>
            <w:vAlign w:val="bottom"/>
            <w:gridSpan w:val="6"/>
          </w:tcPr>
          <w:p>
            <w:pPr>
              <w:spacing w:after="0"/>
              <w:rPr>
                <w:sz w:val="20"/>
                <w:szCs w:val="20"/>
                <w:color w:val="auto"/>
              </w:rPr>
            </w:pPr>
            <w:r>
              <w:rPr>
                <w:rFonts w:ascii="Arial" w:cs="Arial" w:eastAsia="Arial" w:hAnsi="Arial"/>
                <w:sz w:val="18"/>
                <w:szCs w:val="18"/>
                <w:b w:val="1"/>
                <w:bCs w:val="1"/>
                <w:color w:val="auto"/>
              </w:rPr>
              <w:t>Operating efficiency</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4"/>
        </w:trPr>
        <w:tc>
          <w:tcPr>
            <w:tcW w:w="94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43"/>
        </w:trPr>
        <w:tc>
          <w:tcPr>
            <w:tcW w:w="4980" w:type="dxa"/>
            <w:vAlign w:val="bottom"/>
            <w:gridSpan w:val="6"/>
            <w:shd w:val="clear" w:color="auto" w:fill="CCFFCC"/>
          </w:tcPr>
          <w:p>
            <w:pPr>
              <w:ind w:left="180"/>
              <w:spacing w:after="0"/>
              <w:rPr>
                <w:sz w:val="20"/>
                <w:szCs w:val="20"/>
                <w:color w:val="auto"/>
              </w:rPr>
            </w:pPr>
            <w:r>
              <w:rPr>
                <w:rFonts w:ascii="Arial" w:cs="Arial" w:eastAsia="Arial" w:hAnsi="Arial"/>
                <w:sz w:val="18"/>
                <w:szCs w:val="18"/>
                <w:color w:val="auto"/>
              </w:rPr>
              <w:t>Oper. expense as a percent. of total income (4)</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47.53%</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56.89%</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49.81%</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47.53%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49.81%</w:t>
            </w:r>
          </w:p>
        </w:tc>
      </w:tr>
      <w:tr>
        <w:trPr>
          <w:trHeight w:val="243"/>
        </w:trPr>
        <w:tc>
          <w:tcPr>
            <w:tcW w:w="4980" w:type="dxa"/>
            <w:vAlign w:val="bottom"/>
            <w:gridSpan w:val="6"/>
          </w:tcPr>
          <w:p>
            <w:pPr>
              <w:ind w:left="180"/>
              <w:spacing w:after="0"/>
              <w:rPr>
                <w:sz w:val="20"/>
                <w:szCs w:val="20"/>
                <w:color w:val="auto"/>
              </w:rPr>
            </w:pPr>
            <w:r>
              <w:rPr>
                <w:rFonts w:ascii="Arial" w:cs="Arial" w:eastAsia="Arial" w:hAnsi="Arial"/>
                <w:sz w:val="18"/>
                <w:szCs w:val="18"/>
                <w:color w:val="auto"/>
              </w:rPr>
              <w:t>Oper. expense as a percent. of av. tot. assets(2)(3)(4)</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3.19%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4.07%</w:t>
            </w:r>
          </w:p>
        </w:tc>
        <w:tc>
          <w:tcPr>
            <w:tcW w:w="2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3.71%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3.84%</w:t>
            </w:r>
          </w:p>
        </w:tc>
      </w:tr>
      <w:tr>
        <w:trPr>
          <w:trHeight w:val="473"/>
        </w:trPr>
        <w:tc>
          <w:tcPr>
            <w:tcW w:w="4980" w:type="dxa"/>
            <w:vAlign w:val="bottom"/>
            <w:gridSpan w:val="6"/>
          </w:tcPr>
          <w:p>
            <w:pPr>
              <w:spacing w:after="0"/>
              <w:rPr>
                <w:sz w:val="20"/>
                <w:szCs w:val="20"/>
                <w:color w:val="auto"/>
              </w:rPr>
            </w:pPr>
            <w:r>
              <w:rPr>
                <w:rFonts w:ascii="Arial" w:cs="Arial" w:eastAsia="Arial" w:hAnsi="Arial"/>
                <w:sz w:val="18"/>
                <w:szCs w:val="18"/>
                <w:b w:val="1"/>
                <w:bCs w:val="1"/>
                <w:color w:val="auto"/>
              </w:rPr>
              <w:t>Capital adequacy</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4"/>
        </w:trPr>
        <w:tc>
          <w:tcPr>
            <w:tcW w:w="94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43"/>
        </w:trPr>
        <w:tc>
          <w:tcPr>
            <w:tcW w:w="4980" w:type="dxa"/>
            <w:vAlign w:val="bottom"/>
            <w:gridSpan w:val="6"/>
            <w:shd w:val="clear" w:color="auto" w:fill="CCFFCC"/>
          </w:tcPr>
          <w:p>
            <w:pPr>
              <w:ind w:left="180"/>
              <w:spacing w:after="0"/>
              <w:rPr>
                <w:sz w:val="20"/>
                <w:szCs w:val="20"/>
                <w:color w:val="auto"/>
              </w:rPr>
            </w:pPr>
            <w:r>
              <w:rPr>
                <w:rFonts w:ascii="Arial" w:cs="Arial" w:eastAsia="Arial" w:hAnsi="Arial"/>
                <w:sz w:val="18"/>
                <w:szCs w:val="18"/>
                <w:color w:val="auto"/>
              </w:rPr>
              <w:t>Total Regulatory Capital (US$Mn)</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1,274.4</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1,053.7</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792.7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1,053.7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792.7</w:t>
            </w:r>
          </w:p>
        </w:tc>
      </w:tr>
      <w:tr>
        <w:trPr>
          <w:trHeight w:val="243"/>
        </w:trPr>
        <w:tc>
          <w:tcPr>
            <w:tcW w:w="4980" w:type="dxa"/>
            <w:vAlign w:val="bottom"/>
            <w:gridSpan w:val="6"/>
          </w:tcPr>
          <w:p>
            <w:pPr>
              <w:ind w:left="180"/>
              <w:spacing w:after="0"/>
              <w:rPr>
                <w:sz w:val="20"/>
                <w:szCs w:val="20"/>
                <w:color w:val="auto"/>
              </w:rPr>
            </w:pPr>
            <w:r>
              <w:rPr>
                <w:rFonts w:ascii="Arial" w:cs="Arial" w:eastAsia="Arial" w:hAnsi="Arial"/>
                <w:sz w:val="18"/>
                <w:szCs w:val="18"/>
                <w:color w:val="auto"/>
              </w:rPr>
              <w:t>'Risk-weighted assets (US$Mn)</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9,168.5</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8,603.3</w:t>
            </w:r>
          </w:p>
        </w:tc>
        <w:tc>
          <w:tcPr>
            <w:tcW w:w="22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6,218.2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8,603.3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6,218.2</w:t>
            </w:r>
          </w:p>
        </w:tc>
      </w:tr>
      <w:tr>
        <w:trPr>
          <w:trHeight w:val="243"/>
        </w:trPr>
        <w:tc>
          <w:tcPr>
            <w:tcW w:w="4980" w:type="dxa"/>
            <w:vAlign w:val="bottom"/>
            <w:gridSpan w:val="6"/>
            <w:shd w:val="clear" w:color="auto" w:fill="CCFFCC"/>
          </w:tcPr>
          <w:p>
            <w:pPr>
              <w:ind w:left="180"/>
              <w:spacing w:after="0"/>
              <w:rPr>
                <w:sz w:val="20"/>
                <w:szCs w:val="20"/>
                <w:color w:val="auto"/>
              </w:rPr>
            </w:pPr>
            <w:r>
              <w:rPr>
                <w:rFonts w:ascii="Arial" w:cs="Arial" w:eastAsia="Arial" w:hAnsi="Arial"/>
                <w:sz w:val="18"/>
                <w:szCs w:val="18"/>
                <w:color w:val="auto"/>
              </w:rPr>
              <w:t>Regulatory capital / risk-weighted assets (5)</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13.75%</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11.84%</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11.84%</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13.75%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11.84%</w:t>
            </w:r>
          </w:p>
        </w:tc>
      </w:tr>
      <w:tr>
        <w:trPr>
          <w:trHeight w:val="473"/>
        </w:trPr>
        <w:tc>
          <w:tcPr>
            <w:tcW w:w="4980" w:type="dxa"/>
            <w:vAlign w:val="bottom"/>
            <w:gridSpan w:val="6"/>
          </w:tcPr>
          <w:p>
            <w:pPr>
              <w:spacing w:after="0"/>
              <w:rPr>
                <w:sz w:val="20"/>
                <w:szCs w:val="20"/>
                <w:color w:val="auto"/>
              </w:rPr>
            </w:pPr>
            <w:r>
              <w:rPr>
                <w:rFonts w:ascii="Arial" w:cs="Arial" w:eastAsia="Arial" w:hAnsi="Arial"/>
                <w:sz w:val="18"/>
                <w:szCs w:val="18"/>
                <w:b w:val="1"/>
                <w:bCs w:val="1"/>
                <w:color w:val="auto"/>
              </w:rPr>
              <w:t xml:space="preserve">Average balances (millions of </w:t>
            </w:r>
            <w:r>
              <w:rPr>
                <w:rFonts w:ascii="Arial" w:cs="Arial" w:eastAsia="Arial" w:hAnsi="Arial"/>
                <w:sz w:val="18"/>
                <w:szCs w:val="18"/>
                <w:b w:val="1"/>
                <w:bCs w:val="1"/>
                <w:u w:val="single" w:color="auto"/>
                <w:color w:val="auto"/>
              </w:rPr>
              <w:t>US$</w:t>
            </w:r>
            <w:r>
              <w:rPr>
                <w:rFonts w:ascii="Arial" w:cs="Arial" w:eastAsia="Arial" w:hAnsi="Arial"/>
                <w:sz w:val="18"/>
                <w:szCs w:val="18"/>
                <w:b w:val="1"/>
                <w:bCs w:val="1"/>
                <w:color w:val="auto"/>
              </w:rPr>
              <w:t>) (3)</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4"/>
        </w:trPr>
        <w:tc>
          <w:tcPr>
            <w:tcW w:w="94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43"/>
        </w:trPr>
        <w:tc>
          <w:tcPr>
            <w:tcW w:w="4980" w:type="dxa"/>
            <w:vAlign w:val="bottom"/>
            <w:gridSpan w:val="6"/>
            <w:shd w:val="clear" w:color="auto" w:fill="CCFFCC"/>
          </w:tcPr>
          <w:p>
            <w:pPr>
              <w:ind w:left="180"/>
              <w:spacing w:after="0"/>
              <w:rPr>
                <w:sz w:val="20"/>
                <w:szCs w:val="20"/>
                <w:color w:val="auto"/>
              </w:rPr>
            </w:pPr>
            <w:r>
              <w:rPr>
                <w:rFonts w:ascii="Arial" w:cs="Arial" w:eastAsia="Arial" w:hAnsi="Arial"/>
                <w:sz w:val="18"/>
                <w:szCs w:val="18"/>
                <w:color w:val="auto"/>
              </w:rPr>
              <w:t>Interest earning assets</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13,613.2</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12,032.0</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9,444.0</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11,761.1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8,892.3</w:t>
            </w:r>
          </w:p>
        </w:tc>
      </w:tr>
      <w:tr>
        <w:trPr>
          <w:trHeight w:val="243"/>
        </w:trPr>
        <w:tc>
          <w:tcPr>
            <w:tcW w:w="4980" w:type="dxa"/>
            <w:vAlign w:val="bottom"/>
            <w:gridSpan w:val="6"/>
          </w:tcPr>
          <w:p>
            <w:pPr>
              <w:ind w:left="180"/>
              <w:spacing w:after="0"/>
              <w:rPr>
                <w:sz w:val="20"/>
                <w:szCs w:val="20"/>
                <w:color w:val="auto"/>
              </w:rPr>
            </w:pPr>
            <w:r>
              <w:rPr>
                <w:rFonts w:ascii="Arial" w:cs="Arial" w:eastAsia="Arial" w:hAnsi="Arial"/>
                <w:sz w:val="18"/>
                <w:szCs w:val="18"/>
                <w:color w:val="auto"/>
              </w:rPr>
              <w:t>Total Assets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16,235.4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14,200.3</w:t>
            </w:r>
          </w:p>
        </w:tc>
        <w:tc>
          <w:tcPr>
            <w:tcW w:w="22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11,103.2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13,965.3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10,260.6</w:t>
            </w:r>
          </w:p>
        </w:tc>
      </w:tr>
      <w:tr>
        <w:trPr>
          <w:trHeight w:val="243"/>
        </w:trPr>
        <w:tc>
          <w:tcPr>
            <w:tcW w:w="4980" w:type="dxa"/>
            <w:vAlign w:val="bottom"/>
            <w:gridSpan w:val="6"/>
            <w:shd w:val="clear" w:color="auto" w:fill="CCFFCC"/>
          </w:tcPr>
          <w:p>
            <w:pPr>
              <w:ind w:left="180"/>
              <w:spacing w:after="0"/>
              <w:rPr>
                <w:sz w:val="20"/>
                <w:szCs w:val="20"/>
                <w:color w:val="auto"/>
              </w:rPr>
            </w:pPr>
            <w:r>
              <w:rPr>
                <w:rFonts w:ascii="Arial" w:cs="Arial" w:eastAsia="Arial" w:hAnsi="Arial"/>
                <w:sz w:val="18"/>
                <w:szCs w:val="18"/>
                <w:color w:val="auto"/>
              </w:rPr>
              <w:t>Net equity</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1,164.1</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1,088.8</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922.7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1,043.8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912.0</w:t>
            </w:r>
          </w:p>
        </w:tc>
      </w:tr>
    </w:tbl>
    <w:p>
      <w:pPr>
        <w:spacing w:after="0" w:line="238"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Shares outstanding of 1,287 million is used for all periods since shares have been issued only for capitalization of profits and inflation adjustment.</w:t>
      </w:r>
    </w:p>
    <w:p>
      <w:pPr>
        <w:spacing w:after="0" w:line="21" w:lineRule="exact"/>
        <w:rPr>
          <w:rFonts w:ascii="Arial" w:cs="Arial" w:eastAsia="Arial" w:hAnsi="Arial"/>
          <w:sz w:val="14"/>
          <w:szCs w:val="14"/>
          <w:i w:val="1"/>
          <w:iCs w:val="1"/>
          <w:color w:val="auto"/>
        </w:rPr>
      </w:pPr>
    </w:p>
    <w:p>
      <w:pPr>
        <w:ind w:left="220" w:hanging="212"/>
        <w:spacing w:after="0"/>
        <w:tabs>
          <w:tab w:leader="none" w:pos="22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Ratios are annualized.</w:t>
      </w:r>
    </w:p>
    <w:p>
      <w:pPr>
        <w:spacing w:after="0" w:line="14" w:lineRule="exact"/>
        <w:rPr>
          <w:rFonts w:ascii="Arial" w:cs="Arial" w:eastAsia="Arial" w:hAnsi="Arial"/>
          <w:sz w:val="14"/>
          <w:szCs w:val="14"/>
          <w:i w:val="1"/>
          <w:iCs w:val="1"/>
          <w:color w:val="auto"/>
        </w:rPr>
      </w:pPr>
    </w:p>
    <w:p>
      <w:pPr>
        <w:ind w:left="220" w:hanging="212"/>
        <w:spacing w:after="0"/>
        <w:tabs>
          <w:tab w:leader="none" w:pos="22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Averages are determined as the average of period-beginning and period-ending balances.</w:t>
      </w:r>
    </w:p>
    <w:p>
      <w:pPr>
        <w:spacing w:after="0" w:line="14" w:lineRule="exact"/>
        <w:rPr>
          <w:rFonts w:ascii="Arial" w:cs="Arial" w:eastAsia="Arial" w:hAnsi="Arial"/>
          <w:sz w:val="14"/>
          <w:szCs w:val="14"/>
          <w:i w:val="1"/>
          <w:iCs w:val="1"/>
          <w:color w:val="auto"/>
        </w:rPr>
      </w:pPr>
    </w:p>
    <w:p>
      <w:pPr>
        <w:ind w:right="140" w:firstLine="8"/>
        <w:spacing w:after="0" w:line="261" w:lineRule="auto"/>
        <w:tabs>
          <w:tab w:leader="none" w:pos="204"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Total income includes net interest income, fee income and net gain on foreign exchange transactions. Operating expense includes personnel expenses, administrative expenses and depreciation and amortization</w:t>
      </w:r>
    </w:p>
    <w:p>
      <w:pPr>
        <w:ind w:left="220" w:hanging="212"/>
        <w:spacing w:after="0"/>
        <w:tabs>
          <w:tab w:leader="none" w:pos="22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Risk-weighted assets include market risk assets</w:t>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26"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EL PACIFICO-PERUANO SUIZA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Chart 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 dollars)</w:t>
      </w:r>
    </w:p>
    <w:p>
      <w:pPr>
        <w:spacing w:after="0" w:line="288"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Balance to and for the period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4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89"/>
              </w:rPr>
              <w:t>of three months ending of</w:t>
            </w:r>
          </w:p>
        </w:tc>
        <w:tc>
          <w:tcPr>
            <w:tcW w:w="1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r>
      <w:tr>
        <w:trPr>
          <w:trHeight w:val="265"/>
        </w:trPr>
        <w:tc>
          <w:tcPr>
            <w:tcW w:w="6740" w:type="dxa"/>
            <w:vAlign w:val="bottom"/>
          </w:tcPr>
          <w:p>
            <w:pPr>
              <w:spacing w:after="0"/>
              <w:rPr>
                <w:sz w:val="23"/>
                <w:szCs w:val="23"/>
                <w:color w:val="auto"/>
              </w:rPr>
            </w:pPr>
          </w:p>
        </w:tc>
        <w:tc>
          <w:tcPr>
            <w:tcW w:w="1580" w:type="dxa"/>
            <w:vAlign w:val="bottom"/>
            <w:gridSpan w:val="2"/>
          </w:tcPr>
          <w:p>
            <w:pPr>
              <w:jc w:val="right"/>
              <w:ind w:right="352"/>
              <w:spacing w:after="0"/>
              <w:rPr>
                <w:sz w:val="20"/>
                <w:szCs w:val="20"/>
                <w:color w:val="auto"/>
              </w:rPr>
            </w:pPr>
            <w:r>
              <w:rPr>
                <w:rFonts w:ascii="Arial" w:cs="Arial" w:eastAsia="Arial" w:hAnsi="Arial"/>
                <w:sz w:val="18"/>
                <w:szCs w:val="18"/>
                <w:b w:val="1"/>
                <w:bCs w:val="1"/>
                <w:color w:val="auto"/>
              </w:rPr>
              <w:t>31-Mar-08</w:t>
            </w:r>
          </w:p>
        </w:tc>
        <w:tc>
          <w:tcPr>
            <w:tcW w:w="18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31-Dec-07</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31-Mar-07</w:t>
            </w:r>
          </w:p>
        </w:tc>
      </w:tr>
      <w:tr>
        <w:trPr>
          <w:trHeight w:val="297"/>
        </w:trPr>
        <w:tc>
          <w:tcPr>
            <w:tcW w:w="6740" w:type="dxa"/>
            <w:vAlign w:val="bottom"/>
          </w:tcPr>
          <w:p>
            <w:pPr>
              <w:spacing w:after="0"/>
              <w:rPr>
                <w:sz w:val="24"/>
                <w:szCs w:val="24"/>
                <w:color w:val="auto"/>
              </w:rPr>
            </w:pPr>
          </w:p>
        </w:tc>
        <w:tc>
          <w:tcPr>
            <w:tcW w:w="1580" w:type="dxa"/>
            <w:vAlign w:val="bottom"/>
            <w:gridSpan w:val="2"/>
          </w:tcPr>
          <w:p>
            <w:pPr>
              <w:jc w:val="right"/>
              <w:ind w:right="552"/>
              <w:spacing w:after="0"/>
              <w:rPr>
                <w:sz w:val="20"/>
                <w:szCs w:val="20"/>
                <w:color w:val="auto"/>
              </w:rPr>
            </w:pPr>
            <w:r>
              <w:rPr>
                <w:rFonts w:ascii="Arial" w:cs="Arial" w:eastAsia="Arial" w:hAnsi="Arial"/>
                <w:sz w:val="18"/>
                <w:szCs w:val="18"/>
                <w:b w:val="1"/>
                <w:bCs w:val="1"/>
                <w:color w:val="auto"/>
              </w:rPr>
              <w:t>1Q08</w:t>
            </w:r>
          </w:p>
        </w:tc>
        <w:tc>
          <w:tcPr>
            <w:tcW w:w="18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4Q07</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1Q07</w:t>
            </w:r>
          </w:p>
        </w:tc>
      </w:tr>
      <w:tr>
        <w:trPr>
          <w:trHeight w:val="243"/>
        </w:trPr>
        <w:tc>
          <w:tcPr>
            <w:tcW w:w="6740" w:type="dxa"/>
            <w:vAlign w:val="bottom"/>
          </w:tcPr>
          <w:p>
            <w:pPr>
              <w:spacing w:after="0"/>
              <w:rPr>
                <w:sz w:val="20"/>
                <w:szCs w:val="20"/>
                <w:color w:val="auto"/>
              </w:rPr>
            </w:pPr>
            <w:r>
              <w:rPr>
                <w:rFonts w:ascii="Arial" w:cs="Arial" w:eastAsia="Arial" w:hAnsi="Arial"/>
                <w:sz w:val="18"/>
                <w:szCs w:val="18"/>
                <w:b w:val="1"/>
                <w:bCs w:val="1"/>
                <w:color w:val="auto"/>
              </w:rPr>
              <w:t>Results</w:t>
            </w:r>
          </w:p>
        </w:tc>
        <w:tc>
          <w:tcPr>
            <w:tcW w:w="13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50"/>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 premiums</w:t>
            </w:r>
          </w:p>
        </w:tc>
        <w:tc>
          <w:tcPr>
            <w:tcW w:w="1580" w:type="dxa"/>
            <w:vAlign w:val="bottom"/>
            <w:gridSpan w:val="2"/>
            <w:shd w:val="clear" w:color="auto" w:fill="CCFFCC"/>
          </w:tcPr>
          <w:p>
            <w:pPr>
              <w:jc w:val="right"/>
              <w:ind w:right="132"/>
              <w:spacing w:after="0"/>
              <w:rPr>
                <w:sz w:val="20"/>
                <w:szCs w:val="20"/>
                <w:color w:val="auto"/>
              </w:rPr>
            </w:pPr>
            <w:r>
              <w:rPr>
                <w:rFonts w:ascii="Arial" w:cs="Arial" w:eastAsia="Arial" w:hAnsi="Arial"/>
                <w:sz w:val="18"/>
                <w:szCs w:val="18"/>
                <w:color w:val="auto"/>
              </w:rPr>
              <w:t>137,491</w:t>
            </w: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128,225</w:t>
            </w:r>
          </w:p>
        </w:tc>
        <w:tc>
          <w:tcPr>
            <w:tcW w:w="24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105,297</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Ceded premiums</w:t>
            </w:r>
          </w:p>
        </w:tc>
        <w:tc>
          <w:tcPr>
            <w:tcW w:w="1580" w:type="dxa"/>
            <w:vAlign w:val="bottom"/>
            <w:gridSpan w:val="2"/>
          </w:tcPr>
          <w:p>
            <w:pPr>
              <w:jc w:val="right"/>
              <w:ind w:right="132"/>
              <w:spacing w:after="0"/>
              <w:rPr>
                <w:sz w:val="20"/>
                <w:szCs w:val="20"/>
                <w:color w:val="auto"/>
              </w:rPr>
            </w:pPr>
            <w:r>
              <w:rPr>
                <w:rFonts w:ascii="Arial" w:cs="Arial" w:eastAsia="Arial" w:hAnsi="Arial"/>
                <w:sz w:val="18"/>
                <w:szCs w:val="18"/>
                <w:color w:val="auto"/>
              </w:rPr>
              <w:t>27,294</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24,050</w:t>
            </w: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22,355</w:t>
            </w:r>
          </w:p>
        </w:tc>
      </w:tr>
      <w:tr>
        <w:trPr>
          <w:trHeight w:val="243"/>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Adjustment of reserves</w:t>
            </w:r>
          </w:p>
        </w:tc>
        <w:tc>
          <w:tcPr>
            <w:tcW w:w="1580" w:type="dxa"/>
            <w:vAlign w:val="bottom"/>
            <w:gridSpan w:val="2"/>
            <w:shd w:val="clear" w:color="auto" w:fill="CCFFCC"/>
          </w:tcPr>
          <w:p>
            <w:pPr>
              <w:jc w:val="right"/>
              <w:ind w:right="132"/>
              <w:spacing w:after="0"/>
              <w:rPr>
                <w:sz w:val="20"/>
                <w:szCs w:val="20"/>
                <w:color w:val="auto"/>
              </w:rPr>
            </w:pPr>
            <w:r>
              <w:rPr>
                <w:rFonts w:ascii="Arial" w:cs="Arial" w:eastAsia="Arial" w:hAnsi="Arial"/>
                <w:sz w:val="18"/>
                <w:szCs w:val="18"/>
                <w:color w:val="auto"/>
              </w:rPr>
              <w:t>18,606</w:t>
            </w: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20,098</w:t>
            </w:r>
          </w:p>
        </w:tc>
        <w:tc>
          <w:tcPr>
            <w:tcW w:w="24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10,892</w:t>
            </w:r>
          </w:p>
        </w:tc>
      </w:tr>
      <w:tr>
        <w:trPr>
          <w:trHeight w:val="243"/>
        </w:trPr>
        <w:tc>
          <w:tcPr>
            <w:tcW w:w="6740" w:type="dxa"/>
            <w:vAlign w:val="bottom"/>
          </w:tcPr>
          <w:p>
            <w:pPr>
              <w:spacing w:after="0"/>
              <w:rPr>
                <w:sz w:val="20"/>
                <w:szCs w:val="20"/>
                <w:color w:val="auto"/>
              </w:rPr>
            </w:pPr>
            <w:r>
              <w:rPr>
                <w:rFonts w:ascii="Arial" w:cs="Arial" w:eastAsia="Arial" w:hAnsi="Arial"/>
                <w:sz w:val="18"/>
                <w:szCs w:val="18"/>
                <w:b w:val="1"/>
                <w:bCs w:val="1"/>
                <w:color w:val="auto"/>
              </w:rPr>
              <w:t>Earned net premiums</w:t>
            </w:r>
          </w:p>
        </w:tc>
        <w:tc>
          <w:tcPr>
            <w:tcW w:w="158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91,591</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84,076</w:t>
            </w: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72,050</w:t>
            </w:r>
          </w:p>
        </w:tc>
      </w:tr>
      <w:tr>
        <w:trPr>
          <w:trHeight w:val="243"/>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Direct claims</w:t>
            </w:r>
          </w:p>
        </w:tc>
        <w:tc>
          <w:tcPr>
            <w:tcW w:w="1580" w:type="dxa"/>
            <w:vAlign w:val="bottom"/>
            <w:gridSpan w:val="2"/>
            <w:shd w:val="clear" w:color="auto" w:fill="CCFFCC"/>
          </w:tcPr>
          <w:p>
            <w:pPr>
              <w:jc w:val="right"/>
              <w:ind w:right="132"/>
              <w:spacing w:after="0"/>
              <w:rPr>
                <w:sz w:val="20"/>
                <w:szCs w:val="20"/>
                <w:color w:val="auto"/>
              </w:rPr>
            </w:pPr>
            <w:r>
              <w:rPr>
                <w:rFonts w:ascii="Arial" w:cs="Arial" w:eastAsia="Arial" w:hAnsi="Arial"/>
                <w:sz w:val="18"/>
                <w:szCs w:val="18"/>
                <w:color w:val="auto"/>
              </w:rPr>
              <w:t>97,066</w:t>
            </w: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97,998</w:t>
            </w:r>
          </w:p>
        </w:tc>
        <w:tc>
          <w:tcPr>
            <w:tcW w:w="24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56,899</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Ceded claims</w:t>
            </w:r>
          </w:p>
        </w:tc>
        <w:tc>
          <w:tcPr>
            <w:tcW w:w="1580" w:type="dxa"/>
            <w:vAlign w:val="bottom"/>
            <w:gridSpan w:val="2"/>
          </w:tcPr>
          <w:p>
            <w:pPr>
              <w:jc w:val="right"/>
              <w:ind w:right="132"/>
              <w:spacing w:after="0"/>
              <w:rPr>
                <w:sz w:val="20"/>
                <w:szCs w:val="20"/>
                <w:color w:val="auto"/>
              </w:rPr>
            </w:pPr>
            <w:r>
              <w:rPr>
                <w:rFonts w:ascii="Arial" w:cs="Arial" w:eastAsia="Arial" w:hAnsi="Arial"/>
                <w:sz w:val="18"/>
                <w:szCs w:val="18"/>
                <w:color w:val="auto"/>
              </w:rPr>
              <w:t>20,975</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29,108</w:t>
            </w: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4,271</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claims</w:t>
            </w:r>
          </w:p>
        </w:tc>
        <w:tc>
          <w:tcPr>
            <w:tcW w:w="1580" w:type="dxa"/>
            <w:vAlign w:val="bottom"/>
            <w:gridSpan w:val="2"/>
            <w:shd w:val="clear" w:color="auto" w:fill="CCFFCC"/>
          </w:tcPr>
          <w:p>
            <w:pPr>
              <w:jc w:val="right"/>
              <w:ind w:right="132"/>
              <w:spacing w:after="0"/>
              <w:rPr>
                <w:sz w:val="20"/>
                <w:szCs w:val="20"/>
                <w:color w:val="auto"/>
              </w:rPr>
            </w:pPr>
            <w:r>
              <w:rPr>
                <w:rFonts w:ascii="Arial" w:cs="Arial" w:eastAsia="Arial" w:hAnsi="Arial"/>
                <w:sz w:val="18"/>
                <w:szCs w:val="18"/>
                <w:b w:val="1"/>
                <w:bCs w:val="1"/>
                <w:color w:val="auto"/>
              </w:rPr>
              <w:t>76,091</w:t>
            </w: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68,891</w:t>
            </w:r>
          </w:p>
        </w:tc>
        <w:tc>
          <w:tcPr>
            <w:tcW w:w="24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52,628</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Direct commissions</w:t>
            </w:r>
          </w:p>
        </w:tc>
        <w:tc>
          <w:tcPr>
            <w:tcW w:w="1580" w:type="dxa"/>
            <w:vAlign w:val="bottom"/>
            <w:gridSpan w:val="2"/>
          </w:tcPr>
          <w:p>
            <w:pPr>
              <w:jc w:val="right"/>
              <w:ind w:right="132"/>
              <w:spacing w:after="0"/>
              <w:rPr>
                <w:sz w:val="20"/>
                <w:szCs w:val="20"/>
                <w:color w:val="auto"/>
              </w:rPr>
            </w:pPr>
            <w:r>
              <w:rPr>
                <w:rFonts w:ascii="Arial" w:cs="Arial" w:eastAsia="Arial" w:hAnsi="Arial"/>
                <w:sz w:val="18"/>
                <w:szCs w:val="18"/>
                <w:color w:val="auto"/>
              </w:rPr>
              <w:t>10,521</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9,296</w:t>
            </w: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7,936</w:t>
            </w:r>
          </w:p>
        </w:tc>
      </w:tr>
      <w:tr>
        <w:trPr>
          <w:trHeight w:val="243"/>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Commissions Received</w:t>
            </w:r>
          </w:p>
        </w:tc>
        <w:tc>
          <w:tcPr>
            <w:tcW w:w="1580" w:type="dxa"/>
            <w:vAlign w:val="bottom"/>
            <w:gridSpan w:val="2"/>
            <w:shd w:val="clear" w:color="auto" w:fill="CCFFCC"/>
          </w:tcPr>
          <w:p>
            <w:pPr>
              <w:jc w:val="right"/>
              <w:ind w:right="132"/>
              <w:spacing w:after="0"/>
              <w:rPr>
                <w:sz w:val="20"/>
                <w:szCs w:val="20"/>
                <w:color w:val="auto"/>
              </w:rPr>
            </w:pPr>
            <w:r>
              <w:rPr>
                <w:rFonts w:ascii="Arial" w:cs="Arial" w:eastAsia="Arial" w:hAnsi="Arial"/>
                <w:sz w:val="18"/>
                <w:szCs w:val="18"/>
                <w:color w:val="auto"/>
              </w:rPr>
              <w:t>2,443</w:t>
            </w: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918</w:t>
            </w:r>
          </w:p>
        </w:tc>
        <w:tc>
          <w:tcPr>
            <w:tcW w:w="24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1,812</w:t>
            </w:r>
          </w:p>
        </w:tc>
      </w:tr>
      <w:tr>
        <w:trPr>
          <w:trHeight w:val="243"/>
        </w:trPr>
        <w:tc>
          <w:tcPr>
            <w:tcW w:w="6740" w:type="dxa"/>
            <w:vAlign w:val="bottom"/>
          </w:tcPr>
          <w:p>
            <w:pPr>
              <w:spacing w:after="0"/>
              <w:rPr>
                <w:sz w:val="20"/>
                <w:szCs w:val="20"/>
                <w:color w:val="auto"/>
              </w:rPr>
            </w:pPr>
            <w:r>
              <w:rPr>
                <w:rFonts w:ascii="Arial" w:cs="Arial" w:eastAsia="Arial" w:hAnsi="Arial"/>
                <w:sz w:val="18"/>
                <w:szCs w:val="18"/>
                <w:b w:val="1"/>
                <w:bCs w:val="1"/>
                <w:color w:val="auto"/>
              </w:rPr>
              <w:t>Net commissions</w:t>
            </w:r>
          </w:p>
        </w:tc>
        <w:tc>
          <w:tcPr>
            <w:tcW w:w="158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8,078</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8,378</w:t>
            </w: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6,124</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technical expenses</w:t>
            </w:r>
          </w:p>
        </w:tc>
        <w:tc>
          <w:tcPr>
            <w:tcW w:w="1580" w:type="dxa"/>
            <w:vAlign w:val="bottom"/>
            <w:gridSpan w:val="2"/>
            <w:shd w:val="clear" w:color="auto" w:fill="CCFFCC"/>
          </w:tcPr>
          <w:p>
            <w:pPr>
              <w:jc w:val="right"/>
              <w:ind w:right="132"/>
              <w:spacing w:after="0"/>
              <w:rPr>
                <w:sz w:val="20"/>
                <w:szCs w:val="20"/>
                <w:color w:val="auto"/>
              </w:rPr>
            </w:pPr>
            <w:r>
              <w:rPr>
                <w:rFonts w:ascii="Arial" w:cs="Arial" w:eastAsia="Arial" w:hAnsi="Arial"/>
                <w:sz w:val="18"/>
                <w:szCs w:val="18"/>
                <w:b w:val="1"/>
                <w:bCs w:val="1"/>
                <w:color w:val="auto"/>
              </w:rPr>
              <w:t>6,886</w:t>
            </w: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6,277</w:t>
            </w:r>
          </w:p>
        </w:tc>
        <w:tc>
          <w:tcPr>
            <w:tcW w:w="24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4,497</w:t>
            </w:r>
          </w:p>
        </w:tc>
      </w:tr>
      <w:tr>
        <w:trPr>
          <w:trHeight w:val="243"/>
        </w:trPr>
        <w:tc>
          <w:tcPr>
            <w:tcW w:w="6740" w:type="dxa"/>
            <w:vAlign w:val="bottom"/>
          </w:tcPr>
          <w:p>
            <w:pPr>
              <w:spacing w:after="0"/>
              <w:rPr>
                <w:sz w:val="20"/>
                <w:szCs w:val="20"/>
                <w:color w:val="auto"/>
              </w:rPr>
            </w:pPr>
            <w:r>
              <w:rPr>
                <w:rFonts w:ascii="Arial" w:cs="Arial" w:eastAsia="Arial" w:hAnsi="Arial"/>
                <w:sz w:val="18"/>
                <w:szCs w:val="18"/>
                <w:b w:val="1"/>
                <w:bCs w:val="1"/>
                <w:color w:val="auto"/>
              </w:rPr>
              <w:t>Technical results</w:t>
            </w:r>
          </w:p>
        </w:tc>
        <w:tc>
          <w:tcPr>
            <w:tcW w:w="158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535</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530</w:t>
            </w: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8,802</w:t>
            </w:r>
          </w:p>
        </w:tc>
      </w:tr>
      <w:tr>
        <w:trPr>
          <w:trHeight w:val="270"/>
        </w:trPr>
        <w:tc>
          <w:tcPr>
            <w:tcW w:w="6740" w:type="dxa"/>
            <w:vAlign w:val="bottom"/>
            <w:shd w:val="clear" w:color="auto" w:fill="CCFFCC"/>
          </w:tcPr>
          <w:p>
            <w:pPr>
              <w:spacing w:after="0"/>
              <w:rPr>
                <w:sz w:val="23"/>
                <w:szCs w:val="23"/>
                <w:color w:val="auto"/>
              </w:rPr>
            </w:pPr>
          </w:p>
        </w:tc>
        <w:tc>
          <w:tcPr>
            <w:tcW w:w="136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134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2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b w:val="1"/>
                <w:bCs w:val="1"/>
                <w:color w:val="auto"/>
              </w:rPr>
              <w:t>Financial income, net</w:t>
            </w:r>
          </w:p>
        </w:tc>
        <w:tc>
          <w:tcPr>
            <w:tcW w:w="158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18,212</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17,583</w:t>
            </w: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21,707</w:t>
            </w:r>
          </w:p>
        </w:tc>
      </w:tr>
      <w:tr>
        <w:trPr>
          <w:trHeight w:val="270"/>
        </w:trPr>
        <w:tc>
          <w:tcPr>
            <w:tcW w:w="6740" w:type="dxa"/>
            <w:vAlign w:val="bottom"/>
            <w:shd w:val="clear" w:color="auto" w:fill="CCFFCC"/>
          </w:tcPr>
          <w:p>
            <w:pPr>
              <w:spacing w:after="0"/>
              <w:rPr>
                <w:sz w:val="23"/>
                <w:szCs w:val="23"/>
                <w:color w:val="auto"/>
              </w:rPr>
            </w:pPr>
          </w:p>
        </w:tc>
        <w:tc>
          <w:tcPr>
            <w:tcW w:w="136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134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2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Salaries and benefits</w:t>
            </w:r>
          </w:p>
        </w:tc>
        <w:tc>
          <w:tcPr>
            <w:tcW w:w="1580" w:type="dxa"/>
            <w:vAlign w:val="bottom"/>
            <w:gridSpan w:val="2"/>
          </w:tcPr>
          <w:p>
            <w:pPr>
              <w:jc w:val="right"/>
              <w:ind w:right="132"/>
              <w:spacing w:after="0"/>
              <w:rPr>
                <w:sz w:val="20"/>
                <w:szCs w:val="20"/>
                <w:color w:val="auto"/>
              </w:rPr>
            </w:pPr>
            <w:r>
              <w:rPr>
                <w:rFonts w:ascii="Arial" w:cs="Arial" w:eastAsia="Arial" w:hAnsi="Arial"/>
                <w:sz w:val="18"/>
                <w:szCs w:val="18"/>
                <w:color w:val="auto"/>
              </w:rPr>
              <w:t>11,186</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9,469</w:t>
            </w: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9,519</w:t>
            </w:r>
          </w:p>
        </w:tc>
      </w:tr>
      <w:tr>
        <w:trPr>
          <w:trHeight w:val="243"/>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Administrative expenses</w:t>
            </w:r>
          </w:p>
        </w:tc>
        <w:tc>
          <w:tcPr>
            <w:tcW w:w="1580" w:type="dxa"/>
            <w:vAlign w:val="bottom"/>
            <w:gridSpan w:val="2"/>
            <w:shd w:val="clear" w:color="auto" w:fill="CCFFCC"/>
          </w:tcPr>
          <w:p>
            <w:pPr>
              <w:jc w:val="right"/>
              <w:ind w:right="132"/>
              <w:spacing w:after="0"/>
              <w:rPr>
                <w:sz w:val="20"/>
                <w:szCs w:val="20"/>
                <w:color w:val="auto"/>
              </w:rPr>
            </w:pPr>
            <w:r>
              <w:rPr>
                <w:rFonts w:ascii="Arial" w:cs="Arial" w:eastAsia="Arial" w:hAnsi="Arial"/>
                <w:sz w:val="18"/>
                <w:szCs w:val="18"/>
                <w:color w:val="auto"/>
              </w:rPr>
              <w:t>8,913</w:t>
            </w: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8,430</w:t>
            </w:r>
          </w:p>
        </w:tc>
        <w:tc>
          <w:tcPr>
            <w:tcW w:w="24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7,977</w:t>
            </w:r>
          </w:p>
        </w:tc>
      </w:tr>
      <w:tr>
        <w:trPr>
          <w:trHeight w:val="243"/>
        </w:trPr>
        <w:tc>
          <w:tcPr>
            <w:tcW w:w="6740" w:type="dxa"/>
            <w:vAlign w:val="bottom"/>
          </w:tcPr>
          <w:p>
            <w:pPr>
              <w:spacing w:after="0"/>
              <w:rPr>
                <w:sz w:val="20"/>
                <w:szCs w:val="20"/>
                <w:color w:val="auto"/>
              </w:rPr>
            </w:pPr>
            <w:r>
              <w:rPr>
                <w:rFonts w:ascii="Arial" w:cs="Arial" w:eastAsia="Arial" w:hAnsi="Arial"/>
                <w:sz w:val="18"/>
                <w:szCs w:val="18"/>
                <w:b w:val="1"/>
                <w:bCs w:val="1"/>
                <w:color w:val="auto"/>
              </w:rPr>
              <w:t>General Expenses</w:t>
            </w:r>
          </w:p>
        </w:tc>
        <w:tc>
          <w:tcPr>
            <w:tcW w:w="158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20,099</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17,899</w:t>
            </w: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17,495</w:t>
            </w:r>
          </w:p>
        </w:tc>
      </w:tr>
      <w:tr>
        <w:trPr>
          <w:trHeight w:val="270"/>
        </w:trPr>
        <w:tc>
          <w:tcPr>
            <w:tcW w:w="6740" w:type="dxa"/>
            <w:vAlign w:val="bottom"/>
            <w:shd w:val="clear" w:color="auto" w:fill="CCFFCC"/>
          </w:tcPr>
          <w:p>
            <w:pPr>
              <w:spacing w:after="0"/>
              <w:rPr>
                <w:sz w:val="23"/>
                <w:szCs w:val="23"/>
                <w:color w:val="auto"/>
              </w:rPr>
            </w:pPr>
          </w:p>
        </w:tc>
        <w:tc>
          <w:tcPr>
            <w:tcW w:w="136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134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2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Other income</w:t>
            </w:r>
          </w:p>
        </w:tc>
        <w:tc>
          <w:tcPr>
            <w:tcW w:w="1580" w:type="dxa"/>
            <w:vAlign w:val="bottom"/>
            <w:gridSpan w:val="2"/>
          </w:tcPr>
          <w:p>
            <w:pPr>
              <w:jc w:val="right"/>
              <w:ind w:right="132"/>
              <w:spacing w:after="0"/>
              <w:rPr>
                <w:sz w:val="20"/>
                <w:szCs w:val="20"/>
                <w:color w:val="auto"/>
              </w:rPr>
            </w:pPr>
            <w:r>
              <w:rPr>
                <w:rFonts w:ascii="Arial" w:cs="Arial" w:eastAsia="Arial" w:hAnsi="Arial"/>
                <w:sz w:val="18"/>
                <w:szCs w:val="18"/>
                <w:color w:val="auto"/>
              </w:rPr>
              <w:t>875</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840</w:t>
            </w: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523</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Traslation results</w:t>
            </w:r>
          </w:p>
        </w:tc>
        <w:tc>
          <w:tcPr>
            <w:tcW w:w="1580" w:type="dxa"/>
            <w:vAlign w:val="bottom"/>
            <w:gridSpan w:val="2"/>
            <w:shd w:val="clear" w:color="auto" w:fill="CCFFCC"/>
          </w:tcPr>
          <w:p>
            <w:pPr>
              <w:jc w:val="right"/>
              <w:ind w:right="132"/>
              <w:spacing w:after="0"/>
              <w:rPr>
                <w:sz w:val="20"/>
                <w:szCs w:val="20"/>
                <w:color w:val="auto"/>
              </w:rPr>
            </w:pPr>
            <w:r>
              <w:rPr>
                <w:rFonts w:ascii="Arial" w:cs="Arial" w:eastAsia="Arial" w:hAnsi="Arial"/>
                <w:sz w:val="18"/>
                <w:szCs w:val="18"/>
                <w:color w:val="auto"/>
              </w:rPr>
              <w:t>5,924</w:t>
            </w: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1,779</w:t>
            </w:r>
          </w:p>
        </w:tc>
        <w:tc>
          <w:tcPr>
            <w:tcW w:w="24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320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Employee participation and income tax</w:t>
            </w:r>
          </w:p>
        </w:tc>
        <w:tc>
          <w:tcPr>
            <w:tcW w:w="1580" w:type="dxa"/>
            <w:vAlign w:val="bottom"/>
            <w:gridSpan w:val="2"/>
          </w:tcPr>
          <w:p>
            <w:pPr>
              <w:jc w:val="right"/>
              <w:ind w:right="132"/>
              <w:spacing w:after="0"/>
              <w:rPr>
                <w:sz w:val="20"/>
                <w:szCs w:val="20"/>
                <w:color w:val="auto"/>
              </w:rPr>
            </w:pPr>
            <w:r>
              <w:rPr>
                <w:rFonts w:ascii="Arial" w:cs="Arial" w:eastAsia="Arial" w:hAnsi="Arial"/>
                <w:sz w:val="18"/>
                <w:szCs w:val="18"/>
                <w:color w:val="auto"/>
              </w:rPr>
              <w:t>795</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1,353</w:t>
            </w:r>
          </w:p>
        </w:tc>
      </w:tr>
      <w:tr>
        <w:trPr>
          <w:trHeight w:val="270"/>
        </w:trPr>
        <w:tc>
          <w:tcPr>
            <w:tcW w:w="6740" w:type="dxa"/>
            <w:vAlign w:val="bottom"/>
            <w:shd w:val="clear" w:color="auto" w:fill="CCFFCC"/>
          </w:tcPr>
          <w:p>
            <w:pPr>
              <w:spacing w:after="0"/>
              <w:rPr>
                <w:sz w:val="23"/>
                <w:szCs w:val="23"/>
                <w:color w:val="auto"/>
              </w:rPr>
            </w:pPr>
          </w:p>
        </w:tc>
        <w:tc>
          <w:tcPr>
            <w:tcW w:w="136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134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2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b w:val="1"/>
                <w:bCs w:val="1"/>
                <w:color w:val="auto"/>
              </w:rPr>
              <w:t>Income before Minority Interest</w:t>
            </w:r>
          </w:p>
        </w:tc>
        <w:tc>
          <w:tcPr>
            <w:tcW w:w="158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4,652</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2,905</w:t>
            </w: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12,504</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Minority interest</w:t>
            </w:r>
          </w:p>
        </w:tc>
        <w:tc>
          <w:tcPr>
            <w:tcW w:w="1580" w:type="dxa"/>
            <w:vAlign w:val="bottom"/>
            <w:gridSpan w:val="2"/>
            <w:shd w:val="clear" w:color="auto" w:fill="CCFFCC"/>
          </w:tcPr>
          <w:p>
            <w:pPr>
              <w:jc w:val="right"/>
              <w:ind w:right="132"/>
              <w:spacing w:after="0"/>
              <w:rPr>
                <w:sz w:val="20"/>
                <w:szCs w:val="20"/>
                <w:color w:val="auto"/>
              </w:rPr>
            </w:pPr>
            <w:r>
              <w:rPr>
                <w:rFonts w:ascii="Arial" w:cs="Arial" w:eastAsia="Arial" w:hAnsi="Arial"/>
                <w:sz w:val="18"/>
                <w:szCs w:val="18"/>
                <w:color w:val="auto"/>
              </w:rPr>
              <w:t>1,559</w:t>
            </w: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2,054</w:t>
            </w:r>
          </w:p>
        </w:tc>
        <w:tc>
          <w:tcPr>
            <w:tcW w:w="24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3,769</w:t>
            </w:r>
          </w:p>
        </w:tc>
      </w:tr>
      <w:tr>
        <w:trPr>
          <w:trHeight w:val="270"/>
        </w:trPr>
        <w:tc>
          <w:tcPr>
            <w:tcW w:w="67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580" w:type="dxa"/>
            <w:vAlign w:val="bottom"/>
            <w:gridSpan w:val="2"/>
            <w:shd w:val="clear" w:color="auto" w:fill="CCFFCC"/>
          </w:tcPr>
          <w:p>
            <w:pPr>
              <w:jc w:val="right"/>
              <w:ind w:right="132"/>
              <w:spacing w:after="0"/>
              <w:rPr>
                <w:sz w:val="20"/>
                <w:szCs w:val="20"/>
                <w:color w:val="auto"/>
              </w:rPr>
            </w:pPr>
            <w:r>
              <w:rPr>
                <w:rFonts w:ascii="Arial" w:cs="Arial" w:eastAsia="Arial" w:hAnsi="Arial"/>
                <w:sz w:val="18"/>
                <w:szCs w:val="18"/>
                <w:b w:val="1"/>
                <w:bCs w:val="1"/>
                <w:color w:val="auto"/>
              </w:rPr>
              <w:t>3,093</w:t>
            </w: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851</w:t>
            </w:r>
          </w:p>
        </w:tc>
        <w:tc>
          <w:tcPr>
            <w:tcW w:w="24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8,735</w:t>
            </w:r>
          </w:p>
        </w:tc>
      </w:tr>
      <w:tr>
        <w:trPr>
          <w:trHeight w:val="284"/>
        </w:trPr>
        <w:tc>
          <w:tcPr>
            <w:tcW w:w="6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7"/>
        </w:trPr>
        <w:tc>
          <w:tcPr>
            <w:tcW w:w="6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(end of period)</w:t>
            </w:r>
          </w:p>
        </w:tc>
        <w:tc>
          <w:tcPr>
            <w:tcW w:w="136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134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24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r>
      <w:tr>
        <w:trPr>
          <w:trHeight w:val="270"/>
        </w:trPr>
        <w:tc>
          <w:tcPr>
            <w:tcW w:w="67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Total Assets</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1,257,642</w:t>
            </w:r>
          </w:p>
        </w:tc>
        <w:tc>
          <w:tcPr>
            <w:tcW w:w="220" w:type="dxa"/>
            <w:vAlign w:val="bottom"/>
            <w:shd w:val="clear" w:color="auto" w:fill="CCFFCC"/>
          </w:tcPr>
          <w:p>
            <w:pPr>
              <w:spacing w:after="0"/>
              <w:rPr>
                <w:sz w:val="21"/>
                <w:szCs w:val="21"/>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1,197,943</w:t>
            </w:r>
          </w:p>
        </w:tc>
        <w:tc>
          <w:tcPr>
            <w:tcW w:w="22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990,470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Investment on Securities and Real State (4)</w:t>
            </w:r>
          </w:p>
        </w:tc>
        <w:tc>
          <w:tcPr>
            <w:tcW w:w="1580" w:type="dxa"/>
            <w:vAlign w:val="bottom"/>
            <w:gridSpan w:val="2"/>
          </w:tcPr>
          <w:p>
            <w:pPr>
              <w:jc w:val="right"/>
              <w:ind w:right="132"/>
              <w:spacing w:after="0"/>
              <w:rPr>
                <w:sz w:val="20"/>
                <w:szCs w:val="20"/>
                <w:color w:val="auto"/>
              </w:rPr>
            </w:pPr>
            <w:r>
              <w:rPr>
                <w:rFonts w:ascii="Arial" w:cs="Arial" w:eastAsia="Arial" w:hAnsi="Arial"/>
                <w:sz w:val="18"/>
                <w:szCs w:val="18"/>
                <w:color w:val="auto"/>
              </w:rPr>
              <w:t>866,924</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821,278</w:t>
            </w: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754,388</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Technical Reserves</w:t>
            </w:r>
          </w:p>
        </w:tc>
        <w:tc>
          <w:tcPr>
            <w:tcW w:w="1580" w:type="dxa"/>
            <w:vAlign w:val="bottom"/>
            <w:gridSpan w:val="2"/>
            <w:shd w:val="clear" w:color="auto" w:fill="CCFFCC"/>
          </w:tcPr>
          <w:p>
            <w:pPr>
              <w:jc w:val="right"/>
              <w:ind w:right="132"/>
              <w:spacing w:after="0"/>
              <w:rPr>
                <w:sz w:val="20"/>
                <w:szCs w:val="20"/>
                <w:color w:val="auto"/>
              </w:rPr>
            </w:pPr>
            <w:r>
              <w:rPr>
                <w:rFonts w:ascii="Arial" w:cs="Arial" w:eastAsia="Arial" w:hAnsi="Arial"/>
                <w:sz w:val="18"/>
                <w:szCs w:val="18"/>
                <w:color w:val="auto"/>
              </w:rPr>
              <w:t>871,313</w:t>
            </w: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817,510</w:t>
            </w:r>
          </w:p>
        </w:tc>
        <w:tc>
          <w:tcPr>
            <w:tcW w:w="24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650,968</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Net Equity</w:t>
            </w:r>
          </w:p>
        </w:tc>
        <w:tc>
          <w:tcPr>
            <w:tcW w:w="1580" w:type="dxa"/>
            <w:vAlign w:val="bottom"/>
            <w:gridSpan w:val="2"/>
          </w:tcPr>
          <w:p>
            <w:pPr>
              <w:jc w:val="right"/>
              <w:ind w:right="132"/>
              <w:spacing w:after="0"/>
              <w:rPr>
                <w:sz w:val="20"/>
                <w:szCs w:val="20"/>
                <w:color w:val="auto"/>
              </w:rPr>
            </w:pPr>
            <w:r>
              <w:rPr>
                <w:rFonts w:ascii="Arial" w:cs="Arial" w:eastAsia="Arial" w:hAnsi="Arial"/>
                <w:sz w:val="18"/>
                <w:szCs w:val="18"/>
                <w:color w:val="auto"/>
              </w:rPr>
              <w:t>208,946</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206,103</w:t>
            </w: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201,777</w:t>
            </w:r>
          </w:p>
        </w:tc>
      </w:tr>
      <w:tr>
        <w:trPr>
          <w:trHeight w:val="270"/>
        </w:trPr>
        <w:tc>
          <w:tcPr>
            <w:tcW w:w="6740" w:type="dxa"/>
            <w:vAlign w:val="bottom"/>
            <w:shd w:val="clear" w:color="auto" w:fill="CCFFCC"/>
          </w:tcPr>
          <w:p>
            <w:pPr>
              <w:spacing w:after="0"/>
              <w:rPr>
                <w:sz w:val="23"/>
                <w:szCs w:val="23"/>
                <w:color w:val="auto"/>
              </w:rPr>
            </w:pPr>
          </w:p>
        </w:tc>
        <w:tc>
          <w:tcPr>
            <w:tcW w:w="136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134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2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r>
      <w:tr>
        <w:trPr>
          <w:trHeight w:val="250"/>
        </w:trPr>
        <w:tc>
          <w:tcPr>
            <w:tcW w:w="6740" w:type="dxa"/>
            <w:vAlign w:val="bottom"/>
          </w:tcPr>
          <w:p>
            <w:pPr>
              <w:spacing w:after="0"/>
              <w:rPr>
                <w:sz w:val="20"/>
                <w:szCs w:val="20"/>
                <w:color w:val="auto"/>
              </w:rPr>
            </w:pPr>
            <w:r>
              <w:rPr>
                <w:rFonts w:ascii="Arial" w:cs="Arial" w:eastAsia="Arial" w:hAnsi="Arial"/>
                <w:sz w:val="18"/>
                <w:szCs w:val="18"/>
                <w:b w:val="1"/>
                <w:bCs w:val="1"/>
                <w:color w:val="auto"/>
              </w:rPr>
              <w:t>Ratios</w:t>
            </w: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90"/>
        </w:trPr>
        <w:tc>
          <w:tcPr>
            <w:tcW w:w="6740" w:type="dxa"/>
            <w:vAlign w:val="bottom"/>
            <w:shd w:val="clear" w:color="auto" w:fill="CCFFCC"/>
          </w:tcPr>
          <w:p>
            <w:pPr>
              <w:spacing w:after="0"/>
              <w:rPr>
                <w:sz w:val="24"/>
                <w:szCs w:val="24"/>
                <w:color w:val="auto"/>
              </w:rPr>
            </w:pPr>
          </w:p>
        </w:tc>
        <w:tc>
          <w:tcPr>
            <w:tcW w:w="1360" w:type="dxa"/>
            <w:vAlign w:val="bottom"/>
            <w:shd w:val="clear" w:color="auto" w:fill="CCFFCC"/>
          </w:tcPr>
          <w:p>
            <w:pPr>
              <w:spacing w:after="0"/>
              <w:rPr>
                <w:sz w:val="24"/>
                <w:szCs w:val="24"/>
                <w:color w:val="auto"/>
              </w:rPr>
            </w:pPr>
          </w:p>
        </w:tc>
        <w:tc>
          <w:tcPr>
            <w:tcW w:w="220" w:type="dxa"/>
            <w:vAlign w:val="bottom"/>
            <w:shd w:val="clear" w:color="auto" w:fill="CCFFCC"/>
          </w:tcPr>
          <w:p>
            <w:pPr>
              <w:spacing w:after="0"/>
              <w:rPr>
                <w:sz w:val="24"/>
                <w:szCs w:val="24"/>
                <w:color w:val="auto"/>
              </w:rPr>
            </w:pPr>
          </w:p>
        </w:tc>
        <w:tc>
          <w:tcPr>
            <w:tcW w:w="1340" w:type="dxa"/>
            <w:vAlign w:val="bottom"/>
            <w:shd w:val="clear" w:color="auto" w:fill="CCFFCC"/>
          </w:tcPr>
          <w:p>
            <w:pPr>
              <w:spacing w:after="0"/>
              <w:rPr>
                <w:sz w:val="24"/>
                <w:szCs w:val="24"/>
                <w:color w:val="auto"/>
              </w:rPr>
            </w:pPr>
          </w:p>
        </w:tc>
        <w:tc>
          <w:tcPr>
            <w:tcW w:w="220" w:type="dxa"/>
            <w:vAlign w:val="bottom"/>
            <w:shd w:val="clear" w:color="auto" w:fill="CCFFCC"/>
          </w:tcPr>
          <w:p>
            <w:pPr>
              <w:spacing w:after="0"/>
              <w:rPr>
                <w:sz w:val="24"/>
                <w:szCs w:val="24"/>
                <w:color w:val="auto"/>
              </w:rPr>
            </w:pPr>
          </w:p>
        </w:tc>
        <w:tc>
          <w:tcPr>
            <w:tcW w:w="2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c>
          <w:tcPr>
            <w:tcW w:w="180" w:type="dxa"/>
            <w:vAlign w:val="bottom"/>
            <w:shd w:val="clear" w:color="auto" w:fill="CCFFCC"/>
          </w:tcPr>
          <w:p>
            <w:pPr>
              <w:spacing w:after="0"/>
              <w:rPr>
                <w:sz w:val="24"/>
                <w:szCs w:val="24"/>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Ceded premiums / Total premiums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24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Direct claims / Total premiums</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70.6%</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76.4%</w:t>
            </w:r>
          </w:p>
        </w:tc>
        <w:tc>
          <w:tcPr>
            <w:tcW w:w="24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54.0%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Net claims / Earned net premiums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83.1%</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81.9%</w:t>
            </w:r>
          </w:p>
        </w:tc>
        <w:tc>
          <w:tcPr>
            <w:tcW w:w="24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73.0%</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Net commissions / Earned net premiums</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8.8%</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8.5%</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Commissions + technical expenses, net / Earned net premiums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17.4%</w:t>
            </w:r>
          </w:p>
        </w:tc>
        <w:tc>
          <w:tcPr>
            <w:tcW w:w="24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Technical results / Total premiums</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0.4%</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8.4%</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Technical results / Earned net premiums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General Expenses / Earned net premiums</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21.9%</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21.3%</w:t>
            </w:r>
          </w:p>
        </w:tc>
        <w:tc>
          <w:tcPr>
            <w:tcW w:w="24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24.3%</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Net income / Total premiums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Return on Equity (1)(2)</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6.1%</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16.9%</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Return on Total Premiums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Net Equity / Total Assets</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16.6%</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20.4%</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Increase in Thecnical Reserves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General expenses / Assets (1)(2)</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6.7%</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7.5%</w:t>
            </w:r>
          </w:p>
        </w:tc>
      </w:tr>
      <w:tr>
        <w:trPr>
          <w:trHeight w:val="270"/>
        </w:trPr>
        <w:tc>
          <w:tcPr>
            <w:tcW w:w="6740" w:type="dxa"/>
            <w:vAlign w:val="bottom"/>
          </w:tcPr>
          <w:p>
            <w:pPr>
              <w:spacing w:after="0"/>
              <w:rPr>
                <w:sz w:val="23"/>
                <w:szCs w:val="23"/>
                <w:color w:val="auto"/>
              </w:rPr>
            </w:pPr>
          </w:p>
        </w:tc>
        <w:tc>
          <w:tcPr>
            <w:tcW w:w="1580" w:type="dxa"/>
            <w:vAlign w:val="bottom"/>
            <w:gridSpan w:val="2"/>
          </w:tcPr>
          <w:p>
            <w:pPr>
              <w:spacing w:after="0"/>
              <w:rPr>
                <w:sz w:val="23"/>
                <w:szCs w:val="23"/>
                <w:color w:val="auto"/>
              </w:rPr>
            </w:pPr>
          </w:p>
        </w:tc>
        <w:tc>
          <w:tcPr>
            <w:tcW w:w="1560" w:type="dxa"/>
            <w:vAlign w:val="bottom"/>
            <w:gridSpan w:val="2"/>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gridSpan w:val="2"/>
          </w:tcPr>
          <w:p>
            <w:pPr>
              <w:spacing w:after="0"/>
              <w:rPr>
                <w:sz w:val="23"/>
                <w:szCs w:val="23"/>
                <w:color w:val="auto"/>
              </w:rPr>
            </w:pPr>
          </w:p>
        </w:tc>
      </w:tr>
      <w:tr>
        <w:trPr>
          <w:trHeight w:val="257"/>
        </w:trPr>
        <w:tc>
          <w:tcPr>
            <w:tcW w:w="6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Combined Ratio of PPS + PS (3)</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115.6%</w:t>
            </w:r>
          </w:p>
        </w:tc>
        <w:tc>
          <w:tcPr>
            <w:tcW w:w="15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118.8%</w:t>
            </w:r>
          </w:p>
        </w:tc>
        <w:tc>
          <w:tcPr>
            <w:tcW w:w="240" w:type="dxa"/>
            <w:vAlign w:val="bottom"/>
            <w:shd w:val="clear" w:color="auto" w:fill="CCFFCC"/>
          </w:tcPr>
          <w:p>
            <w:pPr>
              <w:spacing w:after="0"/>
              <w:rPr>
                <w:sz w:val="22"/>
                <w:szCs w:val="22"/>
                <w:color w:val="auto"/>
              </w:rPr>
            </w:pP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107.5%</w:t>
            </w:r>
          </w:p>
        </w:tc>
      </w:tr>
    </w:tbl>
    <w:p>
      <w:pPr>
        <w:sectPr>
          <w:pgSz w:w="11900" w:h="16838" w:orient="portrait"/>
          <w:cols w:equalWidth="0" w:num="1">
            <w:col w:w="11420"/>
          </w:cols>
          <w:pgMar w:left="240" w:top="999" w:right="239" w:bottom="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Net Claims / Earned net premiums</w:t>
            </w:r>
          </w:p>
        </w:tc>
        <w:tc>
          <w:tcPr>
            <w:tcW w:w="2760" w:type="dxa"/>
            <w:vAlign w:val="bottom"/>
          </w:tcPr>
          <w:p>
            <w:pPr>
              <w:jc w:val="right"/>
              <w:ind w:right="470"/>
              <w:spacing w:after="0"/>
              <w:rPr>
                <w:sz w:val="20"/>
                <w:szCs w:val="20"/>
                <w:color w:val="auto"/>
              </w:rPr>
            </w:pPr>
            <w:r>
              <w:rPr>
                <w:rFonts w:ascii="Arial" w:cs="Arial" w:eastAsia="Arial" w:hAnsi="Arial"/>
                <w:sz w:val="18"/>
                <w:szCs w:val="18"/>
                <w:color w:val="auto"/>
              </w:rPr>
              <w:t>85.5%</w:t>
            </w:r>
          </w:p>
        </w:tc>
        <w:tc>
          <w:tcPr>
            <w:tcW w:w="1560" w:type="dxa"/>
            <w:vAlign w:val="bottom"/>
          </w:tcPr>
          <w:p>
            <w:pPr>
              <w:jc w:val="right"/>
              <w:ind w:right="450"/>
              <w:spacing w:after="0"/>
              <w:rPr>
                <w:sz w:val="20"/>
                <w:szCs w:val="20"/>
                <w:color w:val="auto"/>
              </w:rPr>
            </w:pPr>
            <w:r>
              <w:rPr>
                <w:rFonts w:ascii="Arial" w:cs="Arial" w:eastAsia="Arial" w:hAnsi="Arial"/>
                <w:sz w:val="18"/>
                <w:szCs w:val="18"/>
                <w:color w:val="auto"/>
              </w:rPr>
              <w:t>86.1%</w:t>
            </w:r>
          </w:p>
        </w:tc>
        <w:tc>
          <w:tcPr>
            <w:tcW w:w="1060" w:type="dxa"/>
            <w:vAlign w:val="bottom"/>
          </w:tcPr>
          <w:p>
            <w:pPr>
              <w:jc w:val="right"/>
              <w:spacing w:after="0"/>
              <w:rPr>
                <w:sz w:val="20"/>
                <w:szCs w:val="20"/>
                <w:color w:val="auto"/>
              </w:rPr>
            </w:pPr>
            <w:r>
              <w:rPr>
                <w:rFonts w:ascii="Arial" w:cs="Arial" w:eastAsia="Arial" w:hAnsi="Arial"/>
                <w:sz w:val="18"/>
                <w:szCs w:val="18"/>
                <w:color w:val="auto"/>
              </w:rPr>
              <w:t>73.8%</w:t>
            </w:r>
          </w:p>
        </w:tc>
      </w:tr>
      <w:tr>
        <w:trPr>
          <w:trHeight w:val="27"/>
        </w:trPr>
        <w:tc>
          <w:tcPr>
            <w:tcW w:w="60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6040" w:type="dxa"/>
            <w:vAlign w:val="bottom"/>
            <w:shd w:val="clear" w:color="auto" w:fill="CCFFCC"/>
          </w:tcPr>
          <w:p>
            <w:pPr>
              <w:spacing w:after="0"/>
              <w:rPr>
                <w:sz w:val="20"/>
                <w:szCs w:val="20"/>
                <w:color w:val="auto"/>
              </w:rPr>
            </w:pPr>
            <w:r>
              <w:rPr>
                <w:rFonts w:ascii="Arial" w:cs="Arial" w:eastAsia="Arial" w:hAnsi="Arial"/>
                <w:sz w:val="18"/>
                <w:szCs w:val="18"/>
                <w:color w:val="auto"/>
              </w:rPr>
              <w:t>General Expenses and Commissions / Earned net premiums</w:t>
            </w:r>
          </w:p>
        </w:tc>
        <w:tc>
          <w:tcPr>
            <w:tcW w:w="276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30.1%</w:t>
            </w:r>
          </w:p>
        </w:tc>
        <w:tc>
          <w:tcPr>
            <w:tcW w:w="156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32.7%</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33.7%</w:t>
            </w:r>
          </w:p>
        </w:tc>
      </w:tr>
      <w:tr>
        <w:trPr>
          <w:trHeight w:val="230"/>
        </w:trPr>
        <w:tc>
          <w:tcPr>
            <w:tcW w:w="60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104"/>
        </w:trPr>
        <w:tc>
          <w:tcPr>
            <w:tcW w:w="604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ind w:left="260" w:hanging="252"/>
        <w:spacing w:after="0"/>
        <w:tabs>
          <w:tab w:leader="none" w:pos="2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w:t>
      </w:r>
    </w:p>
    <w:p>
      <w:pPr>
        <w:spacing w:after="0" w:line="36" w:lineRule="exact"/>
        <w:rPr>
          <w:rFonts w:ascii="Arial" w:cs="Arial" w:eastAsia="Arial" w:hAnsi="Arial"/>
          <w:sz w:val="18"/>
          <w:szCs w:val="18"/>
          <w:i w:val="1"/>
          <w:iCs w:val="1"/>
          <w:color w:val="auto"/>
        </w:rPr>
      </w:pPr>
    </w:p>
    <w:p>
      <w:pPr>
        <w:ind w:left="260" w:hanging="252"/>
        <w:spacing w:after="0"/>
        <w:tabs>
          <w:tab w:leader="none" w:pos="2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Annualized</w:t>
      </w:r>
    </w:p>
    <w:p>
      <w:pPr>
        <w:spacing w:after="0" w:line="36" w:lineRule="exact"/>
        <w:rPr>
          <w:rFonts w:ascii="Arial" w:cs="Arial" w:eastAsia="Arial" w:hAnsi="Arial"/>
          <w:sz w:val="18"/>
          <w:szCs w:val="18"/>
          <w:i w:val="1"/>
          <w:iCs w:val="1"/>
          <w:color w:val="auto"/>
        </w:rPr>
      </w:pPr>
    </w:p>
    <w:p>
      <w:pPr>
        <w:ind w:left="260" w:hanging="252"/>
        <w:spacing w:after="0"/>
        <w:tabs>
          <w:tab w:leader="none" w:pos="2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Without consolidated adjustments</w:t>
      </w:r>
    </w:p>
    <w:p>
      <w:pPr>
        <w:spacing w:after="0" w:line="36" w:lineRule="exact"/>
        <w:rPr>
          <w:rFonts w:ascii="Arial" w:cs="Arial" w:eastAsia="Arial" w:hAnsi="Arial"/>
          <w:sz w:val="18"/>
          <w:szCs w:val="18"/>
          <w:i w:val="1"/>
          <w:iCs w:val="1"/>
          <w:color w:val="auto"/>
        </w:rPr>
      </w:pPr>
    </w:p>
    <w:p>
      <w:pPr>
        <w:ind w:left="260" w:hanging="252"/>
        <w:spacing w:after="0"/>
        <w:tabs>
          <w:tab w:leader="none" w:pos="2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Real State Investment were excluded</w:t>
      </w:r>
    </w:p>
    <w:p>
      <w:pPr>
        <w:spacing w:after="0" w:line="23" w:lineRule="exact"/>
        <w:rPr>
          <w:sz w:val="20"/>
          <w:szCs w:val="20"/>
          <w:color w:val="auto"/>
        </w:rPr>
      </w:pPr>
    </w:p>
    <w:p>
      <w:pPr>
        <w:ind w:right="3800"/>
        <w:spacing w:after="0" w:line="266" w:lineRule="auto"/>
        <w:rPr>
          <w:sz w:val="20"/>
          <w:szCs w:val="20"/>
          <w:color w:val="auto"/>
        </w:rPr>
      </w:pPr>
      <w:r>
        <w:rPr>
          <w:rFonts w:ascii="Arial" w:cs="Arial" w:eastAsia="Arial" w:hAnsi="Arial"/>
          <w:sz w:val="18"/>
          <w:szCs w:val="18"/>
          <w:i w:val="1"/>
          <w:iCs w:val="1"/>
          <w:color w:val="auto"/>
        </w:rPr>
        <w:t>*In order to clarify the following presentation of financial information, we have reclassified the following accounts: general expenses, financial income, other income and expenses.</w:t>
      </w:r>
    </w:p>
    <w:p>
      <w:pPr>
        <w:spacing w:after="0"/>
        <w:rPr>
          <w:sz w:val="20"/>
          <w:szCs w:val="20"/>
          <w:color w:val="auto"/>
        </w:rPr>
      </w:pPr>
      <w:r>
        <w:rPr>
          <w:rFonts w:ascii="Arial" w:cs="Arial" w:eastAsia="Arial" w:hAnsi="Arial"/>
          <w:sz w:val="18"/>
          <w:szCs w:val="18"/>
          <w:i w:val="1"/>
          <w:iCs w:val="1"/>
          <w:color w:val="auto"/>
        </w:rPr>
        <w:t>We have reclassified these accounts for the previous quarters shown in this report for comparisson purposes.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41" w:lineRule="exact"/>
        <w:rPr>
          <w:sz w:val="20"/>
          <w:szCs w:val="20"/>
          <w:color w:val="auto"/>
        </w:rPr>
      </w:pPr>
    </w:p>
    <w:p>
      <w:pPr>
        <w:spacing w:after="0"/>
        <w:tabs>
          <w:tab w:leader="none" w:pos="5560" w:val="left"/>
        </w:tabs>
        <w:rPr>
          <w:sz w:val="20"/>
          <w:szCs w:val="20"/>
          <w:color w:val="auto"/>
        </w:rPr>
      </w:pPr>
      <w:r>
        <w:rPr>
          <w:rFonts w:ascii="Arial" w:cs="Arial" w:eastAsia="Arial" w:hAnsi="Arial"/>
          <w:sz w:val="36"/>
          <w:szCs w:val="36"/>
          <w:color w:val="auto"/>
          <w:vertAlign w:val="superscript"/>
        </w:rPr>
        <w:t>Date: May 7, 2008</w:t>
      </w:r>
      <w:r>
        <w:rPr>
          <w:sz w:val="20"/>
          <w:szCs w:val="20"/>
          <w:color w:val="auto"/>
        </w:rPr>
        <w:tab/>
      </w:r>
      <w:r>
        <w:rPr>
          <w:rFonts w:ascii="Arial" w:cs="Arial" w:eastAsia="Arial" w:hAnsi="Arial"/>
          <w:sz w:val="18"/>
          <w:szCs w:val="18"/>
          <w:color w:val="auto"/>
          <w:vertAlign w:val="superscript"/>
        </w:rPr>
        <w:t xml:space="preserve">By: </w:t>
      </w:r>
      <w:r>
        <w:rPr>
          <w:rFonts w:ascii="Arial" w:cs="Arial" w:eastAsia="Arial" w:hAnsi="Arial"/>
          <w:sz w:val="18"/>
          <w:szCs w:val="18"/>
          <w:color w:val="auto"/>
        </w:rPr>
        <w:t>/s/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-15240</wp:posOffset>
            </wp:positionV>
            <wp:extent cx="281686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16860" cy="21590"/>
                    </a:xfrm>
                    <a:prstGeom prst="rect">
                      <a:avLst/>
                    </a:prstGeom>
                    <a:noFill/>
                  </pic:spPr>
                </pic:pic>
              </a:graphicData>
            </a:graphic>
          </wp:anchor>
        </w:drawing>
      </w:r>
    </w:p>
    <w:p>
      <w:pPr>
        <w:spacing w:after="0" w:line="79"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Guillermo Castillo</w:t>
      </w:r>
    </w:p>
    <w:p>
      <w:pPr>
        <w:spacing w:after="0" w:line="4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264160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2019-12-14T06:43:58Z</dcterms:created>
  <dcterms:modified xsi:type="dcterms:W3CDTF">2019-12-14T06:43:58Z</dcterms:modified>
</cp:coreProperties>
</file>