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305435</wp:posOffset>
            </wp:positionV>
            <wp:extent cx="7136130"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2476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339090</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Report of Foreign Private Issuer</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Rule 13a-16 or 15d-16 under the</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month of November 2021</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001-14014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CREDICORP LTD.</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Clarendon House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Church Street</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Hamilton HM 11 Bermuda</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81"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13"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13"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46" w:lineRule="exact"/>
        <w:rPr>
          <w:sz w:val="24"/>
          <w:szCs w:val="24"/>
          <w:color w:val="auto"/>
        </w:rPr>
      </w:pPr>
    </w:p>
    <w:p>
      <w:pPr>
        <w:jc w:val="both"/>
        <w:spacing w:after="0" w:line="252"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136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586105</wp:posOffset>
            </wp:positionV>
            <wp:extent cx="7136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19" w:lineRule="exact"/>
        <w:rPr>
          <w:sz w:val="20"/>
          <w:szCs w:val="20"/>
          <w:color w:val="auto"/>
        </w:rPr>
      </w:pPr>
    </w:p>
    <w:p>
      <w:pPr>
        <w:ind w:firstLine="520"/>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 November 4</w:t>
      </w:r>
      <w:r>
        <w:rPr>
          <w:rFonts w:ascii="Arial" w:cs="Arial" w:eastAsia="Arial" w:hAnsi="Arial"/>
          <w:sz w:val="29"/>
          <w:szCs w:val="29"/>
          <w:color w:val="auto"/>
          <w:vertAlign w:val="superscript"/>
        </w:rPr>
        <w:t>th</w:t>
      </w:r>
      <w:r>
        <w:rPr>
          <w:rFonts w:ascii="Arial" w:cs="Arial" w:eastAsia="Arial" w:hAnsi="Arial"/>
          <w:sz w:val="18"/>
          <w:szCs w:val="18"/>
          <w:color w:val="auto"/>
        </w:rPr>
        <w:t>, 2021</w:t>
      </w:r>
    </w:p>
    <w:p>
      <w:pPr>
        <w:spacing w:after="0" w:line="1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CREDICORP LTD.</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0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Miriam Bottger</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Miriam Bottger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59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5965" cy="8255"/>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419100</wp:posOffset>
            </wp:positionV>
            <wp:extent cx="7136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2" w:name="page3"/>
    <w:bookmarkEnd w:id="2"/>
    <w:p>
      <w:pPr>
        <w:ind w:left="92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178435</wp:posOffset>
            </wp:positionV>
            <wp:extent cx="7136130" cy="82448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8244840"/>
                    </a:xfrm>
                    <a:prstGeom prst="rect">
                      <a:avLst/>
                    </a:prstGeom>
                    <a:noFill/>
                  </pic:spPr>
                </pic:pic>
              </a:graphicData>
            </a:graphic>
          </wp:anchor>
        </w:drawing>
      </w:r>
    </w:p>
    <w:p>
      <w:pPr>
        <w:sectPr>
          <w:pgSz w:w="11900" w:h="16838" w:orient="portrait"/>
          <w:cols w:equalWidth="0" w:num="1">
            <w:col w:w="10120"/>
          </w:cols>
          <w:pgMar w:left="1440" w:top="357" w:right="339" w:bottom="1440" w:gutter="0" w:footer="0" w:header="0"/>
        </w:sectPr>
      </w:pPr>
    </w:p>
    <w:bookmarkStart w:id="3" w:name="page4"/>
    <w:bookmarkEnd w:id="3"/>
    <w:tbl>
      <w:tblPr>
        <w:tblLayout w:type="fixed"/>
        <w:tblInd w:w="3820" w:type="dxa"/>
        <w:tblCellMar>
          <w:top w:w="0" w:type="dxa"/>
          <w:left w:w="0" w:type="dxa"/>
          <w:bottom w:w="0" w:type="dxa"/>
          <w:right w:w="0" w:type="dxa"/>
        </w:tblCellMar>
      </w:tblPr>
      <w:tr>
        <w:trPr>
          <w:trHeight w:val="228"/>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1960" w:type="dxa"/>
            <w:vAlign w:val="bottom"/>
          </w:tcPr>
          <w:p>
            <w:pPr>
              <w:spacing w:after="0"/>
              <w:rPr>
                <w:sz w:val="19"/>
                <w:szCs w:val="19"/>
                <w:color w:val="auto"/>
              </w:rPr>
            </w:pPr>
          </w:p>
        </w:tc>
      </w:tr>
      <w:tr>
        <w:trPr>
          <w:trHeight w:val="420"/>
        </w:trPr>
        <w:tc>
          <w:tcPr>
            <w:tcW w:w="4340" w:type="dxa"/>
            <w:vAlign w:val="bottom"/>
            <w:gridSpan w:val="2"/>
          </w:tcPr>
          <w:p>
            <w:pPr>
              <w:spacing w:after="0"/>
              <w:rPr>
                <w:sz w:val="20"/>
                <w:szCs w:val="20"/>
                <w:color w:val="auto"/>
              </w:rPr>
            </w:pPr>
            <w:r>
              <w:rPr>
                <w:rFonts w:ascii="Arial" w:cs="Arial" w:eastAsia="Arial" w:hAnsi="Arial"/>
                <w:sz w:val="18"/>
                <w:szCs w:val="18"/>
                <w:color w:val="auto"/>
              </w:rPr>
              <w:t>Credicorp Ltd. (NYSE:BAP)</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81"/>
        </w:trPr>
        <w:tc>
          <w:tcPr>
            <w:tcW w:w="4340" w:type="dxa"/>
            <w:vAlign w:val="bottom"/>
            <w:gridSpan w:val="2"/>
          </w:tcPr>
          <w:p>
            <w:pPr>
              <w:ind w:left="160"/>
              <w:spacing w:after="0"/>
              <w:rPr>
                <w:sz w:val="20"/>
                <w:szCs w:val="20"/>
                <w:color w:val="auto"/>
              </w:rPr>
            </w:pPr>
            <w:r>
              <w:rPr>
                <w:rFonts w:ascii="Arial" w:cs="Arial" w:eastAsia="Arial" w:hAnsi="Arial"/>
                <w:sz w:val="18"/>
                <w:szCs w:val="18"/>
                <w:color w:val="auto"/>
              </w:rPr>
              <w:t>Financial Overview</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81"/>
        </w:trPr>
        <w:tc>
          <w:tcPr>
            <w:tcW w:w="260" w:type="dxa"/>
            <w:vAlign w:val="bottom"/>
          </w:tcPr>
          <w:p>
            <w:pPr>
              <w:spacing w:after="0"/>
              <w:rPr>
                <w:sz w:val="20"/>
                <w:szCs w:val="20"/>
                <w:color w:val="auto"/>
              </w:rPr>
            </w:pPr>
            <w:r>
              <w:rPr>
                <w:rFonts w:ascii="Arial" w:cs="Arial" w:eastAsia="Arial" w:hAnsi="Arial"/>
                <w:sz w:val="18"/>
                <w:szCs w:val="18"/>
                <w:color w:val="auto"/>
              </w:rPr>
              <w:t>01</w:t>
            </w:r>
          </w:p>
        </w:tc>
        <w:tc>
          <w:tcPr>
            <w:tcW w:w="4080" w:type="dxa"/>
            <w:vAlign w:val="bottom"/>
          </w:tcPr>
          <w:p>
            <w:pPr>
              <w:ind w:left="60"/>
              <w:spacing w:after="0"/>
              <w:rPr>
                <w:sz w:val="20"/>
                <w:szCs w:val="20"/>
                <w:color w:val="auto"/>
              </w:rPr>
            </w:pPr>
            <w:r>
              <w:rPr>
                <w:rFonts w:ascii="Arial" w:cs="Arial" w:eastAsia="Arial" w:hAnsi="Arial"/>
                <w:sz w:val="18"/>
                <w:szCs w:val="18"/>
                <w:color w:val="auto"/>
              </w:rPr>
              <w:t>Interest-Earning Assets (IEA)</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81"/>
        </w:trPr>
        <w:tc>
          <w:tcPr>
            <w:tcW w:w="260" w:type="dxa"/>
            <w:vAlign w:val="bottom"/>
          </w:tcPr>
          <w:p>
            <w:pPr>
              <w:spacing w:after="0"/>
              <w:rPr>
                <w:sz w:val="20"/>
                <w:szCs w:val="20"/>
                <w:color w:val="auto"/>
              </w:rPr>
            </w:pPr>
            <w:r>
              <w:rPr>
                <w:rFonts w:ascii="Arial" w:cs="Arial" w:eastAsia="Arial" w:hAnsi="Arial"/>
                <w:sz w:val="18"/>
                <w:szCs w:val="18"/>
                <w:color w:val="auto"/>
              </w:rPr>
              <w:t>02</w:t>
            </w:r>
          </w:p>
        </w:tc>
        <w:tc>
          <w:tcPr>
            <w:tcW w:w="4080" w:type="dxa"/>
            <w:vAlign w:val="bottom"/>
          </w:tcPr>
          <w:p>
            <w:pPr>
              <w:ind w:left="60"/>
              <w:spacing w:after="0"/>
              <w:rPr>
                <w:sz w:val="20"/>
                <w:szCs w:val="20"/>
                <w:color w:val="auto"/>
              </w:rPr>
            </w:pPr>
            <w:r>
              <w:rPr>
                <w:rFonts w:ascii="Arial" w:cs="Arial" w:eastAsia="Arial" w:hAnsi="Arial"/>
                <w:sz w:val="18"/>
                <w:szCs w:val="18"/>
                <w:color w:val="auto"/>
              </w:rPr>
              <w:t>Funding Structure</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381"/>
        </w:trPr>
        <w:tc>
          <w:tcPr>
            <w:tcW w:w="260" w:type="dxa"/>
            <w:vAlign w:val="bottom"/>
          </w:tcPr>
          <w:p>
            <w:pPr>
              <w:spacing w:after="0"/>
              <w:rPr>
                <w:sz w:val="20"/>
                <w:szCs w:val="20"/>
                <w:color w:val="auto"/>
              </w:rPr>
            </w:pPr>
            <w:r>
              <w:rPr>
                <w:rFonts w:ascii="Arial" w:cs="Arial" w:eastAsia="Arial" w:hAnsi="Arial"/>
                <w:sz w:val="18"/>
                <w:szCs w:val="18"/>
                <w:color w:val="auto"/>
              </w:rPr>
              <w:t>03</w:t>
            </w:r>
          </w:p>
        </w:tc>
        <w:tc>
          <w:tcPr>
            <w:tcW w:w="4080" w:type="dxa"/>
            <w:vAlign w:val="bottom"/>
          </w:tcPr>
          <w:p>
            <w:pPr>
              <w:ind w:left="60"/>
              <w:spacing w:after="0"/>
              <w:rPr>
                <w:sz w:val="20"/>
                <w:szCs w:val="20"/>
                <w:color w:val="auto"/>
              </w:rPr>
            </w:pPr>
            <w:r>
              <w:rPr>
                <w:rFonts w:ascii="Arial" w:cs="Arial" w:eastAsia="Arial" w:hAnsi="Arial"/>
                <w:sz w:val="18"/>
                <w:szCs w:val="18"/>
                <w:color w:val="auto"/>
              </w:rPr>
              <w:t>Net Interest Income (NII)</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81"/>
        </w:trPr>
        <w:tc>
          <w:tcPr>
            <w:tcW w:w="260" w:type="dxa"/>
            <w:vAlign w:val="bottom"/>
          </w:tcPr>
          <w:p>
            <w:pPr>
              <w:spacing w:after="0"/>
              <w:rPr>
                <w:sz w:val="20"/>
                <w:szCs w:val="20"/>
                <w:color w:val="auto"/>
              </w:rPr>
            </w:pPr>
            <w:r>
              <w:rPr>
                <w:rFonts w:ascii="Arial" w:cs="Arial" w:eastAsia="Arial" w:hAnsi="Arial"/>
                <w:sz w:val="18"/>
                <w:szCs w:val="18"/>
                <w:color w:val="auto"/>
              </w:rPr>
              <w:t>04</w:t>
            </w:r>
          </w:p>
        </w:tc>
        <w:tc>
          <w:tcPr>
            <w:tcW w:w="4080" w:type="dxa"/>
            <w:vAlign w:val="bottom"/>
          </w:tcPr>
          <w:p>
            <w:pPr>
              <w:ind w:left="60"/>
              <w:spacing w:after="0"/>
              <w:rPr>
                <w:sz w:val="20"/>
                <w:szCs w:val="20"/>
                <w:color w:val="auto"/>
              </w:rPr>
            </w:pPr>
            <w:r>
              <w:rPr>
                <w:rFonts w:ascii="Arial" w:cs="Arial" w:eastAsia="Arial" w:hAnsi="Arial"/>
                <w:sz w:val="18"/>
                <w:szCs w:val="18"/>
                <w:color w:val="auto"/>
              </w:rPr>
              <w:t>Portfolio Quality</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381"/>
        </w:trPr>
        <w:tc>
          <w:tcPr>
            <w:tcW w:w="260" w:type="dxa"/>
            <w:vAlign w:val="bottom"/>
          </w:tcPr>
          <w:p>
            <w:pPr>
              <w:spacing w:after="0"/>
              <w:rPr>
                <w:sz w:val="20"/>
                <w:szCs w:val="20"/>
                <w:color w:val="auto"/>
              </w:rPr>
            </w:pPr>
            <w:r>
              <w:rPr>
                <w:rFonts w:ascii="Arial" w:cs="Arial" w:eastAsia="Arial" w:hAnsi="Arial"/>
                <w:sz w:val="18"/>
                <w:szCs w:val="18"/>
                <w:color w:val="auto"/>
              </w:rPr>
              <w:t>05</w:t>
            </w:r>
          </w:p>
        </w:tc>
        <w:tc>
          <w:tcPr>
            <w:tcW w:w="4080" w:type="dxa"/>
            <w:vAlign w:val="bottom"/>
          </w:tcPr>
          <w:p>
            <w:pPr>
              <w:ind w:left="60"/>
              <w:spacing w:after="0"/>
              <w:rPr>
                <w:sz w:val="20"/>
                <w:szCs w:val="20"/>
                <w:color w:val="auto"/>
              </w:rPr>
            </w:pPr>
            <w:r>
              <w:rPr>
                <w:rFonts w:ascii="Arial" w:cs="Arial" w:eastAsia="Arial" w:hAnsi="Arial"/>
                <w:sz w:val="18"/>
                <w:szCs w:val="18"/>
                <w:color w:val="auto"/>
              </w:rPr>
              <w:t>Other income</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381"/>
        </w:trPr>
        <w:tc>
          <w:tcPr>
            <w:tcW w:w="260" w:type="dxa"/>
            <w:vAlign w:val="bottom"/>
          </w:tcPr>
          <w:p>
            <w:pPr>
              <w:spacing w:after="0"/>
              <w:rPr>
                <w:sz w:val="20"/>
                <w:szCs w:val="20"/>
                <w:color w:val="auto"/>
              </w:rPr>
            </w:pPr>
            <w:r>
              <w:rPr>
                <w:rFonts w:ascii="Arial" w:cs="Arial" w:eastAsia="Arial" w:hAnsi="Arial"/>
                <w:sz w:val="18"/>
                <w:szCs w:val="18"/>
                <w:color w:val="auto"/>
              </w:rPr>
              <w:t>06</w:t>
            </w:r>
          </w:p>
        </w:tc>
        <w:tc>
          <w:tcPr>
            <w:tcW w:w="4080" w:type="dxa"/>
            <w:vAlign w:val="bottom"/>
          </w:tcPr>
          <w:p>
            <w:pPr>
              <w:ind w:left="60"/>
              <w:spacing w:after="0"/>
              <w:rPr>
                <w:sz w:val="20"/>
                <w:szCs w:val="20"/>
                <w:color w:val="auto"/>
              </w:rPr>
            </w:pPr>
            <w:r>
              <w:rPr>
                <w:rFonts w:ascii="Arial" w:cs="Arial" w:eastAsia="Arial" w:hAnsi="Arial"/>
                <w:sz w:val="18"/>
                <w:szCs w:val="18"/>
                <w:color w:val="auto"/>
              </w:rPr>
              <w:t>Insurance Underwriting Results</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381"/>
        </w:trPr>
        <w:tc>
          <w:tcPr>
            <w:tcW w:w="260" w:type="dxa"/>
            <w:vAlign w:val="bottom"/>
          </w:tcPr>
          <w:p>
            <w:pPr>
              <w:spacing w:after="0"/>
              <w:rPr>
                <w:sz w:val="20"/>
                <w:szCs w:val="20"/>
                <w:color w:val="auto"/>
              </w:rPr>
            </w:pPr>
            <w:r>
              <w:rPr>
                <w:rFonts w:ascii="Arial" w:cs="Arial" w:eastAsia="Arial" w:hAnsi="Arial"/>
                <w:sz w:val="18"/>
                <w:szCs w:val="18"/>
                <w:color w:val="auto"/>
              </w:rPr>
              <w:t>07</w:t>
            </w:r>
          </w:p>
        </w:tc>
        <w:tc>
          <w:tcPr>
            <w:tcW w:w="4080" w:type="dxa"/>
            <w:vAlign w:val="bottom"/>
          </w:tcPr>
          <w:p>
            <w:pPr>
              <w:ind w:left="60"/>
              <w:spacing w:after="0"/>
              <w:rPr>
                <w:sz w:val="20"/>
                <w:szCs w:val="20"/>
                <w:color w:val="auto"/>
              </w:rPr>
            </w:pPr>
            <w:r>
              <w:rPr>
                <w:rFonts w:ascii="Arial" w:cs="Arial" w:eastAsia="Arial" w:hAnsi="Arial"/>
                <w:sz w:val="18"/>
                <w:szCs w:val="18"/>
                <w:color w:val="auto"/>
              </w:rPr>
              <w:t>Operating Expenses</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381"/>
        </w:trPr>
        <w:tc>
          <w:tcPr>
            <w:tcW w:w="260" w:type="dxa"/>
            <w:vAlign w:val="bottom"/>
          </w:tcPr>
          <w:p>
            <w:pPr>
              <w:spacing w:after="0"/>
              <w:rPr>
                <w:sz w:val="20"/>
                <w:szCs w:val="20"/>
                <w:color w:val="auto"/>
              </w:rPr>
            </w:pPr>
            <w:r>
              <w:rPr>
                <w:rFonts w:ascii="Arial" w:cs="Arial" w:eastAsia="Arial" w:hAnsi="Arial"/>
                <w:sz w:val="18"/>
                <w:szCs w:val="18"/>
                <w:color w:val="auto"/>
              </w:rPr>
              <w:t>08</w:t>
            </w:r>
          </w:p>
        </w:tc>
        <w:tc>
          <w:tcPr>
            <w:tcW w:w="4080" w:type="dxa"/>
            <w:vAlign w:val="bottom"/>
          </w:tcPr>
          <w:p>
            <w:pPr>
              <w:ind w:left="60"/>
              <w:spacing w:after="0"/>
              <w:rPr>
                <w:sz w:val="20"/>
                <w:szCs w:val="20"/>
                <w:color w:val="auto"/>
              </w:rPr>
            </w:pPr>
            <w:r>
              <w:rPr>
                <w:rFonts w:ascii="Arial" w:cs="Arial" w:eastAsia="Arial" w:hAnsi="Arial"/>
                <w:sz w:val="18"/>
                <w:szCs w:val="18"/>
                <w:color w:val="auto"/>
              </w:rPr>
              <w:t>Operating Efficiency</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381"/>
        </w:trPr>
        <w:tc>
          <w:tcPr>
            <w:tcW w:w="260" w:type="dxa"/>
            <w:vAlign w:val="bottom"/>
          </w:tcPr>
          <w:p>
            <w:pPr>
              <w:spacing w:after="0"/>
              <w:rPr>
                <w:sz w:val="20"/>
                <w:szCs w:val="20"/>
                <w:color w:val="auto"/>
              </w:rPr>
            </w:pPr>
            <w:r>
              <w:rPr>
                <w:rFonts w:ascii="Arial" w:cs="Arial" w:eastAsia="Arial" w:hAnsi="Arial"/>
                <w:sz w:val="18"/>
                <w:szCs w:val="18"/>
                <w:color w:val="auto"/>
              </w:rPr>
              <w:t>09</w:t>
            </w:r>
          </w:p>
        </w:tc>
        <w:tc>
          <w:tcPr>
            <w:tcW w:w="4080" w:type="dxa"/>
            <w:vAlign w:val="bottom"/>
          </w:tcPr>
          <w:p>
            <w:pPr>
              <w:ind w:left="60"/>
              <w:spacing w:after="0"/>
              <w:rPr>
                <w:sz w:val="20"/>
                <w:szCs w:val="20"/>
                <w:color w:val="auto"/>
              </w:rPr>
            </w:pPr>
            <w:r>
              <w:rPr>
                <w:rFonts w:ascii="Arial" w:cs="Arial" w:eastAsia="Arial" w:hAnsi="Arial"/>
                <w:sz w:val="18"/>
                <w:szCs w:val="18"/>
                <w:color w:val="auto"/>
              </w:rPr>
              <w:t>Regulatory Capital</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48</w:t>
            </w:r>
          </w:p>
        </w:tc>
      </w:tr>
      <w:tr>
        <w:trPr>
          <w:trHeight w:val="381"/>
        </w:trPr>
        <w:tc>
          <w:tcPr>
            <w:tcW w:w="260" w:type="dxa"/>
            <w:vAlign w:val="bottom"/>
          </w:tcPr>
          <w:p>
            <w:pPr>
              <w:spacing w:after="0"/>
              <w:rPr>
                <w:sz w:val="20"/>
                <w:szCs w:val="20"/>
                <w:color w:val="auto"/>
              </w:rPr>
            </w:pPr>
            <w:r>
              <w:rPr>
                <w:rFonts w:ascii="Arial" w:cs="Arial" w:eastAsia="Arial" w:hAnsi="Arial"/>
                <w:sz w:val="18"/>
                <w:szCs w:val="18"/>
                <w:color w:val="auto"/>
              </w:rPr>
              <w:t>10</w:t>
            </w:r>
          </w:p>
        </w:tc>
        <w:tc>
          <w:tcPr>
            <w:tcW w:w="4080" w:type="dxa"/>
            <w:vAlign w:val="bottom"/>
          </w:tcPr>
          <w:p>
            <w:pPr>
              <w:ind w:left="60"/>
              <w:spacing w:after="0"/>
              <w:rPr>
                <w:sz w:val="20"/>
                <w:szCs w:val="20"/>
                <w:color w:val="auto"/>
              </w:rPr>
            </w:pPr>
            <w:r>
              <w:rPr>
                <w:rFonts w:ascii="Arial" w:cs="Arial" w:eastAsia="Arial" w:hAnsi="Arial"/>
                <w:sz w:val="18"/>
                <w:szCs w:val="18"/>
                <w:color w:val="auto"/>
              </w:rPr>
              <w:t>BCP Digital Transformation</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r>
        <w:trPr>
          <w:trHeight w:val="381"/>
        </w:trPr>
        <w:tc>
          <w:tcPr>
            <w:tcW w:w="260" w:type="dxa"/>
            <w:vAlign w:val="bottom"/>
          </w:tcPr>
          <w:p>
            <w:pPr>
              <w:spacing w:after="0"/>
              <w:rPr>
                <w:sz w:val="20"/>
                <w:szCs w:val="20"/>
                <w:color w:val="auto"/>
              </w:rPr>
            </w:pPr>
            <w:r>
              <w:rPr>
                <w:rFonts w:ascii="Arial" w:cs="Arial" w:eastAsia="Arial" w:hAnsi="Arial"/>
                <w:sz w:val="18"/>
                <w:szCs w:val="18"/>
                <w:color w:val="auto"/>
              </w:rPr>
              <w:t>11</w:t>
            </w:r>
          </w:p>
        </w:tc>
        <w:tc>
          <w:tcPr>
            <w:tcW w:w="4080" w:type="dxa"/>
            <w:vAlign w:val="bottom"/>
          </w:tcPr>
          <w:p>
            <w:pPr>
              <w:ind w:left="60"/>
              <w:spacing w:after="0"/>
              <w:rPr>
                <w:sz w:val="20"/>
                <w:szCs w:val="20"/>
                <w:color w:val="auto"/>
              </w:rPr>
            </w:pPr>
            <w:r>
              <w:rPr>
                <w:rFonts w:ascii="Arial" w:cs="Arial" w:eastAsia="Arial" w:hAnsi="Arial"/>
                <w:sz w:val="18"/>
                <w:szCs w:val="18"/>
                <w:color w:val="auto"/>
              </w:rPr>
              <w:t>Economic Perspectives</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55</w:t>
            </w:r>
          </w:p>
        </w:tc>
      </w:tr>
      <w:tr>
        <w:trPr>
          <w:trHeight w:val="381"/>
        </w:trPr>
        <w:tc>
          <w:tcPr>
            <w:tcW w:w="260" w:type="dxa"/>
            <w:vAlign w:val="bottom"/>
          </w:tcPr>
          <w:p>
            <w:pPr>
              <w:spacing w:after="0"/>
              <w:rPr>
                <w:sz w:val="20"/>
                <w:szCs w:val="20"/>
                <w:color w:val="auto"/>
              </w:rPr>
            </w:pPr>
            <w:r>
              <w:rPr>
                <w:rFonts w:ascii="Arial" w:cs="Arial" w:eastAsia="Arial" w:hAnsi="Arial"/>
                <w:sz w:val="18"/>
                <w:szCs w:val="18"/>
                <w:color w:val="auto"/>
              </w:rPr>
              <w:t>12</w:t>
            </w:r>
          </w:p>
        </w:tc>
        <w:tc>
          <w:tcPr>
            <w:tcW w:w="4080" w:type="dxa"/>
            <w:vAlign w:val="bottom"/>
          </w:tcPr>
          <w:p>
            <w:pPr>
              <w:ind w:left="60"/>
              <w:spacing w:after="0"/>
              <w:rPr>
                <w:sz w:val="20"/>
                <w:szCs w:val="20"/>
                <w:color w:val="auto"/>
              </w:rPr>
            </w:pPr>
            <w:r>
              <w:rPr>
                <w:rFonts w:ascii="Arial" w:cs="Arial" w:eastAsia="Arial" w:hAnsi="Arial"/>
                <w:sz w:val="18"/>
                <w:szCs w:val="18"/>
                <w:color w:val="auto"/>
              </w:rPr>
              <w:t>Appendix</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5233035</wp:posOffset>
            </wp:positionH>
            <wp:positionV relativeFrom="page">
              <wp:posOffset>572135</wp:posOffset>
            </wp:positionV>
            <wp:extent cx="208407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084070" cy="308610"/>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-3408680</wp:posOffset>
            </wp:positionV>
            <wp:extent cx="2434590" cy="58356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34590" cy="5835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160655</wp:posOffset>
            </wp:positionV>
            <wp:extent cx="71361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120"/>
          </w:cols>
          <w:pgMar w:left="1440" w:top="1421"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572135</wp:posOffset>
            </wp:positionV>
            <wp:extent cx="7136130" cy="83451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8345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Third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97155</wp:posOffset>
            </wp:positionV>
            <wp:extent cx="5535295" cy="1050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5295" cy="1050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color w:val="auto"/>
        </w:rPr>
        <w:t xml:space="preserve">Economic activity </w:t>
      </w:r>
      <w:r>
        <w:rPr>
          <w:rFonts w:ascii="Arial" w:cs="Arial" w:eastAsia="Arial" w:hAnsi="Arial"/>
          <w:sz w:val="18"/>
          <w:szCs w:val="18"/>
          <w:color w:val="auto"/>
        </w:rPr>
        <w:t>registered growth of 11.8% YoY in August, standing above pre-pandemic levels. The August 2021 level was 1.6% higher than the level</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in August 2019. Activity in the construction sector reported a particularly noteworthy expansion of 18% versus its August 2019 level. This recovery was driven primarily by the country’s strong macroeconomic fundamentals, which allowed the government to implement very expansive monetary and fiscal policies. This was accompanied by a favorable international environment, where copper prices stood at high levels. Additionally, the sanitary crisis has improved significantly, mortality rates have dropped, and the vaccination program is advancing. Currently, 81% of adults over the age of 18 have received at least one dose, and 65%, both doses.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Growth</w:t>
      </w:r>
    </w:p>
    <w:p>
      <w:pPr>
        <w:spacing w:after="0" w:line="140" w:lineRule="exact"/>
        <w:rPr>
          <w:sz w:val="20"/>
          <w:szCs w:val="20"/>
          <w:color w:val="auto"/>
        </w:rPr>
      </w:pPr>
    </w:p>
    <w:p>
      <w:pPr>
        <w:ind w:left="3300"/>
        <w:spacing w:after="0" w:line="260" w:lineRule="auto"/>
        <w:rPr>
          <w:sz w:val="20"/>
          <w:szCs w:val="20"/>
          <w:color w:val="auto"/>
        </w:rPr>
      </w:pPr>
      <w:r>
        <w:rPr>
          <w:rFonts w:ascii="Arial" w:cs="Arial" w:eastAsia="Arial" w:hAnsi="Arial"/>
          <w:sz w:val="18"/>
          <w:szCs w:val="18"/>
          <w:color w:val="auto"/>
        </w:rPr>
        <w:t>Growth QoQ, YoY and 9M YoY in loans was driven, to a significant extent, by the exchange rate. If we exclude this effect, structural loans grew 5.0% QoQ,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-276225</wp:posOffset>
            </wp:positionV>
            <wp:extent cx="1842135" cy="8420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42135" cy="842010"/>
                    </a:xfrm>
                    <a:prstGeom prst="rect">
                      <a:avLst/>
                    </a:prstGeom>
                    <a:noFill/>
                  </pic:spPr>
                </pic:pic>
              </a:graphicData>
            </a:graphic>
          </wp:anchor>
        </w:drawing>
      </w:r>
    </w:p>
    <w:p>
      <w:pPr>
        <w:spacing w:after="0" w:line="162"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YoY, and 0.1% 9M YoY. This evolution was primarily attributable to loan growth in Wholesale Banking.</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 and Margin</w:t>
      </w:r>
    </w:p>
    <w:p>
      <w:pPr>
        <w:spacing w:after="0" w:line="140" w:lineRule="exact"/>
        <w:rPr>
          <w:sz w:val="20"/>
          <w:szCs w:val="20"/>
          <w:color w:val="auto"/>
        </w:rPr>
      </w:pPr>
    </w:p>
    <w:p>
      <w:pPr>
        <w:jc w:val="both"/>
        <w:ind w:left="3380"/>
        <w:spacing w:after="0" w:line="249" w:lineRule="auto"/>
        <w:rPr>
          <w:sz w:val="20"/>
          <w:szCs w:val="20"/>
          <w:color w:val="auto"/>
        </w:rPr>
      </w:pPr>
      <w:r>
        <w:rPr>
          <w:rFonts w:ascii="Arial" w:cs="Arial" w:eastAsia="Arial" w:hAnsi="Arial"/>
          <w:sz w:val="18"/>
          <w:szCs w:val="18"/>
          <w:color w:val="auto"/>
        </w:rPr>
        <w:t>QoQ, NII rose due to an increase in active interest rates and growth in structural loans. This was slightly offset by the funding mix effect in a context marked by a decline in government loans and an uptick in debt obligations, which impact in interest expense was higher than the positive effect generated by the increase in low-cost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-537210</wp:posOffset>
            </wp:positionV>
            <wp:extent cx="1859280" cy="7334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59280" cy="73342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both"/>
        <w:ind w:left="3380"/>
        <w:spacing w:after="0" w:line="247" w:lineRule="auto"/>
        <w:rPr>
          <w:sz w:val="20"/>
          <w:szCs w:val="20"/>
          <w:color w:val="auto"/>
        </w:rPr>
      </w:pPr>
      <w:r>
        <w:rPr>
          <w:rFonts w:ascii="Arial" w:cs="Arial" w:eastAsia="Arial" w:hAnsi="Arial"/>
          <w:sz w:val="18"/>
          <w:szCs w:val="18"/>
          <w:color w:val="auto"/>
        </w:rPr>
        <w:t>YoY, NII increased due to a reduction in interest expenses. This evolution was attributable to high expenses last year through a large liability management transaction at BCP Stand-alone; a drop in market rates; and an uptick in balances of low-cost deposits in a context of excess liquidity due to government relief measures. A recovery in loan volumes and in the average investment volume also contributed, although to a lesser extent, to growth in NII.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-668020</wp:posOffset>
            </wp:positionV>
            <wp:extent cx="1884045" cy="7334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84045" cy="733425"/>
                    </a:xfrm>
                    <a:prstGeom prst="rect">
                      <a:avLst/>
                    </a:prstGeom>
                    <a:noFill/>
                  </pic:spPr>
                </pic:pic>
              </a:graphicData>
            </a:graphic>
          </wp:anchor>
        </w:drawing>
      </w:r>
    </w:p>
    <w:p>
      <w:pPr>
        <w:spacing w:after="0" w:line="280" w:lineRule="exact"/>
        <w:rPr>
          <w:sz w:val="20"/>
          <w:szCs w:val="20"/>
          <w:color w:val="auto"/>
        </w:rPr>
      </w:pPr>
    </w:p>
    <w:p>
      <w:pPr>
        <w:jc w:val="both"/>
        <w:ind w:left="3380"/>
        <w:spacing w:after="0" w:line="252" w:lineRule="auto"/>
        <w:rPr>
          <w:sz w:val="20"/>
          <w:szCs w:val="20"/>
          <w:color w:val="auto"/>
        </w:rPr>
      </w:pPr>
      <w:r>
        <w:rPr>
          <w:rFonts w:ascii="Arial" w:cs="Arial" w:eastAsia="Arial" w:hAnsi="Arial"/>
          <w:sz w:val="18"/>
          <w:szCs w:val="18"/>
          <w:color w:val="auto"/>
        </w:rPr>
        <w:t>YTD, NII reflects lower interest expense due to the same drivers as those explained for the YoY evolution. This was partially offset by a decrease in interest income from lower volumes of structural loan and a drop in active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-405765</wp:posOffset>
            </wp:positionV>
            <wp:extent cx="1892300" cy="7086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92300" cy="70866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provisions for loan losses and Portfolio Quality</w:t>
      </w:r>
    </w:p>
    <w:p>
      <w:pPr>
        <w:spacing w:after="0" w:line="140" w:lineRule="exact"/>
        <w:rPr>
          <w:sz w:val="20"/>
          <w:szCs w:val="20"/>
          <w:color w:val="auto"/>
        </w:rPr>
      </w:pPr>
    </w:p>
    <w:p>
      <w:pPr>
        <w:jc w:val="both"/>
        <w:ind w:left="3420"/>
        <w:spacing w:after="0" w:line="249" w:lineRule="auto"/>
        <w:rPr>
          <w:sz w:val="20"/>
          <w:szCs w:val="20"/>
          <w:color w:val="auto"/>
        </w:rPr>
      </w:pPr>
      <w:r>
        <w:rPr>
          <w:rFonts w:ascii="Arial" w:cs="Arial" w:eastAsia="Arial" w:hAnsi="Arial"/>
          <w:sz w:val="18"/>
          <w:szCs w:val="18"/>
          <w:color w:val="auto"/>
        </w:rPr>
        <w:t>Provisions fell QoQ, driven by an improvement in payment behavior at BCP Stand-alone and Mibanco. This was partially offset by an increase in provisions at Mibanco, which was attributable to changes in write-off policies. YoY and YTD, the drop in provisions was driven by improvements in payment behavior and economic reactivation.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-537210</wp:posOffset>
            </wp:positionV>
            <wp:extent cx="1892300" cy="7505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92300" cy="75057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both"/>
        <w:ind w:left="3420"/>
        <w:spacing w:after="0" w:line="298" w:lineRule="auto"/>
        <w:rPr>
          <w:sz w:val="20"/>
          <w:szCs w:val="20"/>
          <w:color w:val="auto"/>
        </w:rPr>
      </w:pPr>
      <w:r>
        <w:rPr>
          <w:rFonts w:ascii="Arial" w:cs="Arial" w:eastAsia="Arial" w:hAnsi="Arial"/>
          <w:sz w:val="16"/>
          <w:szCs w:val="16"/>
          <w:color w:val="auto"/>
        </w:rPr>
        <w:t>The NPL ratio deteriorated QoQ due to grace period expirations in the Government Loan Portfolio. If we consider only the structural loans, NPL shows an improvement of 78bps. YoY, the ratio increased for both the structural and government loan portfolios, in a context marked by grace period expirations.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1917700" cy="7416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17700" cy="741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1361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Core Other Income</w:t>
      </w:r>
    </w:p>
    <w:p>
      <w:pPr>
        <w:spacing w:after="0" w:line="219" w:lineRule="exact"/>
        <w:rPr>
          <w:sz w:val="20"/>
          <w:szCs w:val="20"/>
          <w:color w:val="auto"/>
        </w:rPr>
      </w:pPr>
    </w:p>
    <w:p>
      <w:pPr>
        <w:ind w:left="3440"/>
        <w:spacing w:after="0" w:line="323" w:lineRule="auto"/>
        <w:rPr>
          <w:sz w:val="20"/>
          <w:szCs w:val="20"/>
          <w:color w:val="auto"/>
        </w:rPr>
      </w:pPr>
      <w:r>
        <w:rPr>
          <w:rFonts w:ascii="Arial" w:cs="Arial" w:eastAsia="Arial" w:hAnsi="Arial"/>
          <w:sz w:val="16"/>
          <w:szCs w:val="16"/>
          <w:color w:val="auto"/>
        </w:rPr>
        <w:t>Expansion in Core Other income was driven by growth in fees at BCP after consumption in establishments rose and interbank and international transfers increased and stood at pre-pandemic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1942465" cy="5086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42465" cy="50863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19" w:lineRule="exact"/>
        <w:rPr>
          <w:sz w:val="20"/>
          <w:szCs w:val="20"/>
          <w:color w:val="auto"/>
        </w:rPr>
      </w:pPr>
    </w:p>
    <w:p>
      <w:pPr>
        <w:jc w:val="both"/>
        <w:ind w:left="3480"/>
        <w:spacing w:after="0" w:line="252" w:lineRule="auto"/>
        <w:rPr>
          <w:sz w:val="20"/>
          <w:szCs w:val="20"/>
          <w:color w:val="auto"/>
        </w:rPr>
      </w:pPr>
      <w:r>
        <w:rPr>
          <w:rFonts w:ascii="Arial" w:cs="Arial" w:eastAsia="Arial" w:hAnsi="Arial"/>
          <w:sz w:val="18"/>
          <w:szCs w:val="18"/>
          <w:color w:val="auto"/>
        </w:rPr>
        <w:t>Growth was mainly attributable to the factors outlined above. In the case of YoY and 9M YoY, results were partially offset by a drop in non-core Other income due to a loss reported in the net gain on securities following the sale of sovereign bonds at BCP.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-405765</wp:posOffset>
            </wp:positionV>
            <wp:extent cx="1958975" cy="4502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58975" cy="45021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Result</w:t>
      </w:r>
    </w:p>
    <w:p>
      <w:pPr>
        <w:spacing w:after="0" w:line="21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underwriting result was positive, which was driven by a drop in claims in Life after Covid-related mortality dropped and the vaccination rate rose. An improvement this quarter was also driven by growth in premiums across business lines.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Efficiency</w:t>
      </w:r>
    </w:p>
    <w:p>
      <w:pPr>
        <w:spacing w:after="0" w:line="219"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The efficiency ratio was situated at 46.1%, which reflected deterioration of 240bps QoQ and 110bps YoY due to growth in expenses for digital transformation and disruptive initiatives at BCP Stand-alone. In the accumulated analysis, ithe ratio improved 120bps due to an uptick in income.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 Credicorp and Contribution by Business Line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Contribution* and ROAE by subsidiary in 3Q21 (S/ millions)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Consolidated: Net Income of S/1,164 million, ROAE of 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147320</wp:posOffset>
            </wp:positionV>
            <wp:extent cx="5927090" cy="2584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27090" cy="2584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*Contributions to Credicorp reflect the eliminations for consolidation purposes (eliminations for transactions among Credicorp’s subsidiaries or between Credicorp and its subsidiaries).</w:t>
      </w:r>
    </w:p>
    <w:p>
      <w:pPr>
        <w:spacing w:after="0" w:line="1" w:lineRule="exact"/>
        <w:rPr>
          <w:sz w:val="20"/>
          <w:szCs w:val="20"/>
          <w:color w:val="auto"/>
        </w:rPr>
      </w:pPr>
    </w:p>
    <w:p>
      <w:pPr>
        <w:jc w:val="both"/>
        <w:ind w:firstLine="5"/>
        <w:spacing w:after="0" w:line="243" w:lineRule="auto"/>
        <w:tabs>
          <w:tab w:leader="none" w:pos="104"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Mibanco, the figure is lower than the net income because Credicorp owns 99.921% of Mibanco (directly and indirectly). ROAE including goodwill of BCP from the acquisition of Edyficar (Approximately US$ 50.7 million) was 33.2% in 3Q20, 9.7% in 2Q21 and 13.1% in 3Q21. YTD was -26.4% for September 2020 and 8.4% for September 2021.</w:t>
      </w:r>
    </w:p>
    <w:p>
      <w:pPr>
        <w:spacing w:after="0" w:line="1" w:lineRule="exact"/>
        <w:rPr>
          <w:rFonts w:ascii="Arial" w:cs="Arial" w:eastAsia="Arial" w:hAnsi="Arial"/>
          <w:sz w:val="18"/>
          <w:szCs w:val="18"/>
          <w:color w:val="auto"/>
        </w:rPr>
      </w:pPr>
    </w:p>
    <w:p>
      <w:pPr>
        <w:jc w:val="both"/>
        <w:ind w:firstLine="5"/>
        <w:spacing w:after="0" w:line="274" w:lineRule="auto"/>
        <w:tabs>
          <w:tab w:leader="none" w:pos="125"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Grupo Pacifico, the contribution is higher than the net income because Credicorp owns 65.20% directly, and 33.57% through Grupo Credito. Figures include unrealized gains or losses that are considered in Pacifico’s Net Equity from the investment portfolio of Pacifico Vida. ROAE excluding such unrealized gains was 2.5% in 3Q20, -32.6% in 2Q21 and 13.3% in 3Q21. YTD was 10.5% for September 2020 and -12.0% for September 2021.</w:t>
      </w:r>
    </w:p>
    <w:p>
      <w:pPr>
        <w:ind w:firstLine="5"/>
        <w:spacing w:after="0" w:line="247" w:lineRule="auto"/>
        <w:tabs>
          <w:tab w:leader="none" w:pos="132"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Others includes Grupo Credito excluding Prima (Servicorp and Emisiones BCP Latam), others of Atlantic Security Holding Corporation and others of Credicorp Ltd.</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222250</wp:posOffset>
            </wp:positionV>
            <wp:extent cx="7085965" cy="101123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085965" cy="1011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238760</wp:posOffset>
            </wp:positionV>
            <wp:extent cx="71361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Overview Financial Information</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Third Quarter 2021</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Credicorp Ltd.</w:t>
            </w: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 change</w:t>
            </w:r>
          </w:p>
        </w:tc>
        <w:tc>
          <w:tcPr>
            <w:tcW w:w="6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9"/>
              </w:rPr>
              <w:t>YTD</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1"/>
        </w:trPr>
        <w:tc>
          <w:tcPr>
            <w:tcW w:w="2500" w:type="dxa"/>
            <w:vAlign w:val="bottom"/>
            <w:tcBorders>
              <w:bottom w:val="single" w:sz="8" w:color="auto"/>
            </w:tcBorders>
          </w:tcPr>
          <w:p>
            <w:pPr>
              <w:spacing w:after="0" w:line="151" w:lineRule="exact"/>
              <w:rPr>
                <w:sz w:val="20"/>
                <w:szCs w:val="20"/>
                <w:color w:val="auto"/>
              </w:rPr>
            </w:pPr>
            <w:r>
              <w:rPr>
                <w:rFonts w:ascii="Arial" w:cs="Arial" w:eastAsia="Arial" w:hAnsi="Arial"/>
                <w:sz w:val="14"/>
                <w:szCs w:val="14"/>
                <w:b w:val="1"/>
                <w:bCs w:val="1"/>
                <w:color w:val="auto"/>
              </w:rPr>
              <w:t>S/ 000</w:t>
            </w: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150"/>
              <w:spacing w:after="0" w:line="151" w:lineRule="exact"/>
              <w:rPr>
                <w:sz w:val="20"/>
                <w:szCs w:val="20"/>
                <w:color w:val="auto"/>
              </w:rPr>
            </w:pPr>
            <w:r>
              <w:rPr>
                <w:rFonts w:ascii="Arial" w:cs="Arial" w:eastAsia="Arial" w:hAnsi="Arial"/>
                <w:sz w:val="14"/>
                <w:szCs w:val="14"/>
                <w:b w:val="1"/>
                <w:bCs w:val="1"/>
                <w:color w:val="auto"/>
              </w:rPr>
              <w:t>3Q20</w:t>
            </w:r>
          </w:p>
        </w:tc>
        <w:tc>
          <w:tcPr>
            <w:tcW w:w="1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150"/>
              <w:spacing w:after="0" w:line="151" w:lineRule="exact"/>
              <w:rPr>
                <w:sz w:val="20"/>
                <w:szCs w:val="20"/>
                <w:color w:val="auto"/>
              </w:rPr>
            </w:pPr>
            <w:r>
              <w:rPr>
                <w:rFonts w:ascii="Arial" w:cs="Arial" w:eastAsia="Arial" w:hAnsi="Arial"/>
                <w:sz w:val="14"/>
                <w:szCs w:val="14"/>
                <w:b w:val="1"/>
                <w:bCs w:val="1"/>
                <w:color w:val="auto"/>
              </w:rPr>
              <w:t>2Q21</w:t>
            </w:r>
          </w:p>
        </w:tc>
        <w:tc>
          <w:tcPr>
            <w:tcW w:w="1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150"/>
              <w:spacing w:after="0" w:line="151" w:lineRule="exact"/>
              <w:rPr>
                <w:sz w:val="20"/>
                <w:szCs w:val="20"/>
                <w:color w:val="auto"/>
              </w:rPr>
            </w:pPr>
            <w:r>
              <w:rPr>
                <w:rFonts w:ascii="Arial" w:cs="Arial" w:eastAsia="Arial" w:hAnsi="Arial"/>
                <w:sz w:val="14"/>
                <w:szCs w:val="14"/>
                <w:b w:val="1"/>
                <w:bCs w:val="1"/>
                <w:color w:val="auto"/>
              </w:rPr>
              <w:t>3Q21</w:t>
            </w:r>
          </w:p>
        </w:tc>
        <w:tc>
          <w:tcPr>
            <w:tcW w:w="16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ind w:left="340"/>
              <w:spacing w:after="0" w:line="151" w:lineRule="exact"/>
              <w:rPr>
                <w:sz w:val="20"/>
                <w:szCs w:val="20"/>
                <w:color w:val="auto"/>
              </w:rPr>
            </w:pPr>
            <w:r>
              <w:rPr>
                <w:rFonts w:ascii="Arial" w:cs="Arial" w:eastAsia="Arial" w:hAnsi="Arial"/>
                <w:sz w:val="14"/>
                <w:szCs w:val="14"/>
                <w:b w:val="1"/>
                <w:bCs w:val="1"/>
                <w:color w:val="auto"/>
              </w:rPr>
              <w:t>QoQ</w:t>
            </w:r>
          </w:p>
        </w:tc>
        <w:tc>
          <w:tcPr>
            <w:tcW w:w="3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80"/>
              <w:spacing w:after="0" w:line="151" w:lineRule="exact"/>
              <w:rPr>
                <w:sz w:val="20"/>
                <w:szCs w:val="20"/>
                <w:color w:val="auto"/>
              </w:rPr>
            </w:pPr>
            <w:r>
              <w:rPr>
                <w:rFonts w:ascii="Arial" w:cs="Arial" w:eastAsia="Arial" w:hAnsi="Arial"/>
                <w:sz w:val="14"/>
                <w:szCs w:val="14"/>
                <w:b w:val="1"/>
                <w:bCs w:val="1"/>
                <w:color w:val="auto"/>
              </w:rPr>
              <w:t>YoY</w:t>
            </w:r>
          </w:p>
        </w:tc>
        <w:tc>
          <w:tcPr>
            <w:tcW w:w="34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rPr>
              <w:t>Sep 20</w:t>
            </w:r>
          </w:p>
        </w:tc>
        <w:tc>
          <w:tcPr>
            <w:tcW w:w="2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rPr>
              <w:t>Sep 21</w:t>
            </w:r>
          </w:p>
        </w:tc>
        <w:tc>
          <w:tcPr>
            <w:tcW w:w="12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6"/>
              </w:rPr>
              <w:t>Sep 21 / Sep 20</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5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Net interest, similar income and expenses</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2,161,905</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2,309,042</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2,451,708</w:t>
            </w:r>
          </w:p>
        </w:tc>
        <w:tc>
          <w:tcPr>
            <w:tcW w:w="16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6.2%</w:t>
            </w: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13.4%</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6,502,782</w:t>
            </w: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6,884,133</w:t>
            </w:r>
          </w:p>
        </w:tc>
        <w:tc>
          <w:tcPr>
            <w:tcW w:w="12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26"/>
        </w:trPr>
        <w:tc>
          <w:tcPr>
            <w:tcW w:w="2600" w:type="dxa"/>
            <w:vAlign w:val="bottom"/>
            <w:gridSpan w:val="2"/>
          </w:tcPr>
          <w:p>
            <w:pPr>
              <w:spacing w:after="0" w:line="126" w:lineRule="exact"/>
              <w:rPr>
                <w:sz w:val="20"/>
                <w:szCs w:val="20"/>
                <w:color w:val="auto"/>
              </w:rPr>
            </w:pPr>
            <w:r>
              <w:rPr>
                <w:rFonts w:ascii="Arial" w:cs="Arial" w:eastAsia="Arial" w:hAnsi="Arial"/>
                <w:sz w:val="14"/>
                <w:szCs w:val="14"/>
                <w:color w:val="auto"/>
                <w:w w:val="96"/>
              </w:rPr>
              <w:t>Provision for credit losses on loan portfolio,</w:t>
            </w: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600" w:type="dxa"/>
            <w:vAlign w:val="bottom"/>
            <w:gridSpan w:val="2"/>
          </w:tcPr>
          <w:p>
            <w:pPr>
              <w:spacing w:after="0"/>
              <w:rPr>
                <w:sz w:val="20"/>
                <w:szCs w:val="20"/>
                <w:color w:val="auto"/>
              </w:rPr>
            </w:pPr>
            <w:r>
              <w:rPr>
                <w:rFonts w:ascii="Arial" w:cs="Arial" w:eastAsia="Arial" w:hAnsi="Arial"/>
                <w:sz w:val="14"/>
                <w:szCs w:val="14"/>
                <w:color w:val="auto"/>
              </w:rPr>
              <w:t>net of recoveries</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(1,305,905)</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(363,380)</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(164,414)</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-54.8%</w:t>
            </w:r>
          </w:p>
        </w:tc>
        <w:tc>
          <w:tcPr>
            <w:tcW w:w="1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-87.4%</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(5,187,843)</w:t>
            </w:r>
          </w:p>
        </w:tc>
        <w:tc>
          <w:tcPr>
            <w:tcW w:w="4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(1,085,441)</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-79.1%</w:t>
            </w:r>
          </w:p>
        </w:tc>
        <w:tc>
          <w:tcPr>
            <w:tcW w:w="0" w:type="dxa"/>
            <w:vAlign w:val="bottom"/>
          </w:tcPr>
          <w:p>
            <w:pPr>
              <w:spacing w:after="0"/>
              <w:rPr>
                <w:sz w:val="1"/>
                <w:szCs w:val="1"/>
                <w:color w:val="auto"/>
              </w:rPr>
            </w:pPr>
          </w:p>
        </w:tc>
      </w:tr>
      <w:tr>
        <w:trPr>
          <w:trHeight w:val="122"/>
        </w:trPr>
        <w:tc>
          <w:tcPr>
            <w:tcW w:w="260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Net interest, similar income and</w:t>
            </w: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60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b w:val="1"/>
                <w:bCs w:val="1"/>
                <w:color w:val="auto"/>
                <w:w w:val="91"/>
              </w:rPr>
              <w:t>expenses, after provision for credit losses</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856,000</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1,945,662</w:t>
            </w:r>
          </w:p>
        </w:tc>
        <w:tc>
          <w:tcPr>
            <w:tcW w:w="16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2,287,294</w:t>
            </w: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17.6%</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167.2%</w:t>
            </w: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1,314,939</w:t>
            </w:r>
          </w:p>
        </w:tc>
        <w:tc>
          <w:tcPr>
            <w:tcW w:w="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5,798,692</w:t>
            </w: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341.0%</w:t>
            </w:r>
          </w:p>
        </w:tc>
        <w:tc>
          <w:tcPr>
            <w:tcW w:w="0" w:type="dxa"/>
            <w:vAlign w:val="bottom"/>
          </w:tcPr>
          <w:p>
            <w:pPr>
              <w:spacing w:after="0"/>
              <w:rPr>
                <w:sz w:val="1"/>
                <w:szCs w:val="1"/>
                <w:color w:val="auto"/>
              </w:rPr>
            </w:pPr>
          </w:p>
        </w:tc>
      </w:tr>
      <w:tr>
        <w:trPr>
          <w:trHeight w:val="167"/>
        </w:trPr>
        <w:tc>
          <w:tcPr>
            <w:tcW w:w="2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on loan portfolio</w:t>
            </w:r>
          </w:p>
        </w:tc>
        <w:tc>
          <w:tcPr>
            <w:tcW w:w="1040" w:type="dxa"/>
            <w:vAlign w:val="bottom"/>
            <w:gridSpan w:val="2"/>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0" w:type="dxa"/>
            <w:vAlign w:val="bottom"/>
            <w:gridSpan w:val="2"/>
          </w:tcPr>
          <w:p>
            <w:pPr>
              <w:spacing w:after="0" w:line="145" w:lineRule="exact"/>
              <w:rPr>
                <w:sz w:val="20"/>
                <w:szCs w:val="20"/>
                <w:color w:val="auto"/>
              </w:rPr>
            </w:pPr>
            <w:r>
              <w:rPr>
                <w:rFonts w:ascii="Arial" w:cs="Arial" w:eastAsia="Arial" w:hAnsi="Arial"/>
                <w:sz w:val="14"/>
                <w:szCs w:val="14"/>
                <w:color w:val="auto"/>
              </w:rPr>
              <w:t>Total other income</w:t>
            </w: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1,102,766</w:t>
            </w:r>
          </w:p>
        </w:tc>
        <w:tc>
          <w:tcPr>
            <w:tcW w:w="160" w:type="dxa"/>
            <w:vAlign w:val="bottom"/>
          </w:tcPr>
          <w:p>
            <w:pPr>
              <w:spacing w:after="0"/>
              <w:rPr>
                <w:sz w:val="12"/>
                <w:szCs w:val="12"/>
                <w:color w:val="auto"/>
              </w:rPr>
            </w:pP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1,191,694</w:t>
            </w:r>
          </w:p>
        </w:tc>
        <w:tc>
          <w:tcPr>
            <w:tcW w:w="160" w:type="dxa"/>
            <w:vAlign w:val="bottom"/>
          </w:tcPr>
          <w:p>
            <w:pPr>
              <w:spacing w:after="0"/>
              <w:rPr>
                <w:sz w:val="12"/>
                <w:szCs w:val="12"/>
                <w:color w:val="auto"/>
              </w:rPr>
            </w:pPr>
          </w:p>
        </w:tc>
        <w:tc>
          <w:tcPr>
            <w:tcW w:w="10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1,238,683</w:t>
            </w:r>
          </w:p>
        </w:tc>
        <w:tc>
          <w:tcPr>
            <w:tcW w:w="120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3.9%</w:t>
            </w:r>
          </w:p>
        </w:tc>
        <w:tc>
          <w:tcPr>
            <w:tcW w:w="160" w:type="dxa"/>
            <w:vAlign w:val="bottom"/>
          </w:tcPr>
          <w:p>
            <w:pPr>
              <w:spacing w:after="0"/>
              <w:rPr>
                <w:sz w:val="12"/>
                <w:szCs w:val="12"/>
                <w:color w:val="auto"/>
              </w:rPr>
            </w:pPr>
          </w:p>
        </w:tc>
        <w:tc>
          <w:tcPr>
            <w:tcW w:w="9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12.3%</w:t>
            </w:r>
          </w:p>
        </w:tc>
        <w:tc>
          <w:tcPr>
            <w:tcW w:w="100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3,076,684</w:t>
            </w:r>
          </w:p>
        </w:tc>
        <w:tc>
          <w:tcPr>
            <w:tcW w:w="40" w:type="dxa"/>
            <w:vAlign w:val="bottom"/>
          </w:tcPr>
          <w:p>
            <w:pPr>
              <w:spacing w:after="0"/>
              <w:rPr>
                <w:sz w:val="12"/>
                <w:szCs w:val="12"/>
                <w:color w:val="auto"/>
              </w:rPr>
            </w:pPr>
          </w:p>
        </w:tc>
        <w:tc>
          <w:tcPr>
            <w:tcW w:w="84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3,624,907</w:t>
            </w:r>
          </w:p>
        </w:tc>
        <w:tc>
          <w:tcPr>
            <w:tcW w:w="13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44"/>
        </w:trPr>
        <w:tc>
          <w:tcPr>
            <w:tcW w:w="260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Insurance underwriting result</w:t>
            </w:r>
          </w:p>
        </w:tc>
        <w:tc>
          <w:tcPr>
            <w:tcW w:w="104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(4,340)</w:t>
            </w:r>
          </w:p>
        </w:tc>
        <w:tc>
          <w:tcPr>
            <w:tcW w:w="104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(136,335)</w:t>
            </w:r>
          </w:p>
        </w:tc>
        <w:tc>
          <w:tcPr>
            <w:tcW w:w="10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70,204</w:t>
            </w:r>
          </w:p>
        </w:tc>
        <w:tc>
          <w:tcPr>
            <w:tcW w:w="1360" w:type="dxa"/>
            <w:vAlign w:val="bottom"/>
            <w:gridSpan w:val="3"/>
            <w:shd w:val="clear" w:color="auto" w:fill="CCEEFF"/>
          </w:tcPr>
          <w:p>
            <w:pPr>
              <w:ind w:left="660"/>
              <w:spacing w:after="0" w:line="145" w:lineRule="exact"/>
              <w:rPr>
                <w:sz w:val="20"/>
                <w:szCs w:val="20"/>
                <w:color w:val="auto"/>
              </w:rPr>
            </w:pPr>
            <w:r>
              <w:rPr>
                <w:rFonts w:ascii="Arial" w:cs="Arial" w:eastAsia="Arial" w:hAnsi="Arial"/>
                <w:sz w:val="14"/>
                <w:szCs w:val="14"/>
                <w:color w:val="auto"/>
              </w:rPr>
              <w:t>n.a.</w:t>
            </w:r>
          </w:p>
        </w:tc>
        <w:tc>
          <w:tcPr>
            <w:tcW w:w="940" w:type="dxa"/>
            <w:vAlign w:val="bottom"/>
            <w:gridSpan w:val="2"/>
            <w:shd w:val="clear" w:color="auto" w:fill="CCEEFF"/>
          </w:tcPr>
          <w:p>
            <w:pPr>
              <w:jc w:val="right"/>
              <w:ind w:right="340"/>
              <w:spacing w:after="0" w:line="145" w:lineRule="exact"/>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273,266</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(131,378)</w:t>
            </w:r>
          </w:p>
        </w:tc>
        <w:tc>
          <w:tcPr>
            <w:tcW w:w="13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-148.1%</w:t>
            </w:r>
          </w:p>
        </w:tc>
        <w:tc>
          <w:tcPr>
            <w:tcW w:w="0" w:type="dxa"/>
            <w:vAlign w:val="bottom"/>
          </w:tcPr>
          <w:p>
            <w:pPr>
              <w:spacing w:after="0"/>
              <w:rPr>
                <w:sz w:val="1"/>
                <w:szCs w:val="1"/>
                <w:color w:val="auto"/>
              </w:rPr>
            </w:pPr>
          </w:p>
        </w:tc>
      </w:tr>
      <w:tr>
        <w:trPr>
          <w:trHeight w:val="144"/>
        </w:trPr>
        <w:tc>
          <w:tcPr>
            <w:tcW w:w="2600" w:type="dxa"/>
            <w:vAlign w:val="bottom"/>
            <w:gridSpan w:val="2"/>
          </w:tcPr>
          <w:p>
            <w:pPr>
              <w:spacing w:after="0" w:line="145" w:lineRule="exact"/>
              <w:rPr>
                <w:sz w:val="20"/>
                <w:szCs w:val="20"/>
                <w:color w:val="auto"/>
              </w:rPr>
            </w:pPr>
            <w:r>
              <w:rPr>
                <w:rFonts w:ascii="Arial" w:cs="Arial" w:eastAsia="Arial" w:hAnsi="Arial"/>
                <w:sz w:val="14"/>
                <w:szCs w:val="14"/>
                <w:color w:val="auto"/>
              </w:rPr>
              <w:t>Total other expenses</w:t>
            </w:r>
          </w:p>
        </w:tc>
        <w:tc>
          <w:tcPr>
            <w:tcW w:w="104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(1,802,009)</w:t>
            </w:r>
          </w:p>
        </w:tc>
        <w:tc>
          <w:tcPr>
            <w:tcW w:w="104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(1,860,447)</w:t>
            </w:r>
          </w:p>
        </w:tc>
        <w:tc>
          <w:tcPr>
            <w:tcW w:w="104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(1,977,794)</w:t>
            </w:r>
          </w:p>
        </w:tc>
        <w:tc>
          <w:tcPr>
            <w:tcW w:w="120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6.3%</w:t>
            </w:r>
          </w:p>
        </w:tc>
        <w:tc>
          <w:tcPr>
            <w:tcW w:w="160" w:type="dxa"/>
            <w:vAlign w:val="bottom"/>
          </w:tcPr>
          <w:p>
            <w:pPr>
              <w:spacing w:after="0"/>
              <w:rPr>
                <w:sz w:val="12"/>
                <w:szCs w:val="12"/>
                <w:color w:val="auto"/>
              </w:rPr>
            </w:pPr>
          </w:p>
        </w:tc>
        <w:tc>
          <w:tcPr>
            <w:tcW w:w="9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9.8%</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(5,209,713)</w:t>
            </w:r>
          </w:p>
        </w:tc>
        <w:tc>
          <w:tcPr>
            <w:tcW w:w="40" w:type="dxa"/>
            <w:vAlign w:val="bottom"/>
          </w:tcPr>
          <w:p>
            <w:pPr>
              <w:spacing w:after="0"/>
              <w:rPr>
                <w:sz w:val="12"/>
                <w:szCs w:val="12"/>
                <w:color w:val="auto"/>
              </w:rPr>
            </w:pPr>
          </w:p>
        </w:tc>
        <w:tc>
          <w:tcPr>
            <w:tcW w:w="84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(5,518,512)</w:t>
            </w:r>
          </w:p>
        </w:tc>
        <w:tc>
          <w:tcPr>
            <w:tcW w:w="13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4"/>
        </w:trPr>
        <w:tc>
          <w:tcPr>
            <w:tcW w:w="260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Profit (loss) before income tax</w:t>
            </w:r>
          </w:p>
        </w:tc>
        <w:tc>
          <w:tcPr>
            <w:tcW w:w="10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b w:val="1"/>
                <w:bCs w:val="1"/>
                <w:color w:val="auto"/>
              </w:rPr>
              <w:t>152,417</w:t>
            </w: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b w:val="1"/>
                <w:bCs w:val="1"/>
                <w:color w:val="auto"/>
              </w:rPr>
              <w:t>1,140,574</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b w:val="1"/>
                <w:bCs w:val="1"/>
                <w:color w:val="auto"/>
              </w:rPr>
              <w:t>1,618,387</w:t>
            </w:r>
          </w:p>
        </w:tc>
        <w:tc>
          <w:tcPr>
            <w:tcW w:w="12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b w:val="1"/>
                <w:bCs w:val="1"/>
                <w:color w:val="auto"/>
              </w:rPr>
              <w:t>41.9%</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b w:val="1"/>
                <w:bCs w:val="1"/>
                <w:color w:val="auto"/>
              </w:rPr>
              <w:t>961.8%</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b w:val="1"/>
                <w:bCs w:val="1"/>
                <w:color w:val="auto"/>
              </w:rPr>
              <w:t>(544,824)</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b w:val="1"/>
                <w:bCs w:val="1"/>
                <w:color w:val="auto"/>
              </w:rPr>
              <w:t>3,773,709</w:t>
            </w:r>
          </w:p>
        </w:tc>
        <w:tc>
          <w:tcPr>
            <w:tcW w:w="134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b w:val="1"/>
                <w:bCs w:val="1"/>
                <w:color w:val="auto"/>
              </w:rPr>
              <w:t>n.a.</w:t>
            </w:r>
          </w:p>
        </w:tc>
        <w:tc>
          <w:tcPr>
            <w:tcW w:w="0" w:type="dxa"/>
            <w:vAlign w:val="bottom"/>
          </w:tcPr>
          <w:p>
            <w:pPr>
              <w:spacing w:after="0"/>
              <w:rPr>
                <w:sz w:val="1"/>
                <w:szCs w:val="1"/>
                <w:color w:val="auto"/>
              </w:rPr>
            </w:pPr>
          </w:p>
        </w:tc>
      </w:tr>
      <w:tr>
        <w:trPr>
          <w:trHeight w:val="144"/>
        </w:trPr>
        <w:tc>
          <w:tcPr>
            <w:tcW w:w="2600" w:type="dxa"/>
            <w:vAlign w:val="bottom"/>
            <w:gridSpan w:val="2"/>
          </w:tcPr>
          <w:p>
            <w:pPr>
              <w:spacing w:after="0" w:line="145" w:lineRule="exact"/>
              <w:rPr>
                <w:sz w:val="20"/>
                <w:szCs w:val="20"/>
                <w:color w:val="auto"/>
              </w:rPr>
            </w:pPr>
            <w:r>
              <w:rPr>
                <w:rFonts w:ascii="Arial" w:cs="Arial" w:eastAsia="Arial" w:hAnsi="Arial"/>
                <w:sz w:val="14"/>
                <w:szCs w:val="14"/>
                <w:color w:val="auto"/>
              </w:rPr>
              <w:t>Income tax</w:t>
            </w:r>
          </w:p>
        </w:tc>
        <w:tc>
          <w:tcPr>
            <w:tcW w:w="104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(55,829)</w:t>
            </w:r>
          </w:p>
        </w:tc>
        <w:tc>
          <w:tcPr>
            <w:tcW w:w="104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(423,491)</w:t>
            </w:r>
          </w:p>
        </w:tc>
        <w:tc>
          <w:tcPr>
            <w:tcW w:w="104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(428,037)</w:t>
            </w:r>
          </w:p>
        </w:tc>
        <w:tc>
          <w:tcPr>
            <w:tcW w:w="120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9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666.7%</w:t>
            </w:r>
          </w:p>
        </w:tc>
        <w:tc>
          <w:tcPr>
            <w:tcW w:w="100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213,151</w:t>
            </w:r>
          </w:p>
        </w:tc>
        <w:tc>
          <w:tcPr>
            <w:tcW w:w="40" w:type="dxa"/>
            <w:vAlign w:val="bottom"/>
          </w:tcPr>
          <w:p>
            <w:pPr>
              <w:spacing w:after="0"/>
              <w:rPr>
                <w:sz w:val="12"/>
                <w:szCs w:val="12"/>
                <w:color w:val="auto"/>
              </w:rPr>
            </w:pPr>
          </w:p>
        </w:tc>
        <w:tc>
          <w:tcPr>
            <w:tcW w:w="84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(1,189,127)</w:t>
            </w:r>
          </w:p>
        </w:tc>
        <w:tc>
          <w:tcPr>
            <w:tcW w:w="134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4"/>
        </w:trPr>
        <w:tc>
          <w:tcPr>
            <w:tcW w:w="260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Net profit (loss)</w:t>
            </w:r>
          </w:p>
        </w:tc>
        <w:tc>
          <w:tcPr>
            <w:tcW w:w="10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b w:val="1"/>
                <w:bCs w:val="1"/>
                <w:color w:val="auto"/>
              </w:rPr>
              <w:t>96,588</w:t>
            </w:r>
          </w:p>
        </w:tc>
        <w:tc>
          <w:tcPr>
            <w:tcW w:w="10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b w:val="1"/>
                <w:bCs w:val="1"/>
                <w:color w:val="auto"/>
              </w:rPr>
              <w:t>717,083</w:t>
            </w:r>
          </w:p>
        </w:tc>
        <w:tc>
          <w:tcPr>
            <w:tcW w:w="10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b w:val="1"/>
                <w:bCs w:val="1"/>
                <w:color w:val="auto"/>
              </w:rPr>
              <w:t>1,190,350</w:t>
            </w:r>
          </w:p>
        </w:tc>
        <w:tc>
          <w:tcPr>
            <w:tcW w:w="12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b w:val="1"/>
                <w:bCs w:val="1"/>
                <w:color w:val="auto"/>
              </w:rPr>
              <w:t>66.0%</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b w:val="1"/>
                <w:bCs w:val="1"/>
                <w:color w:val="auto"/>
              </w:rPr>
              <w:t>1132.4%</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b w:val="1"/>
                <w:bCs w:val="1"/>
                <w:color w:val="auto"/>
              </w:rPr>
              <w:t>(331,673)</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b w:val="1"/>
                <w:bCs w:val="1"/>
                <w:color w:val="auto"/>
              </w:rPr>
              <w:t>2,584,582</w:t>
            </w:r>
          </w:p>
        </w:tc>
        <w:tc>
          <w:tcPr>
            <w:tcW w:w="134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b w:val="1"/>
                <w:bCs w:val="1"/>
                <w:color w:val="auto"/>
              </w:rPr>
              <w:t>n.a.</w:t>
            </w:r>
          </w:p>
        </w:tc>
        <w:tc>
          <w:tcPr>
            <w:tcW w:w="0" w:type="dxa"/>
            <w:vAlign w:val="bottom"/>
          </w:tcPr>
          <w:p>
            <w:pPr>
              <w:spacing w:after="0"/>
              <w:rPr>
                <w:sz w:val="1"/>
                <w:szCs w:val="1"/>
                <w:color w:val="auto"/>
              </w:rPr>
            </w:pPr>
          </w:p>
        </w:tc>
      </w:tr>
      <w:tr>
        <w:trPr>
          <w:trHeight w:val="144"/>
        </w:trPr>
        <w:tc>
          <w:tcPr>
            <w:tcW w:w="2600" w:type="dxa"/>
            <w:vAlign w:val="bottom"/>
            <w:gridSpan w:val="2"/>
          </w:tcPr>
          <w:p>
            <w:pPr>
              <w:spacing w:after="0" w:line="145" w:lineRule="exact"/>
              <w:rPr>
                <w:sz w:val="20"/>
                <w:szCs w:val="20"/>
                <w:color w:val="auto"/>
              </w:rPr>
            </w:pPr>
            <w:r>
              <w:rPr>
                <w:rFonts w:ascii="Arial" w:cs="Arial" w:eastAsia="Arial" w:hAnsi="Arial"/>
                <w:sz w:val="14"/>
                <w:szCs w:val="14"/>
                <w:color w:val="auto"/>
              </w:rPr>
              <w:t>Non-controlling interest</w:t>
            </w:r>
          </w:p>
        </w:tc>
        <w:tc>
          <w:tcPr>
            <w:tcW w:w="104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(8,018)</w:t>
            </w:r>
          </w:p>
        </w:tc>
        <w:tc>
          <w:tcPr>
            <w:tcW w:w="10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17,614</w:t>
            </w:r>
          </w:p>
        </w:tc>
        <w:tc>
          <w:tcPr>
            <w:tcW w:w="10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26,651</w:t>
            </w:r>
          </w:p>
        </w:tc>
        <w:tc>
          <w:tcPr>
            <w:tcW w:w="120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51.3%</w:t>
            </w:r>
          </w:p>
        </w:tc>
        <w:tc>
          <w:tcPr>
            <w:tcW w:w="160" w:type="dxa"/>
            <w:vAlign w:val="bottom"/>
          </w:tcPr>
          <w:p>
            <w:pPr>
              <w:spacing w:after="0"/>
              <w:rPr>
                <w:sz w:val="12"/>
                <w:szCs w:val="12"/>
                <w:color w:val="auto"/>
              </w:rPr>
            </w:pPr>
          </w:p>
        </w:tc>
        <w:tc>
          <w:tcPr>
            <w:tcW w:w="940" w:type="dxa"/>
            <w:vAlign w:val="bottom"/>
            <w:gridSpan w:val="2"/>
          </w:tcPr>
          <w:p>
            <w:pPr>
              <w:jc w:val="right"/>
              <w:ind w:right="340"/>
              <w:spacing w:after="0" w:line="145" w:lineRule="exact"/>
              <w:rPr>
                <w:sz w:val="20"/>
                <w:szCs w:val="20"/>
                <w:color w:val="auto"/>
              </w:rPr>
            </w:pPr>
            <w:r>
              <w:rPr>
                <w:rFonts w:ascii="Arial" w:cs="Arial" w:eastAsia="Arial" w:hAnsi="Arial"/>
                <w:sz w:val="14"/>
                <w:szCs w:val="14"/>
                <w:color w:val="auto"/>
              </w:rPr>
              <w:t>n.a.</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(25,163)</w:t>
            </w:r>
          </w:p>
        </w:tc>
        <w:tc>
          <w:tcPr>
            <w:tcW w:w="40" w:type="dxa"/>
            <w:vAlign w:val="bottom"/>
          </w:tcPr>
          <w:p>
            <w:pPr>
              <w:spacing w:after="0"/>
              <w:rPr>
                <w:sz w:val="12"/>
                <w:szCs w:val="12"/>
                <w:color w:val="auto"/>
              </w:rPr>
            </w:pPr>
          </w:p>
        </w:tc>
        <w:tc>
          <w:tcPr>
            <w:tcW w:w="84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60,616</w:t>
            </w:r>
          </w:p>
        </w:tc>
        <w:tc>
          <w:tcPr>
            <w:tcW w:w="134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4"/>
        </w:trPr>
        <w:tc>
          <w:tcPr>
            <w:tcW w:w="260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b w:val="1"/>
                <w:bCs w:val="1"/>
                <w:color w:val="auto"/>
                <w:w w:val="95"/>
              </w:rPr>
              <w:t>Net profit (loss) attributable to Credicorp</w:t>
            </w:r>
          </w:p>
        </w:tc>
        <w:tc>
          <w:tcPr>
            <w:tcW w:w="10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b w:val="1"/>
                <w:bCs w:val="1"/>
                <w:color w:val="auto"/>
              </w:rPr>
              <w:t>104,606</w:t>
            </w:r>
          </w:p>
        </w:tc>
        <w:tc>
          <w:tcPr>
            <w:tcW w:w="10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b w:val="1"/>
                <w:bCs w:val="1"/>
                <w:color w:val="auto"/>
              </w:rPr>
              <w:t>699,469</w:t>
            </w:r>
          </w:p>
        </w:tc>
        <w:tc>
          <w:tcPr>
            <w:tcW w:w="10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b w:val="1"/>
                <w:bCs w:val="1"/>
                <w:color w:val="auto"/>
              </w:rPr>
              <w:t>1,163,699</w:t>
            </w:r>
          </w:p>
        </w:tc>
        <w:tc>
          <w:tcPr>
            <w:tcW w:w="12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b w:val="1"/>
                <w:bCs w:val="1"/>
                <w:color w:val="auto"/>
              </w:rPr>
              <w:t>66.4%</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b w:val="1"/>
                <w:bCs w:val="1"/>
                <w:color w:val="auto"/>
              </w:rPr>
              <w:t>1012.5%</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b w:val="1"/>
                <w:bCs w:val="1"/>
                <w:color w:val="auto"/>
              </w:rPr>
              <w:t>(306,510)</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b w:val="1"/>
                <w:bCs w:val="1"/>
                <w:color w:val="auto"/>
              </w:rPr>
              <w:t>2,523,966</w:t>
            </w:r>
          </w:p>
        </w:tc>
        <w:tc>
          <w:tcPr>
            <w:tcW w:w="134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b w:val="1"/>
                <w:bCs w:val="1"/>
                <w:color w:val="auto"/>
              </w:rPr>
              <w:t>n.a.</w:t>
            </w:r>
          </w:p>
        </w:tc>
        <w:tc>
          <w:tcPr>
            <w:tcW w:w="0" w:type="dxa"/>
            <w:vAlign w:val="bottom"/>
          </w:tcPr>
          <w:p>
            <w:pPr>
              <w:spacing w:after="0"/>
              <w:rPr>
                <w:sz w:val="1"/>
                <w:szCs w:val="1"/>
                <w:color w:val="auto"/>
              </w:rPr>
            </w:pPr>
          </w:p>
        </w:tc>
      </w:tr>
      <w:tr>
        <w:trPr>
          <w:trHeight w:val="144"/>
        </w:trPr>
        <w:tc>
          <w:tcPr>
            <w:tcW w:w="2600" w:type="dxa"/>
            <w:vAlign w:val="bottom"/>
            <w:gridSpan w:val="2"/>
          </w:tcPr>
          <w:p>
            <w:pPr>
              <w:spacing w:after="0" w:line="145" w:lineRule="exact"/>
              <w:rPr>
                <w:sz w:val="20"/>
                <w:szCs w:val="20"/>
                <w:color w:val="auto"/>
              </w:rPr>
            </w:pPr>
            <w:r>
              <w:rPr>
                <w:rFonts w:ascii="Arial" w:cs="Arial" w:eastAsia="Arial" w:hAnsi="Arial"/>
                <w:sz w:val="14"/>
                <w:szCs w:val="14"/>
                <w:color w:val="auto"/>
              </w:rPr>
              <w:t>Net profit (loss) / share (S/)</w:t>
            </w:r>
          </w:p>
        </w:tc>
        <w:tc>
          <w:tcPr>
            <w:tcW w:w="10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1.31</w:t>
            </w:r>
          </w:p>
        </w:tc>
        <w:tc>
          <w:tcPr>
            <w:tcW w:w="10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8.77</w:t>
            </w:r>
          </w:p>
        </w:tc>
        <w:tc>
          <w:tcPr>
            <w:tcW w:w="10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14.59</w:t>
            </w:r>
          </w:p>
        </w:tc>
        <w:tc>
          <w:tcPr>
            <w:tcW w:w="120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66.4%</w:t>
            </w:r>
          </w:p>
        </w:tc>
        <w:tc>
          <w:tcPr>
            <w:tcW w:w="160" w:type="dxa"/>
            <w:vAlign w:val="bottom"/>
          </w:tcPr>
          <w:p>
            <w:pPr>
              <w:spacing w:after="0"/>
              <w:rPr>
                <w:sz w:val="12"/>
                <w:szCs w:val="12"/>
                <w:color w:val="auto"/>
              </w:rPr>
            </w:pPr>
          </w:p>
        </w:tc>
        <w:tc>
          <w:tcPr>
            <w:tcW w:w="9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1012.5%</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(3.84)</w:t>
            </w:r>
          </w:p>
        </w:tc>
        <w:tc>
          <w:tcPr>
            <w:tcW w:w="40" w:type="dxa"/>
            <w:vAlign w:val="bottom"/>
          </w:tcPr>
          <w:p>
            <w:pPr>
              <w:spacing w:after="0"/>
              <w:rPr>
                <w:sz w:val="12"/>
                <w:szCs w:val="12"/>
                <w:color w:val="auto"/>
              </w:rPr>
            </w:pPr>
          </w:p>
        </w:tc>
        <w:tc>
          <w:tcPr>
            <w:tcW w:w="84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31.64</w:t>
            </w:r>
          </w:p>
        </w:tc>
        <w:tc>
          <w:tcPr>
            <w:tcW w:w="134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4"/>
        </w:trPr>
        <w:tc>
          <w:tcPr>
            <w:tcW w:w="260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Loans</w:t>
            </w:r>
          </w:p>
        </w:tc>
        <w:tc>
          <w:tcPr>
            <w:tcW w:w="10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136,148,711</w:t>
            </w: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143,091,752</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146,551,226</w:t>
            </w:r>
          </w:p>
        </w:tc>
        <w:tc>
          <w:tcPr>
            <w:tcW w:w="12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2.4%</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7.6%</w:t>
            </w:r>
          </w:p>
        </w:tc>
        <w:tc>
          <w:tcPr>
            <w:tcW w:w="100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w w:val="95"/>
              </w:rPr>
              <w:t>136,148,711</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w w:val="89"/>
              </w:rPr>
              <w:t>146,551,226</w:t>
            </w:r>
          </w:p>
        </w:tc>
        <w:tc>
          <w:tcPr>
            <w:tcW w:w="13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4"/>
        </w:trPr>
        <w:tc>
          <w:tcPr>
            <w:tcW w:w="2600" w:type="dxa"/>
            <w:vAlign w:val="bottom"/>
            <w:gridSpan w:val="2"/>
          </w:tcPr>
          <w:p>
            <w:pPr>
              <w:spacing w:after="0" w:line="145" w:lineRule="exact"/>
              <w:rPr>
                <w:sz w:val="20"/>
                <w:szCs w:val="20"/>
                <w:color w:val="auto"/>
              </w:rPr>
            </w:pPr>
            <w:r>
              <w:rPr>
                <w:rFonts w:ascii="Arial" w:cs="Arial" w:eastAsia="Arial" w:hAnsi="Arial"/>
                <w:sz w:val="14"/>
                <w:szCs w:val="14"/>
                <w:color w:val="auto"/>
              </w:rPr>
              <w:t>Deposits and obligations</w:t>
            </w: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137,202,674</w:t>
            </w:r>
          </w:p>
        </w:tc>
        <w:tc>
          <w:tcPr>
            <w:tcW w:w="160" w:type="dxa"/>
            <w:vAlign w:val="bottom"/>
          </w:tcPr>
          <w:p>
            <w:pPr>
              <w:spacing w:after="0"/>
              <w:rPr>
                <w:sz w:val="12"/>
                <w:szCs w:val="12"/>
                <w:color w:val="auto"/>
              </w:rPr>
            </w:pP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149,161,803</w:t>
            </w:r>
          </w:p>
        </w:tc>
        <w:tc>
          <w:tcPr>
            <w:tcW w:w="160" w:type="dxa"/>
            <w:vAlign w:val="bottom"/>
          </w:tcPr>
          <w:p>
            <w:pPr>
              <w:spacing w:after="0"/>
              <w:rPr>
                <w:sz w:val="12"/>
                <w:szCs w:val="12"/>
                <w:color w:val="auto"/>
              </w:rPr>
            </w:pPr>
          </w:p>
        </w:tc>
        <w:tc>
          <w:tcPr>
            <w:tcW w:w="10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152,548,368</w:t>
            </w:r>
          </w:p>
        </w:tc>
        <w:tc>
          <w:tcPr>
            <w:tcW w:w="120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2.3%</w:t>
            </w:r>
          </w:p>
        </w:tc>
        <w:tc>
          <w:tcPr>
            <w:tcW w:w="160" w:type="dxa"/>
            <w:vAlign w:val="bottom"/>
          </w:tcPr>
          <w:p>
            <w:pPr>
              <w:spacing w:after="0"/>
              <w:rPr>
                <w:sz w:val="12"/>
                <w:szCs w:val="12"/>
                <w:color w:val="auto"/>
              </w:rPr>
            </w:pPr>
          </w:p>
        </w:tc>
        <w:tc>
          <w:tcPr>
            <w:tcW w:w="9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11.2%</w:t>
            </w:r>
          </w:p>
        </w:tc>
        <w:tc>
          <w:tcPr>
            <w:tcW w:w="100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w w:val="95"/>
              </w:rPr>
              <w:t>137,202,674</w:t>
            </w:r>
          </w:p>
        </w:tc>
        <w:tc>
          <w:tcPr>
            <w:tcW w:w="40" w:type="dxa"/>
            <w:vAlign w:val="bottom"/>
          </w:tcPr>
          <w:p>
            <w:pPr>
              <w:spacing w:after="0"/>
              <w:rPr>
                <w:sz w:val="12"/>
                <w:szCs w:val="12"/>
                <w:color w:val="auto"/>
              </w:rPr>
            </w:pPr>
          </w:p>
        </w:tc>
        <w:tc>
          <w:tcPr>
            <w:tcW w:w="84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w w:val="89"/>
              </w:rPr>
              <w:t>152,548,368</w:t>
            </w:r>
          </w:p>
        </w:tc>
        <w:tc>
          <w:tcPr>
            <w:tcW w:w="13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4"/>
        </w:trPr>
        <w:tc>
          <w:tcPr>
            <w:tcW w:w="260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Net equity</w:t>
            </w: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23,594,717</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25,073,706</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25,192,570</w:t>
            </w:r>
          </w:p>
        </w:tc>
        <w:tc>
          <w:tcPr>
            <w:tcW w:w="12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0.5%</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6.8%</w:t>
            </w:r>
          </w:p>
        </w:tc>
        <w:tc>
          <w:tcPr>
            <w:tcW w:w="100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23,594,717</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w w:val="99"/>
              </w:rPr>
              <w:t>25,192,570</w:t>
            </w:r>
          </w:p>
        </w:tc>
        <w:tc>
          <w:tcPr>
            <w:tcW w:w="13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4"/>
        </w:trPr>
        <w:tc>
          <w:tcPr>
            <w:tcW w:w="260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Profitability</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Net interest margin</w:t>
            </w:r>
          </w:p>
        </w:tc>
        <w:tc>
          <w:tcPr>
            <w:tcW w:w="10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4.05%</w:t>
            </w:r>
          </w:p>
        </w:tc>
        <w:tc>
          <w:tcPr>
            <w:tcW w:w="10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4.01%</w:t>
            </w:r>
          </w:p>
        </w:tc>
        <w:tc>
          <w:tcPr>
            <w:tcW w:w="10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4.23%</w:t>
            </w:r>
          </w:p>
        </w:tc>
        <w:tc>
          <w:tcPr>
            <w:tcW w:w="1360" w:type="dxa"/>
            <w:vAlign w:val="bottom"/>
            <w:gridSpan w:val="3"/>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22bps</w:t>
            </w:r>
          </w:p>
        </w:tc>
        <w:tc>
          <w:tcPr>
            <w:tcW w:w="9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18bps</w:t>
            </w:r>
          </w:p>
        </w:tc>
        <w:tc>
          <w:tcPr>
            <w:tcW w:w="100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4.41%</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4.00%</w:t>
            </w:r>
          </w:p>
        </w:tc>
        <w:tc>
          <w:tcPr>
            <w:tcW w:w="13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-41bps</w:t>
            </w:r>
          </w:p>
        </w:tc>
        <w:tc>
          <w:tcPr>
            <w:tcW w:w="0" w:type="dxa"/>
            <w:vAlign w:val="bottom"/>
          </w:tcPr>
          <w:p>
            <w:pPr>
              <w:spacing w:after="0"/>
              <w:rPr>
                <w:sz w:val="1"/>
                <w:szCs w:val="1"/>
                <w:color w:val="auto"/>
              </w:rPr>
            </w:pPr>
          </w:p>
        </w:tc>
      </w:tr>
      <w:tr>
        <w:trPr>
          <w:trHeight w:val="144"/>
        </w:trPr>
        <w:tc>
          <w:tcPr>
            <w:tcW w:w="2600" w:type="dxa"/>
            <w:vAlign w:val="bottom"/>
            <w:gridSpan w:val="2"/>
          </w:tcPr>
          <w:p>
            <w:pPr>
              <w:spacing w:after="0" w:line="145" w:lineRule="exact"/>
              <w:rPr>
                <w:sz w:val="20"/>
                <w:szCs w:val="20"/>
                <w:color w:val="auto"/>
              </w:rPr>
            </w:pPr>
            <w:r>
              <w:rPr>
                <w:rFonts w:ascii="Arial" w:cs="Arial" w:eastAsia="Arial" w:hAnsi="Arial"/>
                <w:sz w:val="14"/>
                <w:szCs w:val="14"/>
                <w:color w:val="auto"/>
              </w:rPr>
              <w:t>Risk-adjusted Net interest margin</w:t>
            </w:r>
          </w:p>
        </w:tc>
        <w:tc>
          <w:tcPr>
            <w:tcW w:w="10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1.60 %</w:t>
            </w:r>
          </w:p>
        </w:tc>
        <w:tc>
          <w:tcPr>
            <w:tcW w:w="10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3.38 %</w:t>
            </w:r>
          </w:p>
        </w:tc>
        <w:tc>
          <w:tcPr>
            <w:tcW w:w="1040" w:type="dxa"/>
            <w:vAlign w:val="bottom"/>
            <w:gridSpan w:val="2"/>
          </w:tcPr>
          <w:p>
            <w:pPr>
              <w:jc w:val="right"/>
              <w:ind w:right="20"/>
              <w:spacing w:after="0" w:line="145" w:lineRule="exact"/>
              <w:rPr>
                <w:sz w:val="20"/>
                <w:szCs w:val="20"/>
                <w:color w:val="auto"/>
              </w:rPr>
            </w:pPr>
            <w:r>
              <w:rPr>
                <w:rFonts w:ascii="Arial" w:cs="Arial" w:eastAsia="Arial" w:hAnsi="Arial"/>
                <w:sz w:val="14"/>
                <w:szCs w:val="14"/>
                <w:color w:val="auto"/>
              </w:rPr>
              <w:t>3.95 %</w:t>
            </w:r>
          </w:p>
        </w:tc>
        <w:tc>
          <w:tcPr>
            <w:tcW w:w="1360" w:type="dxa"/>
            <w:vAlign w:val="bottom"/>
            <w:gridSpan w:val="3"/>
          </w:tcPr>
          <w:p>
            <w:pPr>
              <w:jc w:val="right"/>
              <w:ind w:right="300"/>
              <w:spacing w:after="0" w:line="145" w:lineRule="exact"/>
              <w:rPr>
                <w:sz w:val="20"/>
                <w:szCs w:val="20"/>
                <w:color w:val="auto"/>
              </w:rPr>
            </w:pPr>
            <w:r>
              <w:rPr>
                <w:rFonts w:ascii="Arial" w:cs="Arial" w:eastAsia="Arial" w:hAnsi="Arial"/>
                <w:sz w:val="14"/>
                <w:szCs w:val="14"/>
                <w:color w:val="auto"/>
              </w:rPr>
              <w:t>57bps</w:t>
            </w:r>
          </w:p>
        </w:tc>
        <w:tc>
          <w:tcPr>
            <w:tcW w:w="9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235bps</w:t>
            </w:r>
          </w:p>
        </w:tc>
        <w:tc>
          <w:tcPr>
            <w:tcW w:w="100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0.89%</w:t>
            </w:r>
          </w:p>
        </w:tc>
        <w:tc>
          <w:tcPr>
            <w:tcW w:w="40" w:type="dxa"/>
            <w:vAlign w:val="bottom"/>
          </w:tcPr>
          <w:p>
            <w:pPr>
              <w:spacing w:after="0"/>
              <w:rPr>
                <w:sz w:val="12"/>
                <w:szCs w:val="12"/>
                <w:color w:val="auto"/>
              </w:rPr>
            </w:pPr>
          </w:p>
        </w:tc>
        <w:tc>
          <w:tcPr>
            <w:tcW w:w="8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3.37%</w:t>
            </w:r>
          </w:p>
        </w:tc>
        <w:tc>
          <w:tcPr>
            <w:tcW w:w="13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248bps</w:t>
            </w:r>
          </w:p>
        </w:tc>
        <w:tc>
          <w:tcPr>
            <w:tcW w:w="0" w:type="dxa"/>
            <w:vAlign w:val="bottom"/>
          </w:tcPr>
          <w:p>
            <w:pPr>
              <w:spacing w:after="0"/>
              <w:rPr>
                <w:sz w:val="1"/>
                <w:szCs w:val="1"/>
                <w:color w:val="auto"/>
              </w:rPr>
            </w:pPr>
          </w:p>
        </w:tc>
      </w:tr>
      <w:tr>
        <w:trPr>
          <w:trHeight w:val="144"/>
        </w:trPr>
        <w:tc>
          <w:tcPr>
            <w:tcW w:w="260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Funding cost</w:t>
            </w:r>
          </w:p>
        </w:tc>
        <w:tc>
          <w:tcPr>
            <w:tcW w:w="10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1.74 %</w:t>
            </w:r>
          </w:p>
        </w:tc>
        <w:tc>
          <w:tcPr>
            <w:tcW w:w="10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1.18 %</w:t>
            </w:r>
          </w:p>
        </w:tc>
        <w:tc>
          <w:tcPr>
            <w:tcW w:w="104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1.21 %</w:t>
            </w:r>
          </w:p>
        </w:tc>
        <w:tc>
          <w:tcPr>
            <w:tcW w:w="1360" w:type="dxa"/>
            <w:vAlign w:val="bottom"/>
            <w:gridSpan w:val="3"/>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3bps</w:t>
            </w:r>
          </w:p>
        </w:tc>
        <w:tc>
          <w:tcPr>
            <w:tcW w:w="9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-53bps</w:t>
            </w:r>
          </w:p>
        </w:tc>
        <w:tc>
          <w:tcPr>
            <w:tcW w:w="100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1.90%</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1.28%</w:t>
            </w:r>
          </w:p>
        </w:tc>
        <w:tc>
          <w:tcPr>
            <w:tcW w:w="13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-62bps</w:t>
            </w:r>
          </w:p>
        </w:tc>
        <w:tc>
          <w:tcPr>
            <w:tcW w:w="0" w:type="dxa"/>
            <w:vAlign w:val="bottom"/>
          </w:tcPr>
          <w:p>
            <w:pPr>
              <w:spacing w:after="0"/>
              <w:rPr>
                <w:sz w:val="1"/>
                <w:szCs w:val="1"/>
                <w:color w:val="auto"/>
              </w:rPr>
            </w:pPr>
          </w:p>
        </w:tc>
      </w:tr>
      <w:tr>
        <w:trPr>
          <w:trHeight w:val="144"/>
        </w:trPr>
        <w:tc>
          <w:tcPr>
            <w:tcW w:w="2600" w:type="dxa"/>
            <w:vAlign w:val="bottom"/>
            <w:gridSpan w:val="2"/>
          </w:tcPr>
          <w:p>
            <w:pPr>
              <w:spacing w:after="0" w:line="145" w:lineRule="exact"/>
              <w:rPr>
                <w:sz w:val="20"/>
                <w:szCs w:val="20"/>
                <w:color w:val="auto"/>
              </w:rPr>
            </w:pPr>
            <w:r>
              <w:rPr>
                <w:rFonts w:ascii="Arial" w:cs="Arial" w:eastAsia="Arial" w:hAnsi="Arial"/>
                <w:sz w:val="14"/>
                <w:szCs w:val="14"/>
                <w:color w:val="auto"/>
              </w:rPr>
              <w:t>ROAE</w:t>
            </w:r>
          </w:p>
        </w:tc>
        <w:tc>
          <w:tcPr>
            <w:tcW w:w="10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1.8 %</w:t>
            </w:r>
          </w:p>
        </w:tc>
        <w:tc>
          <w:tcPr>
            <w:tcW w:w="10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11.3 %</w:t>
            </w:r>
          </w:p>
        </w:tc>
        <w:tc>
          <w:tcPr>
            <w:tcW w:w="1040" w:type="dxa"/>
            <w:vAlign w:val="bottom"/>
            <w:gridSpan w:val="2"/>
          </w:tcPr>
          <w:p>
            <w:pPr>
              <w:jc w:val="right"/>
              <w:ind w:right="20"/>
              <w:spacing w:after="0" w:line="145" w:lineRule="exact"/>
              <w:rPr>
                <w:sz w:val="20"/>
                <w:szCs w:val="20"/>
                <w:color w:val="auto"/>
              </w:rPr>
            </w:pPr>
            <w:r>
              <w:rPr>
                <w:rFonts w:ascii="Arial" w:cs="Arial" w:eastAsia="Arial" w:hAnsi="Arial"/>
                <w:sz w:val="14"/>
                <w:szCs w:val="14"/>
                <w:color w:val="auto"/>
              </w:rPr>
              <w:t>18.5 %</w:t>
            </w:r>
          </w:p>
        </w:tc>
        <w:tc>
          <w:tcPr>
            <w:tcW w:w="1360" w:type="dxa"/>
            <w:vAlign w:val="bottom"/>
            <w:gridSpan w:val="3"/>
          </w:tcPr>
          <w:p>
            <w:pPr>
              <w:jc w:val="right"/>
              <w:ind w:right="300"/>
              <w:spacing w:after="0" w:line="145" w:lineRule="exact"/>
              <w:rPr>
                <w:sz w:val="20"/>
                <w:szCs w:val="20"/>
                <w:color w:val="auto"/>
              </w:rPr>
            </w:pPr>
            <w:r>
              <w:rPr>
                <w:rFonts w:ascii="Arial" w:cs="Arial" w:eastAsia="Arial" w:hAnsi="Arial"/>
                <w:sz w:val="14"/>
                <w:szCs w:val="14"/>
                <w:color w:val="auto"/>
              </w:rPr>
              <w:t>720bps</w:t>
            </w:r>
          </w:p>
        </w:tc>
        <w:tc>
          <w:tcPr>
            <w:tcW w:w="9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1670bps</w:t>
            </w:r>
          </w:p>
        </w:tc>
        <w:tc>
          <w:tcPr>
            <w:tcW w:w="100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-1.6%</w:t>
            </w:r>
          </w:p>
        </w:tc>
        <w:tc>
          <w:tcPr>
            <w:tcW w:w="40" w:type="dxa"/>
            <w:vAlign w:val="bottom"/>
          </w:tcPr>
          <w:p>
            <w:pPr>
              <w:spacing w:after="0"/>
              <w:rPr>
                <w:sz w:val="12"/>
                <w:szCs w:val="12"/>
                <w:color w:val="auto"/>
              </w:rPr>
            </w:pPr>
          </w:p>
        </w:tc>
        <w:tc>
          <w:tcPr>
            <w:tcW w:w="8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13.4%</w:t>
            </w:r>
          </w:p>
        </w:tc>
        <w:tc>
          <w:tcPr>
            <w:tcW w:w="13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1500bps</w:t>
            </w:r>
          </w:p>
        </w:tc>
        <w:tc>
          <w:tcPr>
            <w:tcW w:w="0" w:type="dxa"/>
            <w:vAlign w:val="bottom"/>
          </w:tcPr>
          <w:p>
            <w:pPr>
              <w:spacing w:after="0"/>
              <w:rPr>
                <w:sz w:val="1"/>
                <w:szCs w:val="1"/>
                <w:color w:val="auto"/>
              </w:rPr>
            </w:pPr>
          </w:p>
        </w:tc>
      </w:tr>
      <w:tr>
        <w:trPr>
          <w:trHeight w:val="144"/>
        </w:trPr>
        <w:tc>
          <w:tcPr>
            <w:tcW w:w="260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ROAA</w:t>
            </w:r>
          </w:p>
        </w:tc>
        <w:tc>
          <w:tcPr>
            <w:tcW w:w="10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0.2 %</w:t>
            </w:r>
          </w:p>
        </w:tc>
        <w:tc>
          <w:tcPr>
            <w:tcW w:w="10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1.1 %</w:t>
            </w:r>
          </w:p>
        </w:tc>
        <w:tc>
          <w:tcPr>
            <w:tcW w:w="104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1.9 %</w:t>
            </w:r>
          </w:p>
        </w:tc>
        <w:tc>
          <w:tcPr>
            <w:tcW w:w="1360" w:type="dxa"/>
            <w:vAlign w:val="bottom"/>
            <w:gridSpan w:val="3"/>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80bps</w:t>
            </w:r>
          </w:p>
        </w:tc>
        <w:tc>
          <w:tcPr>
            <w:tcW w:w="9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170bps</w:t>
            </w:r>
          </w:p>
        </w:tc>
        <w:tc>
          <w:tcPr>
            <w:tcW w:w="100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-0.2%</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1.4%</w:t>
            </w:r>
          </w:p>
        </w:tc>
        <w:tc>
          <w:tcPr>
            <w:tcW w:w="13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160bps</w:t>
            </w:r>
          </w:p>
        </w:tc>
        <w:tc>
          <w:tcPr>
            <w:tcW w:w="0" w:type="dxa"/>
            <w:vAlign w:val="bottom"/>
          </w:tcPr>
          <w:p>
            <w:pPr>
              <w:spacing w:after="0"/>
              <w:rPr>
                <w:sz w:val="1"/>
                <w:szCs w:val="1"/>
                <w:color w:val="auto"/>
              </w:rPr>
            </w:pPr>
          </w:p>
        </w:tc>
      </w:tr>
      <w:tr>
        <w:trPr>
          <w:trHeight w:val="144"/>
        </w:trPr>
        <w:tc>
          <w:tcPr>
            <w:tcW w:w="260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Loan portfolio quality</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600" w:type="dxa"/>
            <w:vAlign w:val="bottom"/>
            <w:gridSpan w:val="2"/>
            <w:shd w:val="clear" w:color="auto" w:fill="CCEEFF"/>
          </w:tcPr>
          <w:p>
            <w:pPr>
              <w:spacing w:after="0" w:line="184" w:lineRule="exact"/>
              <w:rPr>
                <w:sz w:val="20"/>
                <w:szCs w:val="20"/>
                <w:color w:val="auto"/>
              </w:rPr>
            </w:pPr>
            <w:r>
              <w:rPr>
                <w:rFonts w:ascii="Arial" w:cs="Arial" w:eastAsia="Arial" w:hAnsi="Arial"/>
                <w:sz w:val="13"/>
                <w:szCs w:val="13"/>
                <w:color w:val="auto"/>
              </w:rPr>
              <w:t xml:space="preserve">Internal overdue ratio </w:t>
            </w:r>
            <w:r>
              <w:rPr>
                <w:rFonts w:ascii="Arial" w:cs="Arial" w:eastAsia="Arial" w:hAnsi="Arial"/>
                <w:sz w:val="21"/>
                <w:szCs w:val="21"/>
                <w:color w:val="auto"/>
                <w:vertAlign w:val="superscript"/>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3.04 %</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3.53 %</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3.73 %</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20bps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69bps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3.04%</w:t>
            </w:r>
          </w:p>
        </w:tc>
        <w:tc>
          <w:tcPr>
            <w:tcW w:w="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69bps</w:t>
            </w:r>
          </w:p>
        </w:tc>
        <w:tc>
          <w:tcPr>
            <w:tcW w:w="0" w:type="dxa"/>
            <w:vAlign w:val="bottom"/>
          </w:tcPr>
          <w:p>
            <w:pPr>
              <w:spacing w:after="0"/>
              <w:rPr>
                <w:sz w:val="1"/>
                <w:szCs w:val="1"/>
                <w:color w:val="auto"/>
              </w:rPr>
            </w:pPr>
          </w:p>
        </w:tc>
      </w:tr>
      <w:tr>
        <w:trPr>
          <w:trHeight w:val="144"/>
        </w:trPr>
        <w:tc>
          <w:tcPr>
            <w:tcW w:w="2600" w:type="dxa"/>
            <w:vAlign w:val="bottom"/>
            <w:gridSpan w:val="2"/>
          </w:tcPr>
          <w:p>
            <w:pPr>
              <w:spacing w:after="0" w:line="145" w:lineRule="exact"/>
              <w:rPr>
                <w:sz w:val="20"/>
                <w:szCs w:val="20"/>
                <w:color w:val="auto"/>
              </w:rPr>
            </w:pPr>
            <w:r>
              <w:rPr>
                <w:rFonts w:ascii="Arial" w:cs="Arial" w:eastAsia="Arial" w:hAnsi="Arial"/>
                <w:sz w:val="14"/>
                <w:szCs w:val="14"/>
                <w:color w:val="auto"/>
              </w:rPr>
              <w:t>Internal overdue ratio over 90 days</w:t>
            </w:r>
          </w:p>
        </w:tc>
        <w:tc>
          <w:tcPr>
            <w:tcW w:w="10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2.53 %</w:t>
            </w:r>
          </w:p>
        </w:tc>
        <w:tc>
          <w:tcPr>
            <w:tcW w:w="10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2.67 %</w:t>
            </w:r>
          </w:p>
        </w:tc>
        <w:tc>
          <w:tcPr>
            <w:tcW w:w="1040" w:type="dxa"/>
            <w:vAlign w:val="bottom"/>
            <w:gridSpan w:val="2"/>
          </w:tcPr>
          <w:p>
            <w:pPr>
              <w:jc w:val="right"/>
              <w:ind w:right="20"/>
              <w:spacing w:after="0" w:line="145" w:lineRule="exact"/>
              <w:rPr>
                <w:sz w:val="20"/>
                <w:szCs w:val="20"/>
                <w:color w:val="auto"/>
              </w:rPr>
            </w:pPr>
            <w:r>
              <w:rPr>
                <w:rFonts w:ascii="Arial" w:cs="Arial" w:eastAsia="Arial" w:hAnsi="Arial"/>
                <w:sz w:val="14"/>
                <w:szCs w:val="14"/>
                <w:color w:val="auto"/>
              </w:rPr>
              <w:t>2.76 %</w:t>
            </w:r>
          </w:p>
        </w:tc>
        <w:tc>
          <w:tcPr>
            <w:tcW w:w="1360" w:type="dxa"/>
            <w:vAlign w:val="bottom"/>
            <w:gridSpan w:val="3"/>
          </w:tcPr>
          <w:p>
            <w:pPr>
              <w:jc w:val="right"/>
              <w:ind w:right="300"/>
              <w:spacing w:after="0" w:line="145" w:lineRule="exact"/>
              <w:rPr>
                <w:sz w:val="20"/>
                <w:szCs w:val="20"/>
                <w:color w:val="auto"/>
              </w:rPr>
            </w:pPr>
            <w:r>
              <w:rPr>
                <w:rFonts w:ascii="Arial" w:cs="Arial" w:eastAsia="Arial" w:hAnsi="Arial"/>
                <w:sz w:val="14"/>
                <w:szCs w:val="14"/>
                <w:color w:val="auto"/>
              </w:rPr>
              <w:t>9bps</w:t>
            </w:r>
          </w:p>
        </w:tc>
        <w:tc>
          <w:tcPr>
            <w:tcW w:w="9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23bps</w:t>
            </w:r>
          </w:p>
        </w:tc>
        <w:tc>
          <w:tcPr>
            <w:tcW w:w="100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2.53%</w:t>
            </w:r>
          </w:p>
        </w:tc>
        <w:tc>
          <w:tcPr>
            <w:tcW w:w="40" w:type="dxa"/>
            <w:vAlign w:val="bottom"/>
          </w:tcPr>
          <w:p>
            <w:pPr>
              <w:spacing w:after="0"/>
              <w:rPr>
                <w:sz w:val="12"/>
                <w:szCs w:val="12"/>
                <w:color w:val="auto"/>
              </w:rPr>
            </w:pPr>
          </w:p>
        </w:tc>
        <w:tc>
          <w:tcPr>
            <w:tcW w:w="8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2.76%</w:t>
            </w:r>
          </w:p>
        </w:tc>
        <w:tc>
          <w:tcPr>
            <w:tcW w:w="13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23bps</w:t>
            </w:r>
          </w:p>
        </w:tc>
        <w:tc>
          <w:tcPr>
            <w:tcW w:w="0" w:type="dxa"/>
            <w:vAlign w:val="bottom"/>
          </w:tcPr>
          <w:p>
            <w:pPr>
              <w:spacing w:after="0"/>
              <w:rPr>
                <w:sz w:val="1"/>
                <w:szCs w:val="1"/>
                <w:color w:val="auto"/>
              </w:rPr>
            </w:pPr>
          </w:p>
        </w:tc>
      </w:tr>
      <w:tr>
        <w:trPr>
          <w:trHeight w:val="184"/>
        </w:trPr>
        <w:tc>
          <w:tcPr>
            <w:tcW w:w="2600" w:type="dxa"/>
            <w:vAlign w:val="bottom"/>
            <w:gridSpan w:val="2"/>
            <w:shd w:val="clear" w:color="auto" w:fill="CCEEFF"/>
          </w:tcPr>
          <w:p>
            <w:pPr>
              <w:spacing w:after="0" w:line="184" w:lineRule="exact"/>
              <w:rPr>
                <w:sz w:val="20"/>
                <w:szCs w:val="20"/>
                <w:color w:val="auto"/>
              </w:rPr>
            </w:pPr>
            <w:r>
              <w:rPr>
                <w:rFonts w:ascii="Arial" w:cs="Arial" w:eastAsia="Arial" w:hAnsi="Arial"/>
                <w:sz w:val="13"/>
                <w:szCs w:val="13"/>
                <w:color w:val="auto"/>
              </w:rPr>
              <w:t xml:space="preserve">NPL ratio </w:t>
            </w:r>
            <w:r>
              <w:rPr>
                <w:rFonts w:ascii="Arial" w:cs="Arial" w:eastAsia="Arial" w:hAnsi="Arial"/>
                <w:sz w:val="21"/>
                <w:szCs w:val="21"/>
                <w:color w:val="auto"/>
                <w:vertAlign w:val="superscript"/>
              </w:rPr>
              <w:t>(2)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4.17 %</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4.79 %</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4.96 %</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17bps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79bps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4.17%</w:t>
            </w:r>
          </w:p>
        </w:tc>
        <w:tc>
          <w:tcPr>
            <w:tcW w:w="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79bps</w:t>
            </w:r>
          </w:p>
        </w:tc>
        <w:tc>
          <w:tcPr>
            <w:tcW w:w="0" w:type="dxa"/>
            <w:vAlign w:val="bottom"/>
          </w:tcPr>
          <w:p>
            <w:pPr>
              <w:spacing w:after="0"/>
              <w:rPr>
                <w:sz w:val="1"/>
                <w:szCs w:val="1"/>
                <w:color w:val="auto"/>
              </w:rPr>
            </w:pPr>
          </w:p>
        </w:tc>
      </w:tr>
      <w:tr>
        <w:trPr>
          <w:trHeight w:val="184"/>
        </w:trPr>
        <w:tc>
          <w:tcPr>
            <w:tcW w:w="2600" w:type="dxa"/>
            <w:vAlign w:val="bottom"/>
            <w:gridSpan w:val="2"/>
          </w:tcPr>
          <w:p>
            <w:pPr>
              <w:spacing w:after="0" w:line="184" w:lineRule="exact"/>
              <w:rPr>
                <w:sz w:val="20"/>
                <w:szCs w:val="20"/>
                <w:color w:val="auto"/>
              </w:rPr>
            </w:pPr>
            <w:r>
              <w:rPr>
                <w:rFonts w:ascii="Arial" w:cs="Arial" w:eastAsia="Arial" w:hAnsi="Arial"/>
                <w:sz w:val="13"/>
                <w:szCs w:val="13"/>
                <w:color w:val="auto"/>
              </w:rPr>
              <w:t xml:space="preserve">Cost of risk </w:t>
            </w:r>
            <w:r>
              <w:rPr>
                <w:rFonts w:ascii="Arial" w:cs="Arial" w:eastAsia="Arial" w:hAnsi="Arial"/>
                <w:sz w:val="21"/>
                <w:szCs w:val="21"/>
                <w:color w:val="auto"/>
                <w:vertAlign w:val="superscript"/>
              </w:rPr>
              <w:t>(3)</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3.84 %</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1.02 %</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0.45 %</w:t>
            </w:r>
          </w:p>
        </w:tc>
        <w:tc>
          <w:tcPr>
            <w:tcW w:w="1360" w:type="dxa"/>
            <w:vAlign w:val="bottom"/>
            <w:gridSpan w:val="3"/>
          </w:tcPr>
          <w:p>
            <w:pPr>
              <w:jc w:val="right"/>
              <w:ind w:right="300"/>
              <w:spacing w:after="0"/>
              <w:rPr>
                <w:sz w:val="20"/>
                <w:szCs w:val="20"/>
                <w:color w:val="auto"/>
              </w:rPr>
            </w:pPr>
            <w:r>
              <w:rPr>
                <w:rFonts w:ascii="Arial" w:cs="Arial" w:eastAsia="Arial" w:hAnsi="Arial"/>
                <w:sz w:val="14"/>
                <w:szCs w:val="14"/>
                <w:color w:val="auto"/>
              </w:rPr>
              <w:t>-57bps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-339bps</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5.08%</w:t>
            </w:r>
          </w:p>
        </w:tc>
        <w:tc>
          <w:tcPr>
            <w:tcW w:w="4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0.99%</w:t>
            </w: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-409bps</w:t>
            </w:r>
          </w:p>
        </w:tc>
        <w:tc>
          <w:tcPr>
            <w:tcW w:w="0" w:type="dxa"/>
            <w:vAlign w:val="bottom"/>
          </w:tcPr>
          <w:p>
            <w:pPr>
              <w:spacing w:after="0"/>
              <w:rPr>
                <w:sz w:val="1"/>
                <w:szCs w:val="1"/>
                <w:color w:val="auto"/>
              </w:rPr>
            </w:pPr>
          </w:p>
        </w:tc>
      </w:tr>
      <w:tr>
        <w:trPr>
          <w:trHeight w:val="144"/>
        </w:trPr>
        <w:tc>
          <w:tcPr>
            <w:tcW w:w="260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Coverage ratio of IOLs</w:t>
            </w:r>
          </w:p>
        </w:tc>
        <w:tc>
          <w:tcPr>
            <w:tcW w:w="10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233.1 %</w:t>
            </w:r>
          </w:p>
        </w:tc>
        <w:tc>
          <w:tcPr>
            <w:tcW w:w="10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185.8 %</w:t>
            </w:r>
          </w:p>
        </w:tc>
        <w:tc>
          <w:tcPr>
            <w:tcW w:w="104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165.8 %</w:t>
            </w:r>
          </w:p>
        </w:tc>
        <w:tc>
          <w:tcPr>
            <w:tcW w:w="1360" w:type="dxa"/>
            <w:vAlign w:val="bottom"/>
            <w:gridSpan w:val="3"/>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-2000bps</w:t>
            </w:r>
          </w:p>
        </w:tc>
        <w:tc>
          <w:tcPr>
            <w:tcW w:w="9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-6730bps</w:t>
            </w:r>
          </w:p>
        </w:tc>
        <w:tc>
          <w:tcPr>
            <w:tcW w:w="100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233.1%</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165.8%</w:t>
            </w:r>
          </w:p>
        </w:tc>
        <w:tc>
          <w:tcPr>
            <w:tcW w:w="13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-6730bps</w:t>
            </w:r>
          </w:p>
        </w:tc>
        <w:tc>
          <w:tcPr>
            <w:tcW w:w="0" w:type="dxa"/>
            <w:vAlign w:val="bottom"/>
          </w:tcPr>
          <w:p>
            <w:pPr>
              <w:spacing w:after="0"/>
              <w:rPr>
                <w:sz w:val="1"/>
                <w:szCs w:val="1"/>
                <w:color w:val="auto"/>
              </w:rPr>
            </w:pPr>
          </w:p>
        </w:tc>
      </w:tr>
      <w:tr>
        <w:trPr>
          <w:trHeight w:val="144"/>
        </w:trPr>
        <w:tc>
          <w:tcPr>
            <w:tcW w:w="2600" w:type="dxa"/>
            <w:vAlign w:val="bottom"/>
            <w:gridSpan w:val="2"/>
          </w:tcPr>
          <w:p>
            <w:pPr>
              <w:spacing w:after="0" w:line="145" w:lineRule="exact"/>
              <w:rPr>
                <w:sz w:val="20"/>
                <w:szCs w:val="20"/>
                <w:color w:val="auto"/>
              </w:rPr>
            </w:pPr>
            <w:r>
              <w:rPr>
                <w:rFonts w:ascii="Arial" w:cs="Arial" w:eastAsia="Arial" w:hAnsi="Arial"/>
                <w:sz w:val="14"/>
                <w:szCs w:val="14"/>
                <w:color w:val="auto"/>
              </w:rPr>
              <w:t>Coverage ratio of NPLs</w:t>
            </w:r>
          </w:p>
        </w:tc>
        <w:tc>
          <w:tcPr>
            <w:tcW w:w="10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169.9 %</w:t>
            </w:r>
          </w:p>
        </w:tc>
        <w:tc>
          <w:tcPr>
            <w:tcW w:w="104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137.0%</w:t>
            </w:r>
          </w:p>
        </w:tc>
        <w:tc>
          <w:tcPr>
            <w:tcW w:w="1040" w:type="dxa"/>
            <w:vAlign w:val="bottom"/>
            <w:gridSpan w:val="2"/>
          </w:tcPr>
          <w:p>
            <w:pPr>
              <w:jc w:val="right"/>
              <w:ind w:right="20"/>
              <w:spacing w:after="0" w:line="145" w:lineRule="exact"/>
              <w:rPr>
                <w:sz w:val="20"/>
                <w:szCs w:val="20"/>
                <w:color w:val="auto"/>
              </w:rPr>
            </w:pPr>
            <w:r>
              <w:rPr>
                <w:rFonts w:ascii="Arial" w:cs="Arial" w:eastAsia="Arial" w:hAnsi="Arial"/>
                <w:sz w:val="14"/>
                <w:szCs w:val="14"/>
                <w:color w:val="auto"/>
              </w:rPr>
              <w:t>124.8 %</w:t>
            </w:r>
          </w:p>
        </w:tc>
        <w:tc>
          <w:tcPr>
            <w:tcW w:w="1360" w:type="dxa"/>
            <w:vAlign w:val="bottom"/>
            <w:gridSpan w:val="3"/>
          </w:tcPr>
          <w:p>
            <w:pPr>
              <w:jc w:val="right"/>
              <w:ind w:right="300"/>
              <w:spacing w:after="0" w:line="145" w:lineRule="exact"/>
              <w:rPr>
                <w:sz w:val="20"/>
                <w:szCs w:val="20"/>
                <w:color w:val="auto"/>
              </w:rPr>
            </w:pPr>
            <w:r>
              <w:rPr>
                <w:rFonts w:ascii="Arial" w:cs="Arial" w:eastAsia="Arial" w:hAnsi="Arial"/>
                <w:sz w:val="14"/>
                <w:szCs w:val="14"/>
                <w:color w:val="auto"/>
              </w:rPr>
              <w:t>-1220bps</w:t>
            </w:r>
          </w:p>
        </w:tc>
        <w:tc>
          <w:tcPr>
            <w:tcW w:w="9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-4510bps</w:t>
            </w:r>
          </w:p>
        </w:tc>
        <w:tc>
          <w:tcPr>
            <w:tcW w:w="100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169.9%</w:t>
            </w:r>
          </w:p>
        </w:tc>
        <w:tc>
          <w:tcPr>
            <w:tcW w:w="40" w:type="dxa"/>
            <w:vAlign w:val="bottom"/>
          </w:tcPr>
          <w:p>
            <w:pPr>
              <w:spacing w:after="0"/>
              <w:rPr>
                <w:sz w:val="12"/>
                <w:szCs w:val="12"/>
                <w:color w:val="auto"/>
              </w:rPr>
            </w:pPr>
          </w:p>
        </w:tc>
        <w:tc>
          <w:tcPr>
            <w:tcW w:w="8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124.8%</w:t>
            </w:r>
          </w:p>
        </w:tc>
        <w:tc>
          <w:tcPr>
            <w:tcW w:w="13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-4510bps</w:t>
            </w:r>
          </w:p>
        </w:tc>
        <w:tc>
          <w:tcPr>
            <w:tcW w:w="0" w:type="dxa"/>
            <w:vAlign w:val="bottom"/>
          </w:tcPr>
          <w:p>
            <w:pPr>
              <w:spacing w:after="0"/>
              <w:rPr>
                <w:sz w:val="1"/>
                <w:szCs w:val="1"/>
                <w:color w:val="auto"/>
              </w:rPr>
            </w:pPr>
          </w:p>
        </w:tc>
      </w:tr>
      <w:tr>
        <w:trPr>
          <w:trHeight w:val="144"/>
        </w:trPr>
        <w:tc>
          <w:tcPr>
            <w:tcW w:w="260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Operating efficiency</w:t>
            </w: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600" w:type="dxa"/>
            <w:vAlign w:val="bottom"/>
            <w:gridSpan w:val="2"/>
          </w:tcPr>
          <w:p>
            <w:pPr>
              <w:spacing w:after="0" w:line="184" w:lineRule="exact"/>
              <w:rPr>
                <w:sz w:val="20"/>
                <w:szCs w:val="20"/>
                <w:color w:val="auto"/>
              </w:rPr>
            </w:pPr>
            <w:r>
              <w:rPr>
                <w:rFonts w:ascii="Arial" w:cs="Arial" w:eastAsia="Arial" w:hAnsi="Arial"/>
                <w:sz w:val="13"/>
                <w:szCs w:val="13"/>
                <w:color w:val="auto"/>
              </w:rPr>
              <w:t xml:space="preserve">Efficiency ratio </w:t>
            </w:r>
            <w:r>
              <w:rPr>
                <w:rFonts w:ascii="Arial" w:cs="Arial" w:eastAsia="Arial" w:hAnsi="Arial"/>
                <w:sz w:val="21"/>
                <w:szCs w:val="21"/>
                <w:color w:val="auto"/>
                <w:vertAlign w:val="superscript"/>
              </w:rPr>
              <w:t>(4)</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45.0 %</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43.7 %</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46.1 %</w:t>
            </w:r>
          </w:p>
        </w:tc>
        <w:tc>
          <w:tcPr>
            <w:tcW w:w="1360" w:type="dxa"/>
            <w:vAlign w:val="bottom"/>
            <w:gridSpan w:val="3"/>
          </w:tcPr>
          <w:p>
            <w:pPr>
              <w:jc w:val="right"/>
              <w:ind w:right="300"/>
              <w:spacing w:after="0"/>
              <w:rPr>
                <w:sz w:val="20"/>
                <w:szCs w:val="20"/>
                <w:color w:val="auto"/>
              </w:rPr>
            </w:pPr>
            <w:r>
              <w:rPr>
                <w:rFonts w:ascii="Arial" w:cs="Arial" w:eastAsia="Arial" w:hAnsi="Arial"/>
                <w:sz w:val="14"/>
                <w:szCs w:val="14"/>
                <w:color w:val="auto"/>
              </w:rPr>
              <w:t>240bps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110bps</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45.9%</w:t>
            </w:r>
          </w:p>
        </w:tc>
        <w:tc>
          <w:tcPr>
            <w:tcW w:w="4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44.7%</w:t>
            </w: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-120bps</w:t>
            </w:r>
          </w:p>
        </w:tc>
        <w:tc>
          <w:tcPr>
            <w:tcW w:w="0" w:type="dxa"/>
            <w:vAlign w:val="bottom"/>
          </w:tcPr>
          <w:p>
            <w:pPr>
              <w:spacing w:after="0"/>
              <w:rPr>
                <w:sz w:val="1"/>
                <w:szCs w:val="1"/>
                <w:color w:val="auto"/>
              </w:rPr>
            </w:pPr>
          </w:p>
        </w:tc>
      </w:tr>
      <w:tr>
        <w:trPr>
          <w:trHeight w:val="144"/>
        </w:trPr>
        <w:tc>
          <w:tcPr>
            <w:tcW w:w="260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w w:val="96"/>
              </w:rPr>
              <w:t>Operating expenses / Total average assets</w:t>
            </w:r>
          </w:p>
        </w:tc>
        <w:tc>
          <w:tcPr>
            <w:tcW w:w="10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2.93%</w:t>
            </w:r>
          </w:p>
        </w:tc>
        <w:tc>
          <w:tcPr>
            <w:tcW w:w="10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2.96 %</w:t>
            </w:r>
          </w:p>
        </w:tc>
        <w:tc>
          <w:tcPr>
            <w:tcW w:w="10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3.20%</w:t>
            </w:r>
          </w:p>
        </w:tc>
        <w:tc>
          <w:tcPr>
            <w:tcW w:w="1360" w:type="dxa"/>
            <w:vAlign w:val="bottom"/>
            <w:gridSpan w:val="3"/>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24bps</w:t>
            </w:r>
          </w:p>
        </w:tc>
        <w:tc>
          <w:tcPr>
            <w:tcW w:w="9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27bps</w:t>
            </w:r>
          </w:p>
        </w:tc>
        <w:tc>
          <w:tcPr>
            <w:tcW w:w="100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3.17%</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3.00%</w:t>
            </w:r>
          </w:p>
        </w:tc>
        <w:tc>
          <w:tcPr>
            <w:tcW w:w="13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-20bps</w:t>
            </w:r>
          </w:p>
        </w:tc>
        <w:tc>
          <w:tcPr>
            <w:tcW w:w="0" w:type="dxa"/>
            <w:vAlign w:val="bottom"/>
          </w:tcPr>
          <w:p>
            <w:pPr>
              <w:spacing w:after="0"/>
              <w:rPr>
                <w:sz w:val="1"/>
                <w:szCs w:val="1"/>
                <w:color w:val="auto"/>
              </w:rPr>
            </w:pPr>
          </w:p>
        </w:tc>
      </w:tr>
      <w:tr>
        <w:trPr>
          <w:trHeight w:val="144"/>
        </w:trPr>
        <w:tc>
          <w:tcPr>
            <w:tcW w:w="260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Insurance ratios</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600" w:type="dxa"/>
            <w:vAlign w:val="bottom"/>
            <w:gridSpan w:val="2"/>
            <w:shd w:val="clear" w:color="auto" w:fill="CCEEFF"/>
          </w:tcPr>
          <w:p>
            <w:pPr>
              <w:spacing w:after="0" w:line="184" w:lineRule="exact"/>
              <w:rPr>
                <w:sz w:val="20"/>
                <w:szCs w:val="20"/>
                <w:color w:val="auto"/>
              </w:rPr>
            </w:pPr>
            <w:r>
              <w:rPr>
                <w:rFonts w:ascii="Arial" w:cs="Arial" w:eastAsia="Arial" w:hAnsi="Arial"/>
                <w:sz w:val="13"/>
                <w:szCs w:val="13"/>
                <w:color w:val="auto"/>
              </w:rPr>
              <w:t xml:space="preserve">Combined ratio of P&amp;C </w:t>
            </w:r>
            <w:r>
              <w:rPr>
                <w:rFonts w:ascii="Arial" w:cs="Arial" w:eastAsia="Arial" w:hAnsi="Arial"/>
                <w:sz w:val="21"/>
                <w:szCs w:val="21"/>
                <w:color w:val="auto"/>
                <w:vertAlign w:val="superscript"/>
              </w:rPr>
              <w:t>(5) (6)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84.8 %</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88.9 %</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94.1 %</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520bps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930bps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84.8%</w:t>
            </w:r>
          </w:p>
        </w:tc>
        <w:tc>
          <w:tcPr>
            <w:tcW w:w="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94.1%</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930bps</w:t>
            </w:r>
          </w:p>
        </w:tc>
        <w:tc>
          <w:tcPr>
            <w:tcW w:w="0" w:type="dxa"/>
            <w:vAlign w:val="bottom"/>
          </w:tcPr>
          <w:p>
            <w:pPr>
              <w:spacing w:after="0"/>
              <w:rPr>
                <w:sz w:val="1"/>
                <w:szCs w:val="1"/>
                <w:color w:val="auto"/>
              </w:rPr>
            </w:pPr>
          </w:p>
        </w:tc>
      </w:tr>
      <w:tr>
        <w:trPr>
          <w:trHeight w:val="184"/>
        </w:trPr>
        <w:tc>
          <w:tcPr>
            <w:tcW w:w="2600" w:type="dxa"/>
            <w:vAlign w:val="bottom"/>
            <w:gridSpan w:val="2"/>
          </w:tcPr>
          <w:p>
            <w:pPr>
              <w:spacing w:after="0" w:line="184" w:lineRule="exact"/>
              <w:rPr>
                <w:sz w:val="20"/>
                <w:szCs w:val="20"/>
                <w:color w:val="auto"/>
              </w:rPr>
            </w:pPr>
            <w:r>
              <w:rPr>
                <w:rFonts w:ascii="Arial" w:cs="Arial" w:eastAsia="Arial" w:hAnsi="Arial"/>
                <w:sz w:val="13"/>
                <w:szCs w:val="13"/>
                <w:color w:val="auto"/>
              </w:rPr>
              <w:t xml:space="preserve">Loss ratio </w:t>
            </w:r>
            <w:r>
              <w:rPr>
                <w:rFonts w:ascii="Arial" w:cs="Arial" w:eastAsia="Arial" w:hAnsi="Arial"/>
                <w:sz w:val="21"/>
                <w:szCs w:val="21"/>
                <w:color w:val="auto"/>
                <w:vertAlign w:val="superscript"/>
              </w:rPr>
              <w:t>(6)</w:t>
            </w: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86.0%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107.4 %</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76.5 %</w:t>
            </w:r>
          </w:p>
        </w:tc>
        <w:tc>
          <w:tcPr>
            <w:tcW w:w="1360" w:type="dxa"/>
            <w:vAlign w:val="bottom"/>
            <w:gridSpan w:val="3"/>
          </w:tcPr>
          <w:p>
            <w:pPr>
              <w:jc w:val="right"/>
              <w:ind w:right="300"/>
              <w:spacing w:after="0"/>
              <w:rPr>
                <w:sz w:val="20"/>
                <w:szCs w:val="20"/>
                <w:color w:val="auto"/>
              </w:rPr>
            </w:pPr>
            <w:r>
              <w:rPr>
                <w:rFonts w:ascii="Arial" w:cs="Arial" w:eastAsia="Arial" w:hAnsi="Arial"/>
                <w:sz w:val="14"/>
                <w:szCs w:val="14"/>
                <w:color w:val="auto"/>
              </w:rPr>
              <w:t>-3090bps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-950bps</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86.0%</w:t>
            </w:r>
          </w:p>
        </w:tc>
        <w:tc>
          <w:tcPr>
            <w:tcW w:w="4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76.5%</w:t>
            </w: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-950bps</w:t>
            </w:r>
          </w:p>
        </w:tc>
        <w:tc>
          <w:tcPr>
            <w:tcW w:w="0" w:type="dxa"/>
            <w:vAlign w:val="bottom"/>
          </w:tcPr>
          <w:p>
            <w:pPr>
              <w:spacing w:after="0"/>
              <w:rPr>
                <w:sz w:val="1"/>
                <w:szCs w:val="1"/>
                <w:color w:val="auto"/>
              </w:rPr>
            </w:pPr>
          </w:p>
        </w:tc>
      </w:tr>
      <w:tr>
        <w:trPr>
          <w:trHeight w:val="184"/>
        </w:trPr>
        <w:tc>
          <w:tcPr>
            <w:tcW w:w="2600" w:type="dxa"/>
            <w:vAlign w:val="bottom"/>
            <w:gridSpan w:val="2"/>
            <w:shd w:val="clear" w:color="auto" w:fill="CCEEFF"/>
          </w:tcPr>
          <w:p>
            <w:pPr>
              <w:spacing w:after="0" w:line="184" w:lineRule="exact"/>
              <w:rPr>
                <w:sz w:val="20"/>
                <w:szCs w:val="20"/>
                <w:color w:val="auto"/>
              </w:rPr>
            </w:pPr>
            <w:r>
              <w:rPr>
                <w:rFonts w:ascii="Arial" w:cs="Arial" w:eastAsia="Arial" w:hAnsi="Arial"/>
                <w:sz w:val="13"/>
                <w:szCs w:val="13"/>
                <w:b w:val="1"/>
                <w:bCs w:val="1"/>
                <w:color w:val="auto"/>
              </w:rPr>
              <w:t xml:space="preserve">Capital adequacy - BCP Stand-alone </w:t>
            </w:r>
            <w:r>
              <w:rPr>
                <w:rFonts w:ascii="Arial" w:cs="Arial" w:eastAsia="Arial" w:hAnsi="Arial"/>
                <w:sz w:val="21"/>
                <w:szCs w:val="21"/>
                <w:b w:val="1"/>
                <w:bCs w:val="1"/>
                <w:color w:val="auto"/>
                <w:vertAlign w:val="superscript"/>
              </w:rPr>
              <w:t>(7)</w:t>
            </w: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00" w:type="dxa"/>
            <w:vAlign w:val="bottom"/>
            <w:gridSpan w:val="2"/>
          </w:tcPr>
          <w:p>
            <w:pPr>
              <w:spacing w:after="0" w:line="184" w:lineRule="exact"/>
              <w:rPr>
                <w:sz w:val="20"/>
                <w:szCs w:val="20"/>
                <w:color w:val="auto"/>
              </w:rPr>
            </w:pPr>
            <w:r>
              <w:rPr>
                <w:rFonts w:ascii="Arial" w:cs="Arial" w:eastAsia="Arial" w:hAnsi="Arial"/>
                <w:sz w:val="13"/>
                <w:szCs w:val="13"/>
                <w:color w:val="auto"/>
              </w:rPr>
              <w:t xml:space="preserve">BIS ratio </w:t>
            </w:r>
            <w:r>
              <w:rPr>
                <w:rFonts w:ascii="Arial" w:cs="Arial" w:eastAsia="Arial" w:hAnsi="Arial"/>
                <w:sz w:val="21"/>
                <w:szCs w:val="21"/>
                <w:color w:val="auto"/>
                <w:vertAlign w:val="superscript"/>
              </w:rPr>
              <w:t>(8)</w:t>
            </w: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15.39%</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15.34 %</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15.16 %</w:t>
            </w:r>
          </w:p>
        </w:tc>
        <w:tc>
          <w:tcPr>
            <w:tcW w:w="1360" w:type="dxa"/>
            <w:vAlign w:val="bottom"/>
            <w:gridSpan w:val="3"/>
          </w:tcPr>
          <w:p>
            <w:pPr>
              <w:jc w:val="right"/>
              <w:ind w:right="300"/>
              <w:spacing w:after="0"/>
              <w:rPr>
                <w:sz w:val="20"/>
                <w:szCs w:val="20"/>
                <w:color w:val="auto"/>
              </w:rPr>
            </w:pPr>
            <w:r>
              <w:rPr>
                <w:rFonts w:ascii="Arial" w:cs="Arial" w:eastAsia="Arial" w:hAnsi="Arial"/>
                <w:sz w:val="14"/>
                <w:szCs w:val="14"/>
                <w:color w:val="auto"/>
              </w:rPr>
              <w:t>-18bps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-23bps</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15.39%</w:t>
            </w:r>
          </w:p>
        </w:tc>
        <w:tc>
          <w:tcPr>
            <w:tcW w:w="4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15.16%</w:t>
            </w: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-23bps</w:t>
            </w:r>
          </w:p>
        </w:tc>
        <w:tc>
          <w:tcPr>
            <w:tcW w:w="0" w:type="dxa"/>
            <w:vAlign w:val="bottom"/>
          </w:tcPr>
          <w:p>
            <w:pPr>
              <w:spacing w:after="0"/>
              <w:rPr>
                <w:sz w:val="1"/>
                <w:szCs w:val="1"/>
                <w:color w:val="auto"/>
              </w:rPr>
            </w:pPr>
          </w:p>
        </w:tc>
      </w:tr>
      <w:tr>
        <w:trPr>
          <w:trHeight w:val="184"/>
        </w:trPr>
        <w:tc>
          <w:tcPr>
            <w:tcW w:w="2600" w:type="dxa"/>
            <w:vAlign w:val="bottom"/>
            <w:gridSpan w:val="2"/>
            <w:shd w:val="clear" w:color="auto" w:fill="CCEEFF"/>
          </w:tcPr>
          <w:p>
            <w:pPr>
              <w:spacing w:after="0" w:line="184" w:lineRule="exact"/>
              <w:rPr>
                <w:sz w:val="20"/>
                <w:szCs w:val="20"/>
                <w:color w:val="auto"/>
              </w:rPr>
            </w:pPr>
            <w:r>
              <w:rPr>
                <w:rFonts w:ascii="Arial" w:cs="Arial" w:eastAsia="Arial" w:hAnsi="Arial"/>
                <w:sz w:val="13"/>
                <w:szCs w:val="13"/>
                <w:color w:val="auto"/>
              </w:rPr>
              <w:t xml:space="preserve">Tier 1 ratio </w:t>
            </w:r>
            <w:r>
              <w:rPr>
                <w:rFonts w:ascii="Arial" w:cs="Arial" w:eastAsia="Arial" w:hAnsi="Arial"/>
                <w:sz w:val="21"/>
                <w:szCs w:val="21"/>
                <w:color w:val="auto"/>
                <w:vertAlign w:val="superscript"/>
              </w:rPr>
              <w:t>(9)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10.70 %</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10.31 %</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10.00 %</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-31bps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-70bps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10.70%</w:t>
            </w:r>
          </w:p>
        </w:tc>
        <w:tc>
          <w:tcPr>
            <w:tcW w:w="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-70bps</w:t>
            </w:r>
          </w:p>
        </w:tc>
        <w:tc>
          <w:tcPr>
            <w:tcW w:w="0" w:type="dxa"/>
            <w:vAlign w:val="bottom"/>
          </w:tcPr>
          <w:p>
            <w:pPr>
              <w:spacing w:after="0"/>
              <w:rPr>
                <w:sz w:val="1"/>
                <w:szCs w:val="1"/>
                <w:color w:val="auto"/>
              </w:rPr>
            </w:pPr>
          </w:p>
        </w:tc>
      </w:tr>
      <w:tr>
        <w:trPr>
          <w:trHeight w:val="184"/>
        </w:trPr>
        <w:tc>
          <w:tcPr>
            <w:tcW w:w="2600" w:type="dxa"/>
            <w:vAlign w:val="bottom"/>
            <w:gridSpan w:val="2"/>
          </w:tcPr>
          <w:p>
            <w:pPr>
              <w:spacing w:after="0" w:line="184" w:lineRule="exact"/>
              <w:rPr>
                <w:sz w:val="20"/>
                <w:szCs w:val="20"/>
                <w:color w:val="auto"/>
              </w:rPr>
            </w:pPr>
            <w:r>
              <w:rPr>
                <w:rFonts w:ascii="Arial" w:cs="Arial" w:eastAsia="Arial" w:hAnsi="Arial"/>
                <w:sz w:val="13"/>
                <w:szCs w:val="13"/>
                <w:color w:val="auto"/>
              </w:rPr>
              <w:t xml:space="preserve">Common equity tier 1 ratio </w:t>
            </w:r>
            <w:r>
              <w:rPr>
                <w:rFonts w:ascii="Arial" w:cs="Arial" w:eastAsia="Arial" w:hAnsi="Arial"/>
                <w:sz w:val="21"/>
                <w:szCs w:val="21"/>
                <w:color w:val="auto"/>
                <w:vertAlign w:val="superscript"/>
              </w:rPr>
              <w:t>(10)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11.45 %</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11.23 %</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11.10 %</w:t>
            </w:r>
          </w:p>
        </w:tc>
        <w:tc>
          <w:tcPr>
            <w:tcW w:w="1360" w:type="dxa"/>
            <w:vAlign w:val="bottom"/>
            <w:gridSpan w:val="3"/>
          </w:tcPr>
          <w:p>
            <w:pPr>
              <w:jc w:val="right"/>
              <w:ind w:right="300"/>
              <w:spacing w:after="0"/>
              <w:rPr>
                <w:sz w:val="20"/>
                <w:szCs w:val="20"/>
                <w:color w:val="auto"/>
              </w:rPr>
            </w:pPr>
            <w:r>
              <w:rPr>
                <w:rFonts w:ascii="Arial" w:cs="Arial" w:eastAsia="Arial" w:hAnsi="Arial"/>
                <w:sz w:val="14"/>
                <w:szCs w:val="14"/>
                <w:color w:val="auto"/>
              </w:rPr>
              <w:t>-13bps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-35bps</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11.45%</w:t>
            </w:r>
          </w:p>
        </w:tc>
        <w:tc>
          <w:tcPr>
            <w:tcW w:w="4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11.10%</w:t>
            </w: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-35bps</w:t>
            </w:r>
          </w:p>
        </w:tc>
        <w:tc>
          <w:tcPr>
            <w:tcW w:w="0" w:type="dxa"/>
            <w:vAlign w:val="bottom"/>
          </w:tcPr>
          <w:p>
            <w:pPr>
              <w:spacing w:after="0"/>
              <w:rPr>
                <w:sz w:val="1"/>
                <w:szCs w:val="1"/>
                <w:color w:val="auto"/>
              </w:rPr>
            </w:pPr>
          </w:p>
        </w:tc>
      </w:tr>
      <w:tr>
        <w:trPr>
          <w:trHeight w:val="184"/>
        </w:trPr>
        <w:tc>
          <w:tcPr>
            <w:tcW w:w="2600" w:type="dxa"/>
            <w:vAlign w:val="bottom"/>
            <w:gridSpan w:val="2"/>
            <w:shd w:val="clear" w:color="auto" w:fill="CCEEFF"/>
          </w:tcPr>
          <w:p>
            <w:pPr>
              <w:spacing w:after="0" w:line="184" w:lineRule="exact"/>
              <w:rPr>
                <w:sz w:val="20"/>
                <w:szCs w:val="20"/>
                <w:color w:val="auto"/>
              </w:rPr>
            </w:pPr>
            <w:r>
              <w:rPr>
                <w:rFonts w:ascii="Arial" w:cs="Arial" w:eastAsia="Arial" w:hAnsi="Arial"/>
                <w:sz w:val="13"/>
                <w:szCs w:val="13"/>
                <w:b w:val="1"/>
                <w:bCs w:val="1"/>
                <w:color w:val="auto"/>
              </w:rPr>
              <w:t xml:space="preserve">Capital adequacy - Mibanco </w:t>
            </w:r>
            <w:r>
              <w:rPr>
                <w:rFonts w:ascii="Arial" w:cs="Arial" w:eastAsia="Arial" w:hAnsi="Arial"/>
                <w:sz w:val="21"/>
                <w:szCs w:val="21"/>
                <w:b w:val="1"/>
                <w:bCs w:val="1"/>
                <w:color w:val="auto"/>
                <w:vertAlign w:val="superscript"/>
              </w:rPr>
              <w:t>(7)</w:t>
            </w: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00" w:type="dxa"/>
            <w:vAlign w:val="bottom"/>
            <w:gridSpan w:val="2"/>
          </w:tcPr>
          <w:p>
            <w:pPr>
              <w:spacing w:after="0" w:line="184" w:lineRule="exact"/>
              <w:rPr>
                <w:sz w:val="20"/>
                <w:szCs w:val="20"/>
                <w:color w:val="auto"/>
              </w:rPr>
            </w:pPr>
            <w:r>
              <w:rPr>
                <w:rFonts w:ascii="Arial" w:cs="Arial" w:eastAsia="Arial" w:hAnsi="Arial"/>
                <w:sz w:val="13"/>
                <w:szCs w:val="13"/>
                <w:color w:val="auto"/>
              </w:rPr>
              <w:t xml:space="preserve">BIS ratio </w:t>
            </w:r>
            <w:r>
              <w:rPr>
                <w:rFonts w:ascii="Arial" w:cs="Arial" w:eastAsia="Arial" w:hAnsi="Arial"/>
                <w:sz w:val="21"/>
                <w:szCs w:val="21"/>
                <w:color w:val="auto"/>
                <w:vertAlign w:val="superscript"/>
              </w:rPr>
              <w:t>(8)</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17.69 %</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17.22 %</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16.79 %</w:t>
            </w:r>
          </w:p>
        </w:tc>
        <w:tc>
          <w:tcPr>
            <w:tcW w:w="1360" w:type="dxa"/>
            <w:vAlign w:val="bottom"/>
            <w:gridSpan w:val="3"/>
          </w:tcPr>
          <w:p>
            <w:pPr>
              <w:jc w:val="right"/>
              <w:ind w:right="300"/>
              <w:spacing w:after="0"/>
              <w:rPr>
                <w:sz w:val="20"/>
                <w:szCs w:val="20"/>
                <w:color w:val="auto"/>
              </w:rPr>
            </w:pPr>
            <w:r>
              <w:rPr>
                <w:rFonts w:ascii="Arial" w:cs="Arial" w:eastAsia="Arial" w:hAnsi="Arial"/>
                <w:sz w:val="14"/>
                <w:szCs w:val="14"/>
                <w:color w:val="auto"/>
              </w:rPr>
              <w:t>-43bps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-90bps</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17.69%</w:t>
            </w:r>
          </w:p>
        </w:tc>
        <w:tc>
          <w:tcPr>
            <w:tcW w:w="4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16.79%</w:t>
            </w: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-90bps</w:t>
            </w:r>
          </w:p>
        </w:tc>
        <w:tc>
          <w:tcPr>
            <w:tcW w:w="0" w:type="dxa"/>
            <w:vAlign w:val="bottom"/>
          </w:tcPr>
          <w:p>
            <w:pPr>
              <w:spacing w:after="0"/>
              <w:rPr>
                <w:sz w:val="1"/>
                <w:szCs w:val="1"/>
                <w:color w:val="auto"/>
              </w:rPr>
            </w:pPr>
          </w:p>
        </w:tc>
      </w:tr>
      <w:tr>
        <w:trPr>
          <w:trHeight w:val="184"/>
        </w:trPr>
        <w:tc>
          <w:tcPr>
            <w:tcW w:w="2600" w:type="dxa"/>
            <w:vAlign w:val="bottom"/>
            <w:gridSpan w:val="2"/>
            <w:shd w:val="clear" w:color="auto" w:fill="CCEEFF"/>
          </w:tcPr>
          <w:p>
            <w:pPr>
              <w:spacing w:after="0" w:line="184" w:lineRule="exact"/>
              <w:rPr>
                <w:sz w:val="20"/>
                <w:szCs w:val="20"/>
                <w:color w:val="auto"/>
              </w:rPr>
            </w:pPr>
            <w:r>
              <w:rPr>
                <w:rFonts w:ascii="Arial" w:cs="Arial" w:eastAsia="Arial" w:hAnsi="Arial"/>
                <w:sz w:val="13"/>
                <w:szCs w:val="13"/>
                <w:color w:val="auto"/>
              </w:rPr>
              <w:t xml:space="preserve">Tier 1 ratio </w:t>
            </w:r>
            <w:r>
              <w:rPr>
                <w:rFonts w:ascii="Arial" w:cs="Arial" w:eastAsia="Arial" w:hAnsi="Arial"/>
                <w:sz w:val="21"/>
                <w:szCs w:val="21"/>
                <w:color w:val="auto"/>
                <w:vertAlign w:val="superscript"/>
              </w:rPr>
              <w:t>(9)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15.47 %</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14.66 %</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14.30 %</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-36bps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-117bps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15.47%</w:t>
            </w:r>
          </w:p>
        </w:tc>
        <w:tc>
          <w:tcPr>
            <w:tcW w:w="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14.30%</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-117bps</w:t>
            </w:r>
          </w:p>
        </w:tc>
        <w:tc>
          <w:tcPr>
            <w:tcW w:w="0" w:type="dxa"/>
            <w:vAlign w:val="bottom"/>
          </w:tcPr>
          <w:p>
            <w:pPr>
              <w:spacing w:after="0"/>
              <w:rPr>
                <w:sz w:val="1"/>
                <w:szCs w:val="1"/>
                <w:color w:val="auto"/>
              </w:rPr>
            </w:pPr>
          </w:p>
        </w:tc>
      </w:tr>
      <w:tr>
        <w:trPr>
          <w:trHeight w:val="184"/>
        </w:trPr>
        <w:tc>
          <w:tcPr>
            <w:tcW w:w="2600" w:type="dxa"/>
            <w:vAlign w:val="bottom"/>
            <w:gridSpan w:val="2"/>
          </w:tcPr>
          <w:p>
            <w:pPr>
              <w:spacing w:after="0" w:line="184" w:lineRule="exact"/>
              <w:rPr>
                <w:sz w:val="20"/>
                <w:szCs w:val="20"/>
                <w:color w:val="auto"/>
              </w:rPr>
            </w:pPr>
            <w:r>
              <w:rPr>
                <w:rFonts w:ascii="Arial" w:cs="Arial" w:eastAsia="Arial" w:hAnsi="Arial"/>
                <w:sz w:val="13"/>
                <w:szCs w:val="13"/>
                <w:color w:val="auto"/>
              </w:rPr>
              <w:t xml:space="preserve">Common equity tier 1 ratio </w:t>
            </w:r>
            <w:r>
              <w:rPr>
                <w:rFonts w:ascii="Arial" w:cs="Arial" w:eastAsia="Arial" w:hAnsi="Arial"/>
                <w:sz w:val="21"/>
                <w:szCs w:val="21"/>
                <w:color w:val="auto"/>
                <w:vertAlign w:val="superscript"/>
              </w:rPr>
              <w:t>(10)</w:t>
            </w: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16.22%</w:t>
            </w: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15.26%</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15.15 %</w:t>
            </w:r>
          </w:p>
        </w:tc>
        <w:tc>
          <w:tcPr>
            <w:tcW w:w="1360" w:type="dxa"/>
            <w:vAlign w:val="bottom"/>
            <w:gridSpan w:val="3"/>
          </w:tcPr>
          <w:p>
            <w:pPr>
              <w:jc w:val="right"/>
              <w:ind w:right="300"/>
              <w:spacing w:after="0"/>
              <w:rPr>
                <w:sz w:val="20"/>
                <w:szCs w:val="20"/>
                <w:color w:val="auto"/>
              </w:rPr>
            </w:pPr>
            <w:r>
              <w:rPr>
                <w:rFonts w:ascii="Arial" w:cs="Arial" w:eastAsia="Arial" w:hAnsi="Arial"/>
                <w:sz w:val="14"/>
                <w:szCs w:val="14"/>
                <w:color w:val="auto"/>
              </w:rPr>
              <w:t>-11bps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-107bps</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16.22%</w:t>
            </w:r>
          </w:p>
        </w:tc>
        <w:tc>
          <w:tcPr>
            <w:tcW w:w="4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15.15%</w:t>
            </w: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-107bps</w:t>
            </w:r>
          </w:p>
        </w:tc>
        <w:tc>
          <w:tcPr>
            <w:tcW w:w="0" w:type="dxa"/>
            <w:vAlign w:val="bottom"/>
          </w:tcPr>
          <w:p>
            <w:pPr>
              <w:spacing w:after="0"/>
              <w:rPr>
                <w:sz w:val="1"/>
                <w:szCs w:val="1"/>
                <w:color w:val="auto"/>
              </w:rPr>
            </w:pPr>
          </w:p>
        </w:tc>
      </w:tr>
      <w:tr>
        <w:trPr>
          <w:trHeight w:val="144"/>
        </w:trPr>
        <w:tc>
          <w:tcPr>
            <w:tcW w:w="260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Employees</w:t>
            </w:r>
          </w:p>
        </w:tc>
        <w:tc>
          <w:tcPr>
            <w:tcW w:w="10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37,572</w:t>
            </w:r>
          </w:p>
        </w:tc>
        <w:tc>
          <w:tcPr>
            <w:tcW w:w="10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35,776</w:t>
            </w:r>
          </w:p>
        </w:tc>
        <w:tc>
          <w:tcPr>
            <w:tcW w:w="10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35,733</w:t>
            </w:r>
          </w:p>
        </w:tc>
        <w:tc>
          <w:tcPr>
            <w:tcW w:w="12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-0.1%</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-4.9%</w:t>
            </w:r>
          </w:p>
        </w:tc>
        <w:tc>
          <w:tcPr>
            <w:tcW w:w="100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37,572</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35,733</w:t>
            </w:r>
          </w:p>
        </w:tc>
        <w:tc>
          <w:tcPr>
            <w:tcW w:w="13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4"/>
        </w:trPr>
        <w:tc>
          <w:tcPr>
            <w:tcW w:w="260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Share Information</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Issued Shares</w:t>
            </w:r>
          </w:p>
        </w:tc>
        <w:tc>
          <w:tcPr>
            <w:tcW w:w="10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94,382</w:t>
            </w:r>
          </w:p>
        </w:tc>
        <w:tc>
          <w:tcPr>
            <w:tcW w:w="10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94,382</w:t>
            </w:r>
          </w:p>
        </w:tc>
        <w:tc>
          <w:tcPr>
            <w:tcW w:w="10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94,382</w:t>
            </w:r>
          </w:p>
        </w:tc>
        <w:tc>
          <w:tcPr>
            <w:tcW w:w="12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0.0%</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0.0%</w:t>
            </w:r>
          </w:p>
        </w:tc>
        <w:tc>
          <w:tcPr>
            <w:tcW w:w="100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94,382</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94,382</w:t>
            </w:r>
          </w:p>
        </w:tc>
        <w:tc>
          <w:tcPr>
            <w:tcW w:w="13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84"/>
        </w:trPr>
        <w:tc>
          <w:tcPr>
            <w:tcW w:w="2600" w:type="dxa"/>
            <w:vAlign w:val="bottom"/>
            <w:gridSpan w:val="2"/>
          </w:tcPr>
          <w:p>
            <w:pPr>
              <w:spacing w:after="0" w:line="184" w:lineRule="exact"/>
              <w:rPr>
                <w:sz w:val="20"/>
                <w:szCs w:val="20"/>
                <w:color w:val="auto"/>
              </w:rPr>
            </w:pPr>
            <w:r>
              <w:rPr>
                <w:rFonts w:ascii="Arial" w:cs="Arial" w:eastAsia="Arial" w:hAnsi="Arial"/>
                <w:sz w:val="13"/>
                <w:szCs w:val="13"/>
                <w:color w:val="auto"/>
              </w:rPr>
              <w:t xml:space="preserve">Treasury Shares </w:t>
            </w:r>
            <w:r>
              <w:rPr>
                <w:rFonts w:ascii="Arial" w:cs="Arial" w:eastAsia="Arial" w:hAnsi="Arial"/>
                <w:sz w:val="21"/>
                <w:szCs w:val="21"/>
                <w:color w:val="auto"/>
                <w:vertAlign w:val="superscript"/>
              </w:rPr>
              <w:t>(11)</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14,977</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14,866</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14,866</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0.0%</w:t>
            </w:r>
          </w:p>
        </w:tc>
        <w:tc>
          <w:tcPr>
            <w:tcW w:w="1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-0.7%</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14,977</w:t>
            </w:r>
          </w:p>
        </w:tc>
        <w:tc>
          <w:tcPr>
            <w:tcW w:w="4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14,866</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4"/>
        </w:trPr>
        <w:tc>
          <w:tcPr>
            <w:tcW w:w="260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Outstanding Shares</w:t>
            </w:r>
          </w:p>
        </w:tc>
        <w:tc>
          <w:tcPr>
            <w:tcW w:w="10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79,405</w:t>
            </w:r>
          </w:p>
        </w:tc>
        <w:tc>
          <w:tcPr>
            <w:tcW w:w="10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79,516</w:t>
            </w:r>
          </w:p>
        </w:tc>
        <w:tc>
          <w:tcPr>
            <w:tcW w:w="10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79,516</w:t>
            </w:r>
          </w:p>
        </w:tc>
        <w:tc>
          <w:tcPr>
            <w:tcW w:w="12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0.0%</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0.1%</w:t>
            </w:r>
          </w:p>
        </w:tc>
        <w:tc>
          <w:tcPr>
            <w:tcW w:w="100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79,405</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79,516</w:t>
            </w:r>
          </w:p>
        </w:tc>
        <w:tc>
          <w:tcPr>
            <w:tcW w:w="13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5"/>
        <w:spacing w:after="0" w:line="250" w:lineRule="auto"/>
        <w:tabs>
          <w:tab w:leader="none" w:pos="259"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Internal overdue loans includes overdue loans and loans under legal collection, according to our internal policy for overdue loans. Internal Overdue ratio: Internal overdue loans / Total loans.</w:t>
      </w:r>
    </w:p>
    <w:p>
      <w:pPr>
        <w:ind w:left="260" w:hanging="255"/>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Non-performing loans (NPL): Internal overdue loans + Refinanced loans. NPL ratio: NPL / Total loans.</w:t>
      </w:r>
    </w:p>
    <w:p>
      <w:pPr>
        <w:spacing w:after="0" w:line="3" w:lineRule="exact"/>
        <w:rPr>
          <w:rFonts w:ascii="Arial" w:cs="Arial" w:eastAsia="Arial" w:hAnsi="Arial"/>
          <w:sz w:val="18"/>
          <w:szCs w:val="18"/>
          <w:color w:val="auto"/>
        </w:rPr>
      </w:pPr>
    </w:p>
    <w:p>
      <w:pPr>
        <w:ind w:left="260" w:hanging="255"/>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Cost of risk: Annualized provision for loan losses, net of recoveries / Total loans.</w:t>
      </w:r>
    </w:p>
    <w:p>
      <w:pPr>
        <w:spacing w:after="0" w:line="3" w:lineRule="exact"/>
        <w:rPr>
          <w:rFonts w:ascii="Arial" w:cs="Arial" w:eastAsia="Arial" w:hAnsi="Arial"/>
          <w:sz w:val="18"/>
          <w:szCs w:val="18"/>
          <w:color w:val="auto"/>
        </w:rPr>
      </w:pPr>
    </w:p>
    <w:p>
      <w:pPr>
        <w:jc w:val="both"/>
        <w:ind w:firstLine="5"/>
        <w:spacing w:after="0" w:line="243" w:lineRule="auto"/>
        <w:tabs>
          <w:tab w:leader="none" w:pos="254"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Efficiency ratio = (Salaries and employee benefits + Administrative expenses + Depreciation and amortization + Association in participation + Acquisition cost) / (Net interest, similar income and expenses + Fee Income + Net gain on foreign exchange transaction + Net Gain From associates + Net gain on derivatives held for trading + Result on exchange differences + Net Premiums Earned).</w:t>
      </w:r>
    </w:p>
    <w:p>
      <w:pPr>
        <w:spacing w:after="0" w:line="1" w:lineRule="exact"/>
        <w:rPr>
          <w:rFonts w:ascii="Arial" w:cs="Arial" w:eastAsia="Arial" w:hAnsi="Arial"/>
          <w:sz w:val="18"/>
          <w:szCs w:val="18"/>
          <w:color w:val="auto"/>
        </w:rPr>
      </w:pPr>
    </w:p>
    <w:p>
      <w:pPr>
        <w:ind w:firstLine="5"/>
        <w:spacing w:after="0" w:line="243" w:lineRule="auto"/>
        <w:tabs>
          <w:tab w:leader="none" w:pos="252"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Combined ratio = (Net claims / Net earned premiums) + [(Acquisition cost + Operating expenses) / Net earned premiums]. Does not include Life insurance business.</w:t>
      </w:r>
    </w:p>
    <w:p>
      <w:pPr>
        <w:ind w:left="260" w:hanging="255"/>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Considers Grupo Pacifico's figures before eliminations for consolidation to Credicorp.</w:t>
      </w:r>
    </w:p>
    <w:p>
      <w:pPr>
        <w:spacing w:after="0" w:line="3" w:lineRule="exact"/>
        <w:rPr>
          <w:rFonts w:ascii="Arial" w:cs="Arial" w:eastAsia="Arial" w:hAnsi="Arial"/>
          <w:sz w:val="18"/>
          <w:szCs w:val="18"/>
          <w:color w:val="auto"/>
        </w:rPr>
      </w:pPr>
    </w:p>
    <w:p>
      <w:pPr>
        <w:ind w:left="260" w:hanging="255"/>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Capital ratios are for BCP Stand-alone and based on Peru GAAP.</w:t>
      </w:r>
    </w:p>
    <w:p>
      <w:pPr>
        <w:spacing w:after="0" w:line="3" w:lineRule="exact"/>
        <w:rPr>
          <w:rFonts w:ascii="Arial" w:cs="Arial" w:eastAsia="Arial" w:hAnsi="Arial"/>
          <w:sz w:val="18"/>
          <w:szCs w:val="18"/>
          <w:color w:val="auto"/>
        </w:rPr>
      </w:pPr>
    </w:p>
    <w:p>
      <w:pPr>
        <w:ind w:left="260" w:hanging="255"/>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Capital / Risk-weighted assets (legal minimum = 10% since July 2011).</w:t>
      </w:r>
    </w:p>
    <w:p>
      <w:pPr>
        <w:spacing w:after="0" w:line="3" w:lineRule="exact"/>
        <w:rPr>
          <w:rFonts w:ascii="Arial" w:cs="Arial" w:eastAsia="Arial" w:hAnsi="Arial"/>
          <w:sz w:val="18"/>
          <w:szCs w:val="18"/>
          <w:color w:val="auto"/>
        </w:rPr>
      </w:pPr>
    </w:p>
    <w:p>
      <w:pPr>
        <w:jc w:val="both"/>
        <w:ind w:firstLine="5"/>
        <w:spacing w:after="0" w:line="274" w:lineRule="auto"/>
        <w:tabs>
          <w:tab w:leader="none" w:pos="266" w:val="left"/>
        </w:tabs>
        <w:numPr>
          <w:ilvl w:val="0"/>
          <w:numId w:val="2"/>
        </w:numPr>
        <w:rPr>
          <w:rFonts w:ascii="Arial" w:cs="Arial" w:eastAsia="Arial" w:hAnsi="Arial"/>
          <w:sz w:val="16"/>
          <w:szCs w:val="16"/>
          <w:color w:val="auto"/>
        </w:rPr>
      </w:pPr>
      <w:r>
        <w:rPr>
          <w:rFonts w:ascii="Arial" w:cs="Arial" w:eastAsia="Arial" w:hAnsi="Arial"/>
          <w:sz w:val="16"/>
          <w:szCs w:val="16"/>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firstLine="5"/>
        <w:spacing w:after="0" w:line="243" w:lineRule="auto"/>
        <w:tabs>
          <w:tab w:leader="none" w:pos="338"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spacing w:after="0" w:line="274" w:lineRule="auto"/>
        <w:rPr>
          <w:rFonts w:ascii="Arial" w:cs="Arial" w:eastAsia="Arial" w:hAnsi="Arial"/>
          <w:sz w:val="18"/>
          <w:szCs w:val="18"/>
          <w:color w:val="auto"/>
        </w:rPr>
      </w:pPr>
      <w:r>
        <w:rPr>
          <w:rFonts w:ascii="Arial" w:cs="Arial" w:eastAsia="Arial" w:hAnsi="Arial"/>
          <w:sz w:val="16"/>
          <w:szCs w:val="16"/>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ind w:left="340" w:hanging="335"/>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These shares are held by Atlantic Security Holding Corporation (ASHC) and for shared based payments.</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355600</wp:posOffset>
            </wp:positionV>
            <wp:extent cx="7136130" cy="7544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7544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8"/>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1.  Interest-earning assets (IEA)</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As of</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92"/>
              </w:rPr>
              <w:t>% change</w:t>
            </w:r>
          </w:p>
        </w:tc>
        <w:tc>
          <w:tcPr>
            <w:tcW w:w="7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Sep 20</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Jun 21</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Sep 21</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18"/>
                <w:szCs w:val="18"/>
                <w:color w:val="auto"/>
              </w:rPr>
            </w:pPr>
          </w:p>
        </w:tc>
      </w:tr>
      <w:tr>
        <w:trPr>
          <w:trHeight w:val="203"/>
        </w:trPr>
        <w:tc>
          <w:tcPr>
            <w:tcW w:w="50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Cash and due from banks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28,219,512</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29,058,684</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36,137,443</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rPr>
              <w:t>24.4%</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28.1%</w:t>
            </w:r>
          </w:p>
        </w:tc>
      </w:tr>
      <w:tr>
        <w:trPr>
          <w:trHeight w:val="210"/>
        </w:trPr>
        <w:tc>
          <w:tcPr>
            <w:tcW w:w="516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2,031</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16,790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9,782</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-41.7%</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381.6%</w:t>
            </w:r>
          </w:p>
        </w:tc>
      </w:tr>
      <w:tr>
        <w:trPr>
          <w:trHeight w:val="210"/>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51,648,986</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54,772,644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48,110,456</w:t>
            </w:r>
          </w:p>
        </w:tc>
        <w:tc>
          <w:tcPr>
            <w:tcW w:w="1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-12.2%</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198"/>
        </w:trPr>
        <w:tc>
          <w:tcPr>
            <w:tcW w:w="5160" w:type="dxa"/>
            <w:vAlign w:val="bottom"/>
            <w:gridSpan w:val="2"/>
          </w:tcPr>
          <w:p>
            <w:pPr>
              <w:spacing w:after="0" w:line="198" w:lineRule="exact"/>
              <w:rPr>
                <w:sz w:val="20"/>
                <w:szCs w:val="20"/>
                <w:color w:val="auto"/>
              </w:rPr>
            </w:pPr>
            <w:r>
              <w:rPr>
                <w:rFonts w:ascii="Arial" w:cs="Arial" w:eastAsia="Arial" w:hAnsi="Arial"/>
                <w:sz w:val="18"/>
                <w:szCs w:val="18"/>
                <w:color w:val="auto"/>
              </w:rPr>
              <w:t>Cash collateral, reverse repurchase agreements and securities</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borrowing</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2,821,116</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1,616,654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2,555,337</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58.1%</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211"/>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assets designated at fair value through profit or loss</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729,059</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921,851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981,508</w:t>
            </w:r>
          </w:p>
        </w:tc>
        <w:tc>
          <w:tcPr>
            <w:tcW w:w="1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136,148,711</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143,091,752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146,551,226</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04"/>
        </w:trPr>
        <w:tc>
          <w:tcPr>
            <w:tcW w:w="5160" w:type="dxa"/>
            <w:vAlign w:val="bottom"/>
            <w:tcBorders>
              <w:top w:val="single" w:sz="8" w:color="CCEEFF"/>
            </w:tcBorders>
            <w:gridSpan w:val="2"/>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Total interest earning assets</w:t>
            </w:r>
          </w:p>
        </w:tc>
        <w:tc>
          <w:tcPr>
            <w:tcW w:w="9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w w:val="95"/>
              </w:rPr>
              <w:t>219,569,415</w:t>
            </w: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w w:val="97"/>
              </w:rPr>
              <w:t>229,478,375</w:t>
            </w: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w w:val="97"/>
              </w:rPr>
              <w:t>234,345,752</w:t>
            </w: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2.1</w:t>
            </w:r>
          </w:p>
        </w:tc>
        <w:tc>
          <w:tcPr>
            <w:tcW w:w="280" w:type="dxa"/>
            <w:vAlign w:val="bottom"/>
            <w:tcBorders>
              <w:top w:val="single" w:sz="8" w:color="CCEEFF"/>
            </w:tcBorders>
            <w:shd w:val="clear" w:color="auto" w:fill="CCEEFF"/>
          </w:tcPr>
          <w:p>
            <w:pPr>
              <w:jc w:val="right"/>
              <w:ind w:right="32"/>
              <w:spacing w:after="0" w:line="204" w:lineRule="exact"/>
              <w:rPr>
                <w:sz w:val="20"/>
                <w:szCs w:val="20"/>
                <w:color w:val="auto"/>
              </w:rPr>
            </w:pPr>
            <w:r>
              <w:rPr>
                <w:rFonts w:ascii="Arial" w:cs="Arial" w:eastAsia="Arial" w:hAnsi="Arial"/>
                <w:sz w:val="18"/>
                <w:szCs w:val="18"/>
                <w:b w:val="1"/>
                <w:bCs w:val="1"/>
                <w:color w:val="auto"/>
                <w:w w:val="87"/>
              </w:rPr>
              <w:t>%</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6.7</w:t>
            </w:r>
          </w:p>
        </w:tc>
        <w:tc>
          <w:tcPr>
            <w:tcW w:w="180" w:type="dxa"/>
            <w:vAlign w:val="bottom"/>
            <w:tcBorders>
              <w:top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w w:val="99"/>
              </w:rPr>
              <w:t>%</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Structure and Evolution of IEA</w:t>
      </w:r>
    </w:p>
    <w:p>
      <w:pPr>
        <w:spacing w:after="0" w:line="213"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IEA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1675765" cy="19088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75765" cy="190881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both"/>
        <w:ind w:left="2860"/>
        <w:spacing w:after="0" w:line="328" w:lineRule="auto"/>
        <w:rPr>
          <w:sz w:val="20"/>
          <w:szCs w:val="20"/>
          <w:color w:val="auto"/>
        </w:rPr>
      </w:pPr>
      <w:r>
        <w:rPr>
          <w:rFonts w:ascii="Arial" w:cs="Arial" w:eastAsia="Arial" w:hAnsi="Arial"/>
          <w:sz w:val="16"/>
          <w:szCs w:val="16"/>
          <w:color w:val="auto"/>
        </w:rPr>
        <w:t>At the end of September 2021, loans, our most profitable asset, represented 62.5% of IEAs, followed by investments with 20.5% and other assets</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with 16.9%. IEAs increased +2.1% QoQ and +6.7% YoY thanks to loan growth.</w:t>
      </w:r>
    </w:p>
    <w:p>
      <w:pPr>
        <w:spacing w:after="0" w:line="9" w:lineRule="exact"/>
        <w:rPr>
          <w:sz w:val="20"/>
          <w:szCs w:val="20"/>
          <w:color w:val="auto"/>
        </w:rPr>
      </w:pPr>
    </w:p>
    <w:p>
      <w:pPr>
        <w:jc w:val="both"/>
        <w:ind w:left="2860"/>
        <w:spacing w:after="0" w:line="290" w:lineRule="auto"/>
        <w:rPr>
          <w:sz w:val="20"/>
          <w:szCs w:val="20"/>
          <w:color w:val="auto"/>
        </w:rPr>
      </w:pPr>
      <w:r>
        <w:rPr>
          <w:rFonts w:ascii="Arial" w:cs="Arial" w:eastAsia="Arial" w:hAnsi="Arial"/>
          <w:sz w:val="16"/>
          <w:szCs w:val="16"/>
          <w:color w:val="auto"/>
        </w:rPr>
        <w:t>Loans continued to increase their share of total IEAs, spurred by structural disbursements and the exchange rate effect, while government loans (GP) continued to post a decrease in their share of the IEA structure. The share of government loans within total IEAs fell from 11.1% in Sept-20 to 10.0% in June-21 and 9.0% in Sept-21. Structural loans, in turn, registered a share of 51.0% of total IEAs in Sept-20; 52.3% in June-21; and 53.6% in Sept-21.</w:t>
      </w:r>
    </w:p>
    <w:p>
      <w:pPr>
        <w:spacing w:after="0" w:line="161" w:lineRule="exact"/>
        <w:rPr>
          <w:sz w:val="20"/>
          <w:szCs w:val="20"/>
          <w:color w:val="auto"/>
        </w:rPr>
      </w:pPr>
    </w:p>
    <w:p>
      <w:pPr>
        <w:jc w:val="both"/>
        <w:ind w:left="2860"/>
        <w:spacing w:after="0" w:line="260" w:lineRule="auto"/>
        <w:rPr>
          <w:sz w:val="20"/>
          <w:szCs w:val="20"/>
          <w:color w:val="auto"/>
        </w:rPr>
      </w:pPr>
      <w:r>
        <w:rPr>
          <w:rFonts w:ascii="Arial" w:cs="Arial" w:eastAsia="Arial" w:hAnsi="Arial"/>
          <w:sz w:val="18"/>
          <w:szCs w:val="18"/>
          <w:color w:val="auto"/>
        </w:rPr>
        <w:t>The share of investments of total IEAs fell while that of liquid assets increased, because of the expiration of certificate of deposits, which were not renewed.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Loans (Quarter-end Balances)</w:t>
      </w:r>
    </w:p>
    <w:p>
      <w:pPr>
        <w:spacing w:after="0" w:line="21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It is important to note that both the QoQ and YoY increases in loans was largely attributable to an exchange rate effect, which was fueled by the +7.2% and +14.9% appreciation of the US Dollar against the Sol QoQ and YoY respectively.</w:t>
      </w:r>
    </w:p>
    <w:p>
      <w:pPr>
        <w:spacing w:after="0" w:line="18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QoQ, loans in quarter-end balances increased +2.4% and structural loans, +4.5%. Both of these metrics were driven by the exchange rate effect. If we exclude the effect, total loans grew +0.1% QoQ and structural loans, 1.7%. The aforementioned was driven by:</w:t>
      </w:r>
    </w:p>
    <w:p>
      <w:pPr>
        <w:spacing w:after="0" w:line="182" w:lineRule="exact"/>
        <w:rPr>
          <w:sz w:val="20"/>
          <w:szCs w:val="20"/>
          <w:color w:val="auto"/>
        </w:rPr>
      </w:pPr>
    </w:p>
    <w:p>
      <w:pPr>
        <w:ind w:left="820" w:hanging="500"/>
        <w:spacing w:after="0" w:line="26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Structural growth was led by Wholesale Banking at BCP Stand-alone and was spurred by economic reactivation and financing demand from the corporate segment.</w:t>
      </w:r>
    </w:p>
    <w:p>
      <w:pPr>
        <w:spacing w:after="0" w:line="181" w:lineRule="exact"/>
        <w:rPr>
          <w:rFonts w:ascii="Arial" w:cs="Arial" w:eastAsia="Arial" w:hAnsi="Arial"/>
          <w:sz w:val="18"/>
          <w:szCs w:val="18"/>
          <w:color w:val="auto"/>
        </w:rPr>
      </w:pPr>
    </w:p>
    <w:p>
      <w:pPr>
        <w:ind w:left="820" w:hanging="500"/>
        <w:spacing w:after="0" w:line="26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the structural portfolio of Retail Banking was driven primarily by the SME-Business and SME-Pyme segments and secondarily by the Mortgage segment.</w:t>
      </w:r>
    </w:p>
    <w:p>
      <w:pPr>
        <w:spacing w:after="0" w:line="181" w:lineRule="exact"/>
        <w:rPr>
          <w:rFonts w:ascii="Arial" w:cs="Arial" w:eastAsia="Arial" w:hAnsi="Arial"/>
          <w:sz w:val="18"/>
          <w:szCs w:val="18"/>
          <w:color w:val="auto"/>
        </w:rPr>
      </w:pPr>
    </w:p>
    <w:p>
      <w:pPr>
        <w:ind w:left="820" w:hanging="500"/>
        <w:spacing w:after="0" w:line="26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Mibanco’s portfolio reported a structural increase of +4.1%. This was fueled by an uptick in disbursements, which topped pre-pandemic levels this quarter.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GP loans in quarter-end balances fell -8.6% QoQ.</w:t>
      </w:r>
    </w:p>
    <w:p>
      <w:pPr>
        <w:spacing w:after="0" w:line="213"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Similar to the quarterly evolution, total loans measured in quarter-end balances in YoY terms rose +7.6% while structural loans expanded +12.2% due to an increase in the exchange rate. If we exclude the exchange rate effect, total loans grew +2.8% and structural loans, +6.3%. This was attributable to:</w:t>
      </w:r>
    </w:p>
    <w:p>
      <w:pPr>
        <w:spacing w:after="0" w:line="135" w:lineRule="exact"/>
        <w:rPr>
          <w:sz w:val="20"/>
          <w:szCs w:val="20"/>
          <w:color w:val="auto"/>
        </w:rPr>
      </w:pPr>
    </w:p>
    <w:p>
      <w:pPr>
        <w:ind w:left="820" w:hanging="500"/>
        <w:spacing w:after="0" w:line="323" w:lineRule="auto"/>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Growth in the Wholesale Banking portfolio, which was driven by an uptick in disbursements due to: a reactivation of internal demand and a subsequent increase in financing demand; and the impulse provided by the fishing and agricultural campaigns that began at the end of 2Q21.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17837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286" w:lineRule="exact"/>
        <w:rPr>
          <w:sz w:val="20"/>
          <w:szCs w:val="20"/>
          <w:color w:val="auto"/>
        </w:rPr>
      </w:pPr>
    </w:p>
    <w:p>
      <w:pPr>
        <w:ind w:firstLine="5"/>
        <w:spacing w:after="0" w:line="191" w:lineRule="auto"/>
        <w:tabs>
          <w:tab w:leader="none" w:pos="15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Includes Cash and Due from Banks; Interbank Funds; Cash Collateral,reverse repurchase agreements, and securities borrowings, and Financial Assets designated at fair value through profit or loss.</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361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2" w:name="page13"/>
    <w:bookmarkEnd w:id="12"/>
    <w:p>
      <w:pPr>
        <w:ind w:left="820" w:hanging="500"/>
        <w:spacing w:after="0" w:line="260"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Growth in the Retail Banking portfolio, which was led primarily by Mortgage and secondarily by SME-Business, SME-Pyme and Consumer. The Credit Card segment registered a decrease in loan balances.</w:t>
      </w:r>
    </w:p>
    <w:p>
      <w:pPr>
        <w:spacing w:after="0" w:line="181" w:lineRule="exact"/>
        <w:rPr>
          <w:rFonts w:ascii="Arial" w:cs="Arial" w:eastAsia="Arial" w:hAnsi="Arial"/>
          <w:sz w:val="18"/>
          <w:szCs w:val="18"/>
          <w:color w:val="auto"/>
        </w:rPr>
      </w:pPr>
    </w:p>
    <w:p>
      <w:pPr>
        <w:ind w:left="820" w:hanging="500"/>
        <w:spacing w:after="0" w:line="260"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Growth of 13.5% in the Mibanco portfolio, which continued to follow an upward trend to top the disbursement levels reported pre-pandemic this quarter.</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GP loans fell -13.4% YoY.</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20"/>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As of</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92"/>
              </w:rPr>
              <w:t>% change</w:t>
            </w:r>
          </w:p>
        </w:tc>
        <w:tc>
          <w:tcPr>
            <w:tcW w:w="7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7"/>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Sep 20</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Jun 21</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Sep 21</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EEFF"/>
            </w:tcBorders>
          </w:tcPr>
          <w:p>
            <w:pPr>
              <w:spacing w:after="0"/>
              <w:rPr>
                <w:sz w:val="18"/>
                <w:szCs w:val="18"/>
                <w:color w:val="auto"/>
              </w:rPr>
            </w:pPr>
          </w:p>
        </w:tc>
      </w:tr>
      <w:tr>
        <w:trPr>
          <w:trHeight w:val="203"/>
        </w:trPr>
        <w:tc>
          <w:tcPr>
            <w:tcW w:w="50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Fair value through profit or loss investments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6,658,680</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6,791,288</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6,660,487</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0.0%</w:t>
            </w:r>
          </w:p>
        </w:tc>
      </w:tr>
      <w:tr>
        <w:trPr>
          <w:trHeight w:val="210"/>
        </w:trPr>
        <w:tc>
          <w:tcPr>
            <w:tcW w:w="5160" w:type="dxa"/>
            <w:vAlign w:val="bottom"/>
            <w:gridSpan w:val="2"/>
          </w:tcPr>
          <w:p>
            <w:pPr>
              <w:spacing w:after="0"/>
              <w:rPr>
                <w:sz w:val="20"/>
                <w:szCs w:val="20"/>
                <w:color w:val="auto"/>
              </w:rPr>
            </w:pPr>
            <w:r>
              <w:rPr>
                <w:rFonts w:ascii="Arial" w:cs="Arial" w:eastAsia="Arial" w:hAnsi="Arial"/>
                <w:sz w:val="18"/>
                <w:szCs w:val="18"/>
                <w:color w:val="auto"/>
              </w:rPr>
              <w:t>Fair value through other comprehensive income investments</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40,712,831</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40,273,400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33,262,618</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-18.3%</w:t>
            </w:r>
          </w:p>
        </w:tc>
      </w:tr>
      <w:tr>
        <w:trPr>
          <w:trHeight w:val="223"/>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Amortized cost investments</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4,277,475</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7,707,956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8,187,351</w:t>
            </w:r>
          </w:p>
        </w:tc>
        <w:tc>
          <w:tcPr>
            <w:tcW w:w="1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91.4%</w:t>
            </w:r>
          </w:p>
        </w:tc>
      </w:tr>
      <w:tr>
        <w:trPr>
          <w:trHeight w:val="203"/>
        </w:trPr>
        <w:tc>
          <w:tcPr>
            <w:tcW w:w="516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Total investments</w:t>
            </w: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51,648,986</w:t>
            </w:r>
          </w:p>
        </w:tc>
        <w:tc>
          <w:tcPr>
            <w:tcW w:w="220" w:type="dxa"/>
            <w:vAlign w:val="bottom"/>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54,772,644</w:t>
            </w:r>
          </w:p>
        </w:tc>
        <w:tc>
          <w:tcPr>
            <w:tcW w:w="200" w:type="dxa"/>
            <w:vAlign w:val="bottom"/>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48,110,456</w:t>
            </w:r>
          </w:p>
        </w:tc>
        <w:tc>
          <w:tcPr>
            <w:tcW w:w="220" w:type="dxa"/>
            <w:vAlign w:val="bottom"/>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-12.2</w:t>
            </w:r>
          </w:p>
        </w:tc>
        <w:tc>
          <w:tcPr>
            <w:tcW w:w="280" w:type="dxa"/>
            <w:vAlign w:val="bottom"/>
          </w:tcPr>
          <w:p>
            <w:pPr>
              <w:jc w:val="right"/>
              <w:ind w:right="32"/>
              <w:spacing w:after="0" w:line="203" w:lineRule="exact"/>
              <w:rPr>
                <w:sz w:val="20"/>
                <w:szCs w:val="20"/>
                <w:color w:val="auto"/>
              </w:rPr>
            </w:pPr>
            <w:r>
              <w:rPr>
                <w:rFonts w:ascii="Arial" w:cs="Arial" w:eastAsia="Arial" w:hAnsi="Arial"/>
                <w:sz w:val="18"/>
                <w:szCs w:val="18"/>
                <w:b w:val="1"/>
                <w:bCs w:val="1"/>
                <w:color w:val="auto"/>
                <w:w w:val="87"/>
              </w:rPr>
              <w:t>%</w:t>
            </w:r>
          </w:p>
        </w:tc>
        <w:tc>
          <w:tcPr>
            <w:tcW w:w="2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-6.9</w:t>
            </w:r>
          </w:p>
        </w:tc>
        <w:tc>
          <w:tcPr>
            <w:tcW w:w="1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w w:val="87"/>
              </w:rPr>
              <w:t>%</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Total investments fell -12.2% QoQ and -6.9% YoY. Both results were driven by a strategy to reduce exposure to interest rate movements by selling investments in the 2Q21, and to expirations of certificate of deposits in the 3Q21, which were not renewed.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IEA</w:t>
      </w:r>
    </w:p>
    <w:p>
      <w:pPr>
        <w:spacing w:after="0" w:line="21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Available funds increased 24.4% QoQ and 28.1% YoY. This evolution was attributable to an influx of cash driven by (i) expirations of certificates of deposits that were not subsequently renewed and (ii) growth in deposits after clients withdrew savings from pensions funds.</w:t>
      </w:r>
    </w:p>
    <w:p>
      <w:pPr>
        <w:sectPr>
          <w:pgSz w:w="11900" w:h="16838" w:orient="portrait"/>
          <w:cols w:equalWidth="0" w:num="1">
            <w:col w:w="11240"/>
          </w:cols>
          <w:pgMar w:left="320" w:top="889" w:right="339" w:bottom="1440" w:gutter="0" w:footer="0" w:header="0"/>
        </w:sectPr>
      </w:pP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1.2. Credicorp Loans</w:t>
      </w:r>
    </w:p>
    <w:p>
      <w:pPr>
        <w:spacing w:after="0" w:line="21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5"/>
          <w:szCs w:val="15"/>
          <w:b w:val="1"/>
          <w:bCs w:val="1"/>
          <w:color w:val="auto"/>
        </w:rPr>
        <w:t>Evolution of loans in average daily balances (ADB)</w:t>
      </w:r>
    </w:p>
    <w:p>
      <w:pPr>
        <w:spacing w:after="0" w:line="21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ADB of loans show growth of +4.8% QoQ and +9.0% YoY. Similar to the scenario described above for quarter-end balances, the most significant driver of growth was the uptick in the exchange rate. This impacted the most dollarized portfolios such as Wholesale Banking, and businesses such as Mibanco Colombia and BCP Bolivia, which make disbursements in FC.</w:t>
      </w:r>
    </w:p>
    <w:p>
      <w:pPr>
        <w:spacing w:after="0" w:line="16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we exclude the exchange rate effect, QoQ growth in structural loans was mainly attributable to the evolution of Wholesale Banking and YoY, to an increase in balances in the Middle Market, Mortgage, SME-Pyme and Consumer segments at BCP Stand-alone and to growth in balances at Mibanco.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i w:val="1"/>
          <w:iCs w:val="1"/>
          <w:color w:val="auto"/>
        </w:rPr>
        <w:t>ADB balances provide the most complete picture of how loan interest, which constitutes Credicorp’s primary source of income, has evolved. Additionally, average daily balances reflect trends or variations to a different degree than quarter-end balances which may include pre-payments or loans made at the end of the quarter. In comparative terms, these payments, affect average daily balances less than quarter-end balances and as such, the former provide a more balanced picture of loan evolution.</w:t>
      </w:r>
    </w:p>
    <w:p>
      <w:pPr>
        <w:spacing w:after="0" w:line="1007" w:lineRule="exact"/>
        <w:rPr>
          <w:sz w:val="20"/>
          <w:szCs w:val="20"/>
          <w:color w:val="auto"/>
        </w:rPr>
      </w:pPr>
    </w:p>
    <w:p>
      <w:pPr>
        <w:sectPr>
          <w:pgSz w:w="11900" w:h="16838" w:orient="portrait"/>
          <w:cols w:equalWidth="0" w:num="2">
            <w:col w:w="5400" w:space="460"/>
            <w:col w:w="5380"/>
          </w:cols>
          <w:pgMar w:left="320" w:top="889" w:right="339" w:bottom="1440" w:gutter="0" w:footer="0" w:header="0"/>
          <w:type w:val="continuous"/>
        </w:sectPr>
      </w:pPr>
    </w:p>
    <w:p>
      <w:pPr>
        <w:spacing w:after="0"/>
        <w:rPr>
          <w:sz w:val="20"/>
          <w:szCs w:val="20"/>
          <w:color w:val="auto"/>
        </w:rPr>
      </w:pPr>
      <w:r>
        <w:rPr>
          <w:rFonts w:ascii="Arial" w:cs="Arial" w:eastAsia="Arial" w:hAnsi="Arial"/>
          <w:sz w:val="16"/>
          <w:szCs w:val="16"/>
          <w:color w:val="auto"/>
        </w:rPr>
        <w:t>It is important to note that structural loans registered higher growth than total loans QoQ, which reflects the gradual amortization of government loans.</w:t>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 xml:space="preserve">Evolution of loans in ADB by business segment </w:t>
      </w:r>
      <w:r>
        <w:rPr>
          <w:rFonts w:ascii="Arial" w:cs="Arial" w:eastAsia="Arial" w:hAnsi="Arial"/>
          <w:sz w:val="29"/>
          <w:szCs w:val="29"/>
          <w:b w:val="1"/>
          <w:bCs w:val="1"/>
          <w:color w:val="auto"/>
          <w:vertAlign w:val="superscript"/>
        </w:rPr>
        <w:t>(1)(2)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4"/>
          </w:tcPr>
          <w:p>
            <w:pPr>
              <w:ind w:left="120"/>
              <w:spacing w:after="0"/>
              <w:rPr>
                <w:sz w:val="20"/>
                <w:szCs w:val="20"/>
                <w:color w:val="auto"/>
              </w:rPr>
            </w:pPr>
            <w:r>
              <w:rPr>
                <w:rFonts w:ascii="Arial" w:cs="Arial" w:eastAsia="Arial" w:hAnsi="Arial"/>
                <w:sz w:val="12"/>
                <w:szCs w:val="12"/>
                <w:b w:val="1"/>
                <w:bCs w:val="1"/>
                <w:color w:val="auto"/>
              </w:rPr>
              <w:t>TOTAL LOANS</w:t>
            </w: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right"/>
              <w:ind w:right="479"/>
              <w:spacing w:after="0"/>
              <w:rPr>
                <w:sz w:val="20"/>
                <w:szCs w:val="20"/>
                <w:color w:val="auto"/>
              </w:rPr>
            </w:pPr>
            <w:r>
              <w:rPr>
                <w:rFonts w:ascii="Arial" w:cs="Arial" w:eastAsia="Arial" w:hAnsi="Arial"/>
                <w:sz w:val="12"/>
                <w:szCs w:val="12"/>
                <w:b w:val="1"/>
                <w:bCs w:val="1"/>
                <w:color w:val="auto"/>
              </w:rPr>
              <w:t>% change</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8"/>
        </w:trPr>
        <w:tc>
          <w:tcPr>
            <w:tcW w:w="1840" w:type="dxa"/>
            <w:vAlign w:val="bottom"/>
          </w:tcPr>
          <w:p>
            <w:pPr>
              <w:spacing w:after="0"/>
              <w:rPr>
                <w:sz w:val="11"/>
                <w:szCs w:val="11"/>
                <w:color w:val="auto"/>
              </w:rPr>
            </w:pPr>
          </w:p>
        </w:tc>
        <w:tc>
          <w:tcPr>
            <w:tcW w:w="1980" w:type="dxa"/>
            <w:vAlign w:val="bottom"/>
            <w:gridSpan w:val="6"/>
          </w:tcPr>
          <w:p>
            <w:pPr>
              <w:jc w:val="right"/>
              <w:ind w:right="540"/>
              <w:spacing w:after="0"/>
              <w:rPr>
                <w:sz w:val="20"/>
                <w:szCs w:val="20"/>
                <w:color w:val="auto"/>
              </w:rPr>
            </w:pPr>
            <w:r>
              <w:rPr>
                <w:rFonts w:ascii="Arial" w:cs="Arial" w:eastAsia="Arial" w:hAnsi="Arial"/>
                <w:sz w:val="12"/>
                <w:szCs w:val="12"/>
                <w:i w:val="1"/>
                <w:iCs w:val="1"/>
                <w:color w:val="auto"/>
              </w:rPr>
              <w:t>Expressed in million S/</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Structural</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5"/>
          </w:tcPr>
          <w:p>
            <w:pPr>
              <w:ind w:left="300"/>
              <w:spacing w:after="0"/>
              <w:rPr>
                <w:sz w:val="20"/>
                <w:szCs w:val="20"/>
                <w:color w:val="auto"/>
              </w:rPr>
            </w:pPr>
            <w:r>
              <w:rPr>
                <w:rFonts w:ascii="Arial" w:cs="Arial" w:eastAsia="Arial" w:hAnsi="Arial"/>
                <w:sz w:val="12"/>
                <w:szCs w:val="12"/>
                <w:b w:val="1"/>
                <w:bCs w:val="1"/>
                <w:color w:val="auto"/>
              </w:rPr>
              <w:t>% change</w:t>
            </w:r>
          </w:p>
        </w:tc>
        <w:tc>
          <w:tcPr>
            <w:tcW w:w="1380" w:type="dxa"/>
            <w:vAlign w:val="bottom"/>
            <w:gridSpan w:val="4"/>
          </w:tcPr>
          <w:p>
            <w:pPr>
              <w:jc w:val="right"/>
              <w:ind w:right="479"/>
              <w:spacing w:after="0"/>
              <w:rPr>
                <w:sz w:val="20"/>
                <w:szCs w:val="20"/>
                <w:color w:val="auto"/>
              </w:rPr>
            </w:pPr>
            <w:r>
              <w:rPr>
                <w:rFonts w:ascii="Arial" w:cs="Arial" w:eastAsia="Arial" w:hAnsi="Arial"/>
                <w:sz w:val="12"/>
                <w:szCs w:val="12"/>
                <w:b w:val="1"/>
                <w:bCs w:val="1"/>
                <w:color w:val="auto"/>
              </w:rPr>
              <w:t>Structural</w:t>
            </w:r>
          </w:p>
        </w:tc>
        <w:tc>
          <w:tcPr>
            <w:tcW w:w="2040" w:type="dxa"/>
            <w:vAlign w:val="bottom"/>
            <w:gridSpan w:val="6"/>
          </w:tcPr>
          <w:p>
            <w:pPr>
              <w:jc w:val="right"/>
              <w:ind w:right="519"/>
              <w:spacing w:after="0"/>
              <w:rPr>
                <w:sz w:val="20"/>
                <w:szCs w:val="20"/>
                <w:color w:val="auto"/>
              </w:rPr>
            </w:pPr>
            <w:r>
              <w:rPr>
                <w:rFonts w:ascii="Arial" w:cs="Arial" w:eastAsia="Arial" w:hAnsi="Arial"/>
                <w:sz w:val="12"/>
                <w:szCs w:val="12"/>
                <w:b w:val="1"/>
                <w:bCs w:val="1"/>
                <w:color w:val="auto"/>
              </w:rPr>
              <w:t>% Part. in total loans</w:t>
            </w:r>
          </w:p>
        </w:tc>
        <w:tc>
          <w:tcPr>
            <w:tcW w:w="680" w:type="dxa"/>
            <w:vAlign w:val="bottom"/>
            <w:gridSpan w:val="2"/>
          </w:tcPr>
          <w:p>
            <w:pPr>
              <w:jc w:val="right"/>
              <w:ind w:right="79"/>
              <w:spacing w:after="0"/>
              <w:rPr>
                <w:sz w:val="20"/>
                <w:szCs w:val="20"/>
                <w:color w:val="auto"/>
              </w:rPr>
            </w:pPr>
            <w:r>
              <w:rPr>
                <w:rFonts w:ascii="Arial" w:cs="Arial" w:eastAsia="Arial" w:hAnsi="Arial"/>
                <w:sz w:val="12"/>
                <w:szCs w:val="12"/>
                <w:b w:val="1"/>
                <w:bCs w:val="1"/>
                <w:color w:val="auto"/>
                <w:w w:val="91"/>
              </w:rPr>
              <w:t>Structural</w:t>
            </w:r>
          </w:p>
        </w:tc>
      </w:tr>
      <w:tr>
        <w:trPr>
          <w:trHeight w:val="138"/>
        </w:trPr>
        <w:tc>
          <w:tcPr>
            <w:tcW w:w="1840" w:type="dxa"/>
            <w:vAlign w:val="bottom"/>
            <w:tcBorders>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3Q20</w:t>
            </w:r>
          </w:p>
        </w:tc>
        <w:tc>
          <w:tcPr>
            <w:tcW w:w="220" w:type="dxa"/>
            <w:vAlign w:val="bottom"/>
            <w:tcBorders>
              <w:top w:val="single" w:sz="8" w:color="auto"/>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2Q21</w:t>
            </w:r>
          </w:p>
        </w:tc>
        <w:tc>
          <w:tcPr>
            <w:tcW w:w="220" w:type="dxa"/>
            <w:vAlign w:val="bottom"/>
            <w:tcBorders>
              <w:top w:val="single" w:sz="8" w:color="auto"/>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3Q21</w:t>
            </w:r>
          </w:p>
        </w:tc>
        <w:tc>
          <w:tcPr>
            <w:tcW w:w="220" w:type="dxa"/>
            <w:vAlign w:val="bottom"/>
            <w:tcBorders>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3Q20</w:t>
            </w:r>
          </w:p>
        </w:tc>
        <w:tc>
          <w:tcPr>
            <w:tcW w:w="8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2Q21</w:t>
            </w:r>
          </w:p>
        </w:tc>
        <w:tc>
          <w:tcPr>
            <w:tcW w:w="20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3Q21</w:t>
            </w:r>
          </w:p>
        </w:tc>
        <w:tc>
          <w:tcPr>
            <w:tcW w:w="200" w:type="dxa"/>
            <w:vAlign w:val="bottom"/>
            <w:tcBorders>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2"/>
                <w:szCs w:val="12"/>
                <w:b w:val="1"/>
                <w:bCs w:val="1"/>
                <w:color w:val="auto"/>
              </w:rPr>
              <w:t>QoQ</w:t>
            </w:r>
          </w:p>
        </w:tc>
        <w:tc>
          <w:tcPr>
            <w:tcW w:w="24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YoY</w:t>
            </w:r>
          </w:p>
        </w:tc>
        <w:tc>
          <w:tcPr>
            <w:tcW w:w="220" w:type="dxa"/>
            <w:vAlign w:val="bottom"/>
            <w:tcBorders>
              <w:bottom w:val="single" w:sz="8" w:color="CCEEFF"/>
            </w:tcBorders>
            <w:gridSpan w:val="2"/>
          </w:tcPr>
          <w:p>
            <w:pPr>
              <w:spacing w:after="0"/>
              <w:rPr>
                <w:sz w:val="11"/>
                <w:szCs w:val="11"/>
                <w:color w:val="auto"/>
              </w:rPr>
            </w:pPr>
          </w:p>
        </w:tc>
        <w:tc>
          <w:tcPr>
            <w:tcW w:w="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QoQ</w:t>
            </w:r>
          </w:p>
        </w:tc>
        <w:tc>
          <w:tcPr>
            <w:tcW w:w="22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YoY</w:t>
            </w:r>
          </w:p>
        </w:tc>
        <w:tc>
          <w:tcPr>
            <w:tcW w:w="240" w:type="dxa"/>
            <w:vAlign w:val="bottom"/>
            <w:tcBorders>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3Q20</w:t>
            </w:r>
          </w:p>
        </w:tc>
        <w:tc>
          <w:tcPr>
            <w:tcW w:w="240" w:type="dxa"/>
            <w:vAlign w:val="bottom"/>
            <w:tcBorders>
              <w:top w:val="single" w:sz="8" w:color="auto"/>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2Q21</w:t>
            </w:r>
          </w:p>
        </w:tc>
        <w:tc>
          <w:tcPr>
            <w:tcW w:w="240" w:type="dxa"/>
            <w:vAlign w:val="bottom"/>
            <w:tcBorders>
              <w:top w:val="single" w:sz="8" w:color="auto"/>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3Q21</w:t>
            </w:r>
          </w:p>
        </w:tc>
        <w:tc>
          <w:tcPr>
            <w:tcW w:w="24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b w:val="1"/>
                <w:bCs w:val="1"/>
                <w:color w:val="auto"/>
              </w:rPr>
              <w:t>3Q21</w:t>
            </w:r>
          </w:p>
        </w:tc>
        <w:tc>
          <w:tcPr>
            <w:tcW w:w="120" w:type="dxa"/>
            <w:vAlign w:val="bottom"/>
            <w:tcBorders>
              <w:bottom w:val="single" w:sz="8" w:color="CCEEFF"/>
            </w:tcBorders>
          </w:tcPr>
          <w:p>
            <w:pPr>
              <w:spacing w:after="0"/>
              <w:rPr>
                <w:sz w:val="11"/>
                <w:szCs w:val="11"/>
                <w:color w:val="auto"/>
              </w:rPr>
            </w:pPr>
          </w:p>
        </w:tc>
      </w:tr>
      <w:tr>
        <w:trPr>
          <w:trHeight w:val="124"/>
        </w:trPr>
        <w:tc>
          <w:tcPr>
            <w:tcW w:w="1840" w:type="dxa"/>
            <w:vAlign w:val="bottom"/>
            <w:shd w:val="clear" w:color="auto" w:fill="CCEEFF"/>
          </w:tcPr>
          <w:p>
            <w:pPr>
              <w:spacing w:after="0" w:line="125" w:lineRule="exact"/>
              <w:rPr>
                <w:sz w:val="20"/>
                <w:szCs w:val="20"/>
                <w:color w:val="auto"/>
              </w:rPr>
            </w:pPr>
            <w:r>
              <w:rPr>
                <w:rFonts w:ascii="Arial" w:cs="Arial" w:eastAsia="Arial" w:hAnsi="Arial"/>
                <w:sz w:val="12"/>
                <w:szCs w:val="12"/>
                <w:b w:val="1"/>
                <w:bCs w:val="1"/>
                <w:color w:val="auto"/>
              </w:rPr>
              <w:t>BCP Stand-alone</w:t>
            </w:r>
          </w:p>
        </w:tc>
        <w:tc>
          <w:tcPr>
            <w:tcW w:w="44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b w:val="1"/>
                <w:bCs w:val="1"/>
                <w:color w:val="auto"/>
                <w:w w:val="96"/>
              </w:rPr>
              <w:t>111,385</w:t>
            </w: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b w:val="1"/>
                <w:bCs w:val="1"/>
                <w:color w:val="auto"/>
                <w:w w:val="96"/>
              </w:rPr>
              <w:t>114,614</w:t>
            </w: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b w:val="1"/>
                <w:bCs w:val="1"/>
                <w:color w:val="auto"/>
                <w:w w:val="96"/>
              </w:rPr>
              <w:t>120,754</w:t>
            </w: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b w:val="1"/>
                <w:bCs w:val="1"/>
                <w:color w:val="auto"/>
              </w:rPr>
              <w:t>93,444</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b w:val="1"/>
                <w:bCs w:val="1"/>
                <w:color w:val="auto"/>
              </w:rPr>
              <w:t>93,595</w:t>
            </w: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b w:val="1"/>
                <w:bCs w:val="1"/>
                <w:color w:val="auto"/>
              </w:rPr>
              <w:t>101,515</w:t>
            </w:r>
          </w:p>
        </w:tc>
        <w:tc>
          <w:tcPr>
            <w:tcW w:w="2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39"/>
              <w:spacing w:after="0" w:line="125" w:lineRule="exact"/>
              <w:rPr>
                <w:sz w:val="20"/>
                <w:szCs w:val="20"/>
                <w:color w:val="auto"/>
              </w:rPr>
            </w:pPr>
            <w:r>
              <w:rPr>
                <w:rFonts w:ascii="Arial" w:cs="Arial" w:eastAsia="Arial" w:hAnsi="Arial"/>
                <w:sz w:val="12"/>
                <w:szCs w:val="12"/>
                <w:b w:val="1"/>
                <w:bCs w:val="1"/>
                <w:color w:val="auto"/>
              </w:rPr>
              <w:t>5.4%</w:t>
            </w:r>
          </w:p>
        </w:tc>
        <w:tc>
          <w:tcPr>
            <w:tcW w:w="580" w:type="dxa"/>
            <w:vAlign w:val="bottom"/>
            <w:gridSpan w:val="2"/>
            <w:shd w:val="clear" w:color="auto" w:fill="CCEEFF"/>
          </w:tcPr>
          <w:p>
            <w:pPr>
              <w:jc w:val="right"/>
              <w:spacing w:after="0" w:line="125" w:lineRule="exact"/>
              <w:rPr>
                <w:sz w:val="20"/>
                <w:szCs w:val="20"/>
                <w:color w:val="auto"/>
              </w:rPr>
            </w:pPr>
            <w:r>
              <w:rPr>
                <w:rFonts w:ascii="Arial" w:cs="Arial" w:eastAsia="Arial" w:hAnsi="Arial"/>
                <w:sz w:val="12"/>
                <w:szCs w:val="12"/>
                <w:b w:val="1"/>
                <w:bCs w:val="1"/>
                <w:color w:val="auto"/>
              </w:rPr>
              <w:t>8.4%</w:t>
            </w: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39"/>
              <w:spacing w:after="0" w:line="125" w:lineRule="exact"/>
              <w:rPr>
                <w:sz w:val="20"/>
                <w:szCs w:val="20"/>
                <w:color w:val="auto"/>
              </w:rPr>
            </w:pPr>
            <w:r>
              <w:rPr>
                <w:rFonts w:ascii="Arial" w:cs="Arial" w:eastAsia="Arial" w:hAnsi="Arial"/>
                <w:sz w:val="12"/>
                <w:szCs w:val="12"/>
                <w:b w:val="1"/>
                <w:bCs w:val="1"/>
                <w:color w:val="auto"/>
              </w:rPr>
              <w:t>8.5%</w:t>
            </w:r>
          </w:p>
        </w:tc>
        <w:tc>
          <w:tcPr>
            <w:tcW w:w="700" w:type="dxa"/>
            <w:vAlign w:val="bottom"/>
            <w:gridSpan w:val="2"/>
            <w:shd w:val="clear" w:color="auto" w:fill="CCEEFF"/>
          </w:tcPr>
          <w:p>
            <w:pPr>
              <w:jc w:val="right"/>
              <w:ind w:right="59"/>
              <w:spacing w:after="0" w:line="125" w:lineRule="exact"/>
              <w:rPr>
                <w:sz w:val="20"/>
                <w:szCs w:val="20"/>
                <w:color w:val="auto"/>
              </w:rPr>
            </w:pPr>
            <w:r>
              <w:rPr>
                <w:rFonts w:ascii="Arial" w:cs="Arial" w:eastAsia="Arial" w:hAnsi="Arial"/>
                <w:sz w:val="12"/>
                <w:szCs w:val="12"/>
                <w:b w:val="1"/>
                <w:bCs w:val="1"/>
                <w:color w:val="auto"/>
              </w:rPr>
              <w:t>8.6%</w:t>
            </w:r>
          </w:p>
        </w:tc>
        <w:tc>
          <w:tcPr>
            <w:tcW w:w="680" w:type="dxa"/>
            <w:vAlign w:val="bottom"/>
            <w:gridSpan w:val="2"/>
            <w:shd w:val="clear" w:color="auto" w:fill="CCEEFF"/>
          </w:tcPr>
          <w:p>
            <w:pPr>
              <w:jc w:val="right"/>
              <w:ind w:right="59"/>
              <w:spacing w:after="0" w:line="125" w:lineRule="exact"/>
              <w:rPr>
                <w:sz w:val="20"/>
                <w:szCs w:val="20"/>
                <w:color w:val="auto"/>
              </w:rPr>
            </w:pPr>
            <w:r>
              <w:rPr>
                <w:rFonts w:ascii="Arial" w:cs="Arial" w:eastAsia="Arial" w:hAnsi="Arial"/>
                <w:sz w:val="12"/>
                <w:szCs w:val="12"/>
                <w:b w:val="1"/>
                <w:bCs w:val="1"/>
                <w:color w:val="auto"/>
              </w:rPr>
              <w:t>82.9%</w:t>
            </w:r>
          </w:p>
        </w:tc>
        <w:tc>
          <w:tcPr>
            <w:tcW w:w="680" w:type="dxa"/>
            <w:vAlign w:val="bottom"/>
            <w:gridSpan w:val="2"/>
            <w:shd w:val="clear" w:color="auto" w:fill="CCEEFF"/>
          </w:tcPr>
          <w:p>
            <w:pPr>
              <w:jc w:val="right"/>
              <w:ind w:right="59"/>
              <w:spacing w:after="0" w:line="125" w:lineRule="exact"/>
              <w:rPr>
                <w:sz w:val="20"/>
                <w:szCs w:val="20"/>
                <w:color w:val="auto"/>
              </w:rPr>
            </w:pPr>
            <w:r>
              <w:rPr>
                <w:rFonts w:ascii="Arial" w:cs="Arial" w:eastAsia="Arial" w:hAnsi="Arial"/>
                <w:sz w:val="12"/>
                <w:szCs w:val="12"/>
                <w:b w:val="1"/>
                <w:bCs w:val="1"/>
                <w:color w:val="auto"/>
              </w:rPr>
              <w:t>82.0%</w:t>
            </w:r>
          </w:p>
        </w:tc>
        <w:tc>
          <w:tcPr>
            <w:tcW w:w="680" w:type="dxa"/>
            <w:vAlign w:val="bottom"/>
            <w:gridSpan w:val="2"/>
            <w:shd w:val="clear" w:color="auto" w:fill="CCEEFF"/>
          </w:tcPr>
          <w:p>
            <w:pPr>
              <w:jc w:val="right"/>
              <w:ind w:right="59"/>
              <w:spacing w:after="0" w:line="125" w:lineRule="exact"/>
              <w:rPr>
                <w:sz w:val="20"/>
                <w:szCs w:val="20"/>
                <w:color w:val="auto"/>
              </w:rPr>
            </w:pPr>
            <w:r>
              <w:rPr>
                <w:rFonts w:ascii="Arial" w:cs="Arial" w:eastAsia="Arial" w:hAnsi="Arial"/>
                <w:sz w:val="12"/>
                <w:szCs w:val="12"/>
                <w:b w:val="1"/>
                <w:bCs w:val="1"/>
                <w:color w:val="auto"/>
              </w:rPr>
              <w:t>82.5%</w:t>
            </w:r>
          </w:p>
        </w:tc>
        <w:tc>
          <w:tcPr>
            <w:tcW w:w="680" w:type="dxa"/>
            <w:vAlign w:val="bottom"/>
            <w:gridSpan w:val="2"/>
            <w:shd w:val="clear" w:color="auto" w:fill="CCEEFF"/>
          </w:tcPr>
          <w:p>
            <w:pPr>
              <w:jc w:val="right"/>
              <w:spacing w:after="0" w:line="125" w:lineRule="exact"/>
              <w:rPr>
                <w:sz w:val="20"/>
                <w:szCs w:val="20"/>
                <w:color w:val="auto"/>
              </w:rPr>
            </w:pPr>
            <w:r>
              <w:rPr>
                <w:rFonts w:ascii="Arial" w:cs="Arial" w:eastAsia="Arial" w:hAnsi="Arial"/>
                <w:sz w:val="12"/>
                <w:szCs w:val="12"/>
                <w:b w:val="1"/>
                <w:bCs w:val="1"/>
                <w:color w:val="auto"/>
              </w:rPr>
              <w:t>81.5%</w:t>
            </w:r>
          </w:p>
        </w:tc>
      </w:tr>
      <w:tr>
        <w:trPr>
          <w:trHeight w:val="131"/>
        </w:trPr>
        <w:tc>
          <w:tcPr>
            <w:tcW w:w="184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Wholesale Banking</w:t>
            </w:r>
          </w:p>
        </w:tc>
        <w:tc>
          <w:tcPr>
            <w:tcW w:w="660" w:type="dxa"/>
            <w:vAlign w:val="bottom"/>
            <w:gridSpan w:val="2"/>
          </w:tcPr>
          <w:p>
            <w:pPr>
              <w:jc w:val="right"/>
              <w:ind w:right="220"/>
              <w:spacing w:after="0" w:line="132" w:lineRule="exact"/>
              <w:rPr>
                <w:sz w:val="20"/>
                <w:szCs w:val="20"/>
                <w:color w:val="auto"/>
              </w:rPr>
            </w:pPr>
            <w:r>
              <w:rPr>
                <w:rFonts w:ascii="Arial" w:cs="Arial" w:eastAsia="Arial" w:hAnsi="Arial"/>
                <w:sz w:val="12"/>
                <w:szCs w:val="12"/>
                <w:b w:val="1"/>
                <w:bCs w:val="1"/>
                <w:color w:val="auto"/>
              </w:rPr>
              <w:t>54,838</w:t>
            </w:r>
          </w:p>
        </w:tc>
        <w:tc>
          <w:tcPr>
            <w:tcW w:w="660" w:type="dxa"/>
            <w:vAlign w:val="bottom"/>
            <w:gridSpan w:val="2"/>
          </w:tcPr>
          <w:p>
            <w:pPr>
              <w:jc w:val="right"/>
              <w:ind w:right="220"/>
              <w:spacing w:after="0" w:line="132" w:lineRule="exact"/>
              <w:rPr>
                <w:sz w:val="20"/>
                <w:szCs w:val="20"/>
                <w:color w:val="auto"/>
              </w:rPr>
            </w:pPr>
            <w:r>
              <w:rPr>
                <w:rFonts w:ascii="Arial" w:cs="Arial" w:eastAsia="Arial" w:hAnsi="Arial"/>
                <w:sz w:val="12"/>
                <w:szCs w:val="12"/>
                <w:b w:val="1"/>
                <w:bCs w:val="1"/>
                <w:color w:val="auto"/>
              </w:rPr>
              <w:t>51,862</w:t>
            </w:r>
          </w:p>
        </w:tc>
        <w:tc>
          <w:tcPr>
            <w:tcW w:w="660" w:type="dxa"/>
            <w:vAlign w:val="bottom"/>
            <w:gridSpan w:val="2"/>
          </w:tcPr>
          <w:p>
            <w:pPr>
              <w:jc w:val="right"/>
              <w:ind w:right="220"/>
              <w:spacing w:after="0" w:line="132" w:lineRule="exact"/>
              <w:rPr>
                <w:sz w:val="20"/>
                <w:szCs w:val="20"/>
                <w:color w:val="auto"/>
              </w:rPr>
            </w:pPr>
            <w:r>
              <w:rPr>
                <w:rFonts w:ascii="Arial" w:cs="Arial" w:eastAsia="Arial" w:hAnsi="Arial"/>
                <w:sz w:val="12"/>
                <w:szCs w:val="12"/>
                <w:b w:val="1"/>
                <w:bCs w:val="1"/>
                <w:color w:val="auto"/>
              </w:rPr>
              <w:t>57,863</w:t>
            </w:r>
          </w:p>
        </w:tc>
        <w:tc>
          <w:tcPr>
            <w:tcW w:w="520" w:type="dxa"/>
            <w:vAlign w:val="bottom"/>
            <w:gridSpan w:val="2"/>
          </w:tcPr>
          <w:p>
            <w:pPr>
              <w:jc w:val="right"/>
              <w:ind w:right="80"/>
              <w:spacing w:after="0" w:line="132" w:lineRule="exact"/>
              <w:rPr>
                <w:sz w:val="20"/>
                <w:szCs w:val="20"/>
                <w:color w:val="auto"/>
              </w:rPr>
            </w:pPr>
            <w:r>
              <w:rPr>
                <w:rFonts w:ascii="Arial" w:cs="Arial" w:eastAsia="Arial" w:hAnsi="Arial"/>
                <w:sz w:val="12"/>
                <w:szCs w:val="12"/>
                <w:b w:val="1"/>
                <w:bCs w:val="1"/>
                <w:color w:val="auto"/>
              </w:rPr>
              <w:t>48,330</w:t>
            </w:r>
          </w:p>
        </w:tc>
        <w:tc>
          <w:tcPr>
            <w:tcW w:w="780" w:type="dxa"/>
            <w:vAlign w:val="bottom"/>
            <w:gridSpan w:val="3"/>
          </w:tcPr>
          <w:p>
            <w:pPr>
              <w:jc w:val="right"/>
              <w:ind w:right="200"/>
              <w:spacing w:after="0" w:line="132" w:lineRule="exact"/>
              <w:rPr>
                <w:sz w:val="20"/>
                <w:szCs w:val="20"/>
                <w:color w:val="auto"/>
              </w:rPr>
            </w:pPr>
            <w:r>
              <w:rPr>
                <w:rFonts w:ascii="Arial" w:cs="Arial" w:eastAsia="Arial" w:hAnsi="Arial"/>
                <w:sz w:val="12"/>
                <w:szCs w:val="12"/>
                <w:b w:val="1"/>
                <w:bCs w:val="1"/>
                <w:color w:val="auto"/>
              </w:rPr>
              <w:t>46,067</w:t>
            </w:r>
          </w:p>
        </w:tc>
        <w:tc>
          <w:tcPr>
            <w:tcW w:w="660" w:type="dxa"/>
            <w:vAlign w:val="bottom"/>
            <w:gridSpan w:val="2"/>
          </w:tcPr>
          <w:p>
            <w:pPr>
              <w:jc w:val="right"/>
              <w:ind w:right="200"/>
              <w:spacing w:after="0" w:line="132" w:lineRule="exact"/>
              <w:rPr>
                <w:sz w:val="20"/>
                <w:szCs w:val="20"/>
                <w:color w:val="auto"/>
              </w:rPr>
            </w:pPr>
            <w:r>
              <w:rPr>
                <w:rFonts w:ascii="Arial" w:cs="Arial" w:eastAsia="Arial" w:hAnsi="Arial"/>
                <w:sz w:val="12"/>
                <w:szCs w:val="12"/>
                <w:b w:val="1"/>
                <w:bCs w:val="1"/>
                <w:color w:val="auto"/>
              </w:rPr>
              <w:t>53,080</w:t>
            </w:r>
          </w:p>
        </w:tc>
        <w:tc>
          <w:tcPr>
            <w:tcW w:w="680" w:type="dxa"/>
            <w:vAlign w:val="bottom"/>
            <w:gridSpan w:val="2"/>
          </w:tcPr>
          <w:p>
            <w:pPr>
              <w:jc w:val="right"/>
              <w:ind w:right="39"/>
              <w:spacing w:after="0" w:line="132" w:lineRule="exact"/>
              <w:rPr>
                <w:sz w:val="20"/>
                <w:szCs w:val="20"/>
                <w:color w:val="auto"/>
              </w:rPr>
            </w:pPr>
            <w:r>
              <w:rPr>
                <w:rFonts w:ascii="Arial" w:cs="Arial" w:eastAsia="Arial" w:hAnsi="Arial"/>
                <w:sz w:val="12"/>
                <w:szCs w:val="12"/>
                <w:b w:val="1"/>
                <w:bCs w:val="1"/>
                <w:color w:val="auto"/>
              </w:rPr>
              <w:t>11.6%</w:t>
            </w:r>
          </w:p>
        </w:tc>
        <w:tc>
          <w:tcPr>
            <w:tcW w:w="580" w:type="dxa"/>
            <w:vAlign w:val="bottom"/>
            <w:gridSpan w:val="2"/>
          </w:tcPr>
          <w:p>
            <w:pPr>
              <w:jc w:val="right"/>
              <w:spacing w:after="0" w:line="132" w:lineRule="exact"/>
              <w:rPr>
                <w:sz w:val="20"/>
                <w:szCs w:val="20"/>
                <w:color w:val="auto"/>
              </w:rPr>
            </w:pPr>
            <w:r>
              <w:rPr>
                <w:rFonts w:ascii="Arial" w:cs="Arial" w:eastAsia="Arial" w:hAnsi="Arial"/>
                <w:sz w:val="12"/>
                <w:szCs w:val="12"/>
                <w:b w:val="1"/>
                <w:bCs w:val="1"/>
                <w:color w:val="auto"/>
              </w:rPr>
              <w:t>5.5%</w:t>
            </w:r>
          </w:p>
        </w:tc>
        <w:tc>
          <w:tcPr>
            <w:tcW w:w="100" w:type="dxa"/>
            <w:vAlign w:val="bottom"/>
          </w:tcPr>
          <w:p>
            <w:pPr>
              <w:spacing w:after="0"/>
              <w:rPr>
                <w:sz w:val="11"/>
                <w:szCs w:val="11"/>
                <w:color w:val="auto"/>
              </w:rPr>
            </w:pPr>
          </w:p>
        </w:tc>
        <w:tc>
          <w:tcPr>
            <w:tcW w:w="680" w:type="dxa"/>
            <w:vAlign w:val="bottom"/>
            <w:gridSpan w:val="2"/>
          </w:tcPr>
          <w:p>
            <w:pPr>
              <w:jc w:val="right"/>
              <w:ind w:right="39"/>
              <w:spacing w:after="0" w:line="132" w:lineRule="exact"/>
              <w:rPr>
                <w:sz w:val="20"/>
                <w:szCs w:val="20"/>
                <w:color w:val="auto"/>
              </w:rPr>
            </w:pPr>
            <w:r>
              <w:rPr>
                <w:rFonts w:ascii="Arial" w:cs="Arial" w:eastAsia="Arial" w:hAnsi="Arial"/>
                <w:sz w:val="12"/>
                <w:szCs w:val="12"/>
                <w:b w:val="1"/>
                <w:bCs w:val="1"/>
                <w:color w:val="auto"/>
              </w:rPr>
              <w:t>15.2%</w:t>
            </w:r>
          </w:p>
        </w:tc>
        <w:tc>
          <w:tcPr>
            <w:tcW w:w="700" w:type="dxa"/>
            <w:vAlign w:val="bottom"/>
            <w:gridSpan w:val="2"/>
          </w:tcPr>
          <w:p>
            <w:pPr>
              <w:jc w:val="right"/>
              <w:ind w:right="59"/>
              <w:spacing w:after="0" w:line="132" w:lineRule="exact"/>
              <w:rPr>
                <w:sz w:val="20"/>
                <w:szCs w:val="20"/>
                <w:color w:val="auto"/>
              </w:rPr>
            </w:pPr>
            <w:r>
              <w:rPr>
                <w:rFonts w:ascii="Arial" w:cs="Arial" w:eastAsia="Arial" w:hAnsi="Arial"/>
                <w:sz w:val="12"/>
                <w:szCs w:val="12"/>
                <w:b w:val="1"/>
                <w:bCs w:val="1"/>
                <w:color w:val="auto"/>
              </w:rPr>
              <w:t>9.8%</w:t>
            </w:r>
          </w:p>
        </w:tc>
        <w:tc>
          <w:tcPr>
            <w:tcW w:w="680" w:type="dxa"/>
            <w:vAlign w:val="bottom"/>
            <w:gridSpan w:val="2"/>
          </w:tcPr>
          <w:p>
            <w:pPr>
              <w:jc w:val="right"/>
              <w:ind w:right="59"/>
              <w:spacing w:after="0" w:line="132" w:lineRule="exact"/>
              <w:rPr>
                <w:sz w:val="20"/>
                <w:szCs w:val="20"/>
                <w:color w:val="auto"/>
              </w:rPr>
            </w:pPr>
            <w:r>
              <w:rPr>
                <w:rFonts w:ascii="Arial" w:cs="Arial" w:eastAsia="Arial" w:hAnsi="Arial"/>
                <w:sz w:val="12"/>
                <w:szCs w:val="12"/>
                <w:b w:val="1"/>
                <w:bCs w:val="1"/>
                <w:color w:val="auto"/>
              </w:rPr>
              <w:t>40.8%</w:t>
            </w:r>
          </w:p>
        </w:tc>
        <w:tc>
          <w:tcPr>
            <w:tcW w:w="680" w:type="dxa"/>
            <w:vAlign w:val="bottom"/>
            <w:gridSpan w:val="2"/>
          </w:tcPr>
          <w:p>
            <w:pPr>
              <w:jc w:val="right"/>
              <w:ind w:right="59"/>
              <w:spacing w:after="0" w:line="132" w:lineRule="exact"/>
              <w:rPr>
                <w:sz w:val="20"/>
                <w:szCs w:val="20"/>
                <w:color w:val="auto"/>
              </w:rPr>
            </w:pPr>
            <w:r>
              <w:rPr>
                <w:rFonts w:ascii="Arial" w:cs="Arial" w:eastAsia="Arial" w:hAnsi="Arial"/>
                <w:sz w:val="12"/>
                <w:szCs w:val="12"/>
                <w:b w:val="1"/>
                <w:bCs w:val="1"/>
                <w:color w:val="auto"/>
              </w:rPr>
              <w:t>37.1%</w:t>
            </w:r>
          </w:p>
        </w:tc>
        <w:tc>
          <w:tcPr>
            <w:tcW w:w="680" w:type="dxa"/>
            <w:vAlign w:val="bottom"/>
            <w:gridSpan w:val="2"/>
          </w:tcPr>
          <w:p>
            <w:pPr>
              <w:jc w:val="right"/>
              <w:ind w:right="59"/>
              <w:spacing w:after="0" w:line="132" w:lineRule="exact"/>
              <w:rPr>
                <w:sz w:val="20"/>
                <w:szCs w:val="20"/>
                <w:color w:val="auto"/>
              </w:rPr>
            </w:pPr>
            <w:r>
              <w:rPr>
                <w:rFonts w:ascii="Arial" w:cs="Arial" w:eastAsia="Arial" w:hAnsi="Arial"/>
                <w:sz w:val="12"/>
                <w:szCs w:val="12"/>
                <w:b w:val="1"/>
                <w:bCs w:val="1"/>
                <w:color w:val="auto"/>
              </w:rPr>
              <w:t>39.5%</w:t>
            </w:r>
          </w:p>
        </w:tc>
        <w:tc>
          <w:tcPr>
            <w:tcW w:w="680" w:type="dxa"/>
            <w:vAlign w:val="bottom"/>
            <w:gridSpan w:val="2"/>
          </w:tcPr>
          <w:p>
            <w:pPr>
              <w:jc w:val="right"/>
              <w:spacing w:after="0" w:line="132" w:lineRule="exact"/>
              <w:rPr>
                <w:sz w:val="20"/>
                <w:szCs w:val="20"/>
                <w:color w:val="auto"/>
              </w:rPr>
            </w:pPr>
            <w:r>
              <w:rPr>
                <w:rFonts w:ascii="Arial" w:cs="Arial" w:eastAsia="Arial" w:hAnsi="Arial"/>
                <w:sz w:val="12"/>
                <w:szCs w:val="12"/>
                <w:b w:val="1"/>
                <w:bCs w:val="1"/>
                <w:color w:val="auto"/>
              </w:rPr>
              <w:t>42.6%</w:t>
            </w:r>
          </w:p>
        </w:tc>
      </w:tr>
      <w:tr>
        <w:trPr>
          <w:trHeight w:val="131"/>
        </w:trPr>
        <w:tc>
          <w:tcPr>
            <w:tcW w:w="1840" w:type="dxa"/>
            <w:vAlign w:val="bottom"/>
            <w:shd w:val="clear" w:color="auto" w:fill="CCEEFF"/>
          </w:tcPr>
          <w:p>
            <w:pPr>
              <w:ind w:left="260"/>
              <w:spacing w:after="0" w:line="132" w:lineRule="exact"/>
              <w:rPr>
                <w:sz w:val="20"/>
                <w:szCs w:val="20"/>
                <w:color w:val="auto"/>
              </w:rPr>
            </w:pPr>
            <w:r>
              <w:rPr>
                <w:rFonts w:ascii="Arial" w:cs="Arial" w:eastAsia="Arial" w:hAnsi="Arial"/>
                <w:sz w:val="12"/>
                <w:szCs w:val="12"/>
                <w:color w:val="auto"/>
              </w:rPr>
              <w:t>Corporate</w:t>
            </w:r>
          </w:p>
        </w:tc>
        <w:tc>
          <w:tcPr>
            <w:tcW w:w="660" w:type="dxa"/>
            <w:vAlign w:val="bottom"/>
            <w:gridSpan w:val="2"/>
            <w:shd w:val="clear" w:color="auto" w:fill="CCEEFF"/>
          </w:tcPr>
          <w:p>
            <w:pPr>
              <w:jc w:val="right"/>
              <w:ind w:right="220"/>
              <w:spacing w:after="0" w:line="132" w:lineRule="exact"/>
              <w:rPr>
                <w:sz w:val="20"/>
                <w:szCs w:val="20"/>
                <w:color w:val="auto"/>
              </w:rPr>
            </w:pPr>
            <w:r>
              <w:rPr>
                <w:rFonts w:ascii="Arial" w:cs="Arial" w:eastAsia="Arial" w:hAnsi="Arial"/>
                <w:sz w:val="12"/>
                <w:szCs w:val="12"/>
                <w:color w:val="auto"/>
              </w:rPr>
              <w:t>31,448</w:t>
            </w:r>
          </w:p>
        </w:tc>
        <w:tc>
          <w:tcPr>
            <w:tcW w:w="660" w:type="dxa"/>
            <w:vAlign w:val="bottom"/>
            <w:gridSpan w:val="2"/>
            <w:shd w:val="clear" w:color="auto" w:fill="CCEEFF"/>
          </w:tcPr>
          <w:p>
            <w:pPr>
              <w:jc w:val="right"/>
              <w:ind w:right="220"/>
              <w:spacing w:after="0" w:line="132" w:lineRule="exact"/>
              <w:rPr>
                <w:sz w:val="20"/>
                <w:szCs w:val="20"/>
                <w:color w:val="auto"/>
              </w:rPr>
            </w:pPr>
            <w:r>
              <w:rPr>
                <w:rFonts w:ascii="Arial" w:cs="Arial" w:eastAsia="Arial" w:hAnsi="Arial"/>
                <w:sz w:val="12"/>
                <w:szCs w:val="12"/>
                <w:color w:val="auto"/>
              </w:rPr>
              <w:t>28,869</w:t>
            </w:r>
          </w:p>
        </w:tc>
        <w:tc>
          <w:tcPr>
            <w:tcW w:w="660" w:type="dxa"/>
            <w:vAlign w:val="bottom"/>
            <w:gridSpan w:val="2"/>
            <w:shd w:val="clear" w:color="auto" w:fill="CCEEFF"/>
          </w:tcPr>
          <w:p>
            <w:pPr>
              <w:jc w:val="right"/>
              <w:ind w:right="220"/>
              <w:spacing w:after="0" w:line="132" w:lineRule="exact"/>
              <w:rPr>
                <w:sz w:val="20"/>
                <w:szCs w:val="20"/>
                <w:color w:val="auto"/>
              </w:rPr>
            </w:pPr>
            <w:r>
              <w:rPr>
                <w:rFonts w:ascii="Arial" w:cs="Arial" w:eastAsia="Arial" w:hAnsi="Arial"/>
                <w:sz w:val="12"/>
                <w:szCs w:val="12"/>
                <w:color w:val="auto"/>
              </w:rPr>
              <w:t>32,642</w:t>
            </w:r>
          </w:p>
        </w:tc>
        <w:tc>
          <w:tcPr>
            <w:tcW w:w="5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30,626</w:t>
            </w:r>
          </w:p>
        </w:tc>
        <w:tc>
          <w:tcPr>
            <w:tcW w:w="780" w:type="dxa"/>
            <w:vAlign w:val="bottom"/>
            <w:gridSpan w:val="3"/>
            <w:shd w:val="clear" w:color="auto" w:fill="CCEEFF"/>
          </w:tcPr>
          <w:p>
            <w:pPr>
              <w:jc w:val="right"/>
              <w:ind w:right="200"/>
              <w:spacing w:after="0" w:line="132" w:lineRule="exact"/>
              <w:rPr>
                <w:sz w:val="20"/>
                <w:szCs w:val="20"/>
                <w:color w:val="auto"/>
              </w:rPr>
            </w:pPr>
            <w:r>
              <w:rPr>
                <w:rFonts w:ascii="Arial" w:cs="Arial" w:eastAsia="Arial" w:hAnsi="Arial"/>
                <w:sz w:val="12"/>
                <w:szCs w:val="12"/>
                <w:color w:val="auto"/>
              </w:rPr>
              <w:t>28,288</w:t>
            </w:r>
          </w:p>
        </w:tc>
        <w:tc>
          <w:tcPr>
            <w:tcW w:w="660" w:type="dxa"/>
            <w:vAlign w:val="bottom"/>
            <w:gridSpan w:val="2"/>
            <w:shd w:val="clear" w:color="auto" w:fill="CCEEFF"/>
          </w:tcPr>
          <w:p>
            <w:pPr>
              <w:jc w:val="right"/>
              <w:ind w:right="200"/>
              <w:spacing w:after="0" w:line="132" w:lineRule="exact"/>
              <w:rPr>
                <w:sz w:val="20"/>
                <w:szCs w:val="20"/>
                <w:color w:val="auto"/>
              </w:rPr>
            </w:pPr>
            <w:r>
              <w:rPr>
                <w:rFonts w:ascii="Arial" w:cs="Arial" w:eastAsia="Arial" w:hAnsi="Arial"/>
                <w:sz w:val="12"/>
                <w:szCs w:val="12"/>
                <w:color w:val="auto"/>
              </w:rPr>
              <w:t>32,147</w:t>
            </w:r>
          </w:p>
        </w:tc>
        <w:tc>
          <w:tcPr>
            <w:tcW w:w="680" w:type="dxa"/>
            <w:vAlign w:val="bottom"/>
            <w:gridSpan w:val="2"/>
            <w:shd w:val="clear" w:color="auto" w:fill="66E0DA"/>
          </w:tcPr>
          <w:p>
            <w:pPr>
              <w:jc w:val="right"/>
              <w:ind w:right="59"/>
              <w:spacing w:after="0" w:line="132" w:lineRule="exact"/>
              <w:rPr>
                <w:sz w:val="20"/>
                <w:szCs w:val="20"/>
                <w:color w:val="auto"/>
              </w:rPr>
            </w:pPr>
            <w:r>
              <w:rPr>
                <w:rFonts w:ascii="Arial" w:cs="Arial" w:eastAsia="Arial" w:hAnsi="Arial"/>
                <w:sz w:val="12"/>
                <w:szCs w:val="12"/>
                <w:color w:val="auto"/>
              </w:rPr>
              <w:t>13.1%</w:t>
            </w:r>
          </w:p>
        </w:tc>
        <w:tc>
          <w:tcPr>
            <w:tcW w:w="580" w:type="dxa"/>
            <w:vAlign w:val="bottom"/>
            <w:gridSpan w:val="2"/>
            <w:shd w:val="clear" w:color="auto" w:fill="66E0DA"/>
          </w:tcPr>
          <w:p>
            <w:pPr>
              <w:jc w:val="right"/>
              <w:spacing w:after="0" w:line="132" w:lineRule="exact"/>
              <w:rPr>
                <w:sz w:val="20"/>
                <w:szCs w:val="20"/>
                <w:color w:val="auto"/>
              </w:rPr>
            </w:pPr>
            <w:r>
              <w:rPr>
                <w:rFonts w:ascii="Arial" w:cs="Arial" w:eastAsia="Arial" w:hAnsi="Arial"/>
                <w:sz w:val="12"/>
                <w:szCs w:val="12"/>
                <w:color w:val="auto"/>
              </w:rPr>
              <w:t>3.8%</w:t>
            </w:r>
          </w:p>
        </w:tc>
        <w:tc>
          <w:tcPr>
            <w:tcW w:w="100" w:type="dxa"/>
            <w:vAlign w:val="bottom"/>
            <w:shd w:val="clear" w:color="auto" w:fill="66E0DA"/>
          </w:tcPr>
          <w:p>
            <w:pPr>
              <w:spacing w:after="0"/>
              <w:rPr>
                <w:sz w:val="11"/>
                <w:szCs w:val="11"/>
                <w:color w:val="auto"/>
              </w:rPr>
            </w:pPr>
          </w:p>
        </w:tc>
        <w:tc>
          <w:tcPr>
            <w:tcW w:w="680" w:type="dxa"/>
            <w:vAlign w:val="bottom"/>
            <w:gridSpan w:val="2"/>
            <w:shd w:val="clear" w:color="auto" w:fill="66E0DA"/>
          </w:tcPr>
          <w:p>
            <w:pPr>
              <w:jc w:val="right"/>
              <w:ind w:right="59"/>
              <w:spacing w:after="0" w:line="132" w:lineRule="exact"/>
              <w:rPr>
                <w:sz w:val="20"/>
                <w:szCs w:val="20"/>
                <w:color w:val="auto"/>
              </w:rPr>
            </w:pPr>
            <w:r>
              <w:rPr>
                <w:rFonts w:ascii="Arial" w:cs="Arial" w:eastAsia="Arial" w:hAnsi="Arial"/>
                <w:sz w:val="12"/>
                <w:szCs w:val="12"/>
                <w:color w:val="auto"/>
              </w:rPr>
              <w:t>13.6%</w:t>
            </w:r>
          </w:p>
        </w:tc>
        <w:tc>
          <w:tcPr>
            <w:tcW w:w="700" w:type="dxa"/>
            <w:vAlign w:val="bottom"/>
            <w:gridSpan w:val="2"/>
            <w:shd w:val="clear" w:color="auto" w:fill="66E0DA"/>
          </w:tcPr>
          <w:p>
            <w:pPr>
              <w:jc w:val="right"/>
              <w:ind w:right="79"/>
              <w:spacing w:after="0" w:line="132" w:lineRule="exact"/>
              <w:rPr>
                <w:sz w:val="20"/>
                <w:szCs w:val="20"/>
                <w:color w:val="auto"/>
              </w:rPr>
            </w:pPr>
            <w:r>
              <w:rPr>
                <w:rFonts w:ascii="Arial" w:cs="Arial" w:eastAsia="Arial" w:hAnsi="Arial"/>
                <w:sz w:val="12"/>
                <w:szCs w:val="12"/>
                <w:color w:val="auto"/>
              </w:rPr>
              <w:t>5.0%</w:t>
            </w:r>
          </w:p>
        </w:tc>
        <w:tc>
          <w:tcPr>
            <w:tcW w:w="680" w:type="dxa"/>
            <w:vAlign w:val="bottom"/>
            <w:gridSpan w:val="2"/>
            <w:shd w:val="clear" w:color="auto" w:fill="CCEEFF"/>
          </w:tcPr>
          <w:p>
            <w:pPr>
              <w:jc w:val="right"/>
              <w:ind w:right="79"/>
              <w:spacing w:after="0" w:line="132" w:lineRule="exact"/>
              <w:rPr>
                <w:sz w:val="20"/>
                <w:szCs w:val="20"/>
                <w:color w:val="auto"/>
              </w:rPr>
            </w:pPr>
            <w:r>
              <w:rPr>
                <w:rFonts w:ascii="Arial" w:cs="Arial" w:eastAsia="Arial" w:hAnsi="Arial"/>
                <w:sz w:val="12"/>
                <w:szCs w:val="12"/>
                <w:color w:val="auto"/>
              </w:rPr>
              <w:t>23.4%</w:t>
            </w:r>
          </w:p>
        </w:tc>
        <w:tc>
          <w:tcPr>
            <w:tcW w:w="680" w:type="dxa"/>
            <w:vAlign w:val="bottom"/>
            <w:gridSpan w:val="2"/>
            <w:shd w:val="clear" w:color="auto" w:fill="CCEEFF"/>
          </w:tcPr>
          <w:p>
            <w:pPr>
              <w:jc w:val="right"/>
              <w:ind w:right="79"/>
              <w:spacing w:after="0" w:line="132" w:lineRule="exact"/>
              <w:rPr>
                <w:sz w:val="20"/>
                <w:szCs w:val="20"/>
                <w:color w:val="auto"/>
              </w:rPr>
            </w:pPr>
            <w:r>
              <w:rPr>
                <w:rFonts w:ascii="Arial" w:cs="Arial" w:eastAsia="Arial" w:hAnsi="Arial"/>
                <w:sz w:val="12"/>
                <w:szCs w:val="12"/>
                <w:color w:val="auto"/>
              </w:rPr>
              <w:t>20.7%</w:t>
            </w:r>
          </w:p>
        </w:tc>
        <w:tc>
          <w:tcPr>
            <w:tcW w:w="680" w:type="dxa"/>
            <w:vAlign w:val="bottom"/>
            <w:gridSpan w:val="2"/>
            <w:shd w:val="clear" w:color="auto" w:fill="CCEEFF"/>
          </w:tcPr>
          <w:p>
            <w:pPr>
              <w:jc w:val="right"/>
              <w:ind w:right="79"/>
              <w:spacing w:after="0" w:line="132" w:lineRule="exact"/>
              <w:rPr>
                <w:sz w:val="20"/>
                <w:szCs w:val="20"/>
                <w:color w:val="auto"/>
              </w:rPr>
            </w:pPr>
            <w:r>
              <w:rPr>
                <w:rFonts w:ascii="Arial" w:cs="Arial" w:eastAsia="Arial" w:hAnsi="Arial"/>
                <w:sz w:val="12"/>
                <w:szCs w:val="12"/>
                <w:color w:val="auto"/>
              </w:rPr>
              <w:t>22.3%</w:t>
            </w:r>
          </w:p>
        </w:tc>
        <w:tc>
          <w:tcPr>
            <w:tcW w:w="6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25.8%</w:t>
            </w:r>
          </w:p>
        </w:tc>
      </w:tr>
      <w:tr>
        <w:trPr>
          <w:trHeight w:val="131"/>
        </w:trPr>
        <w:tc>
          <w:tcPr>
            <w:tcW w:w="1840" w:type="dxa"/>
            <w:vAlign w:val="bottom"/>
          </w:tcPr>
          <w:p>
            <w:pPr>
              <w:ind w:left="260"/>
              <w:spacing w:after="0" w:line="132" w:lineRule="exact"/>
              <w:rPr>
                <w:sz w:val="20"/>
                <w:szCs w:val="20"/>
                <w:color w:val="auto"/>
              </w:rPr>
            </w:pPr>
            <w:r>
              <w:rPr>
                <w:rFonts w:ascii="Arial" w:cs="Arial" w:eastAsia="Arial" w:hAnsi="Arial"/>
                <w:sz w:val="12"/>
                <w:szCs w:val="12"/>
                <w:color w:val="auto"/>
              </w:rPr>
              <w:t>Middle - Market</w:t>
            </w:r>
          </w:p>
        </w:tc>
        <w:tc>
          <w:tcPr>
            <w:tcW w:w="660" w:type="dxa"/>
            <w:vAlign w:val="bottom"/>
            <w:gridSpan w:val="2"/>
          </w:tcPr>
          <w:p>
            <w:pPr>
              <w:jc w:val="right"/>
              <w:ind w:right="220"/>
              <w:spacing w:after="0" w:line="132" w:lineRule="exact"/>
              <w:rPr>
                <w:sz w:val="20"/>
                <w:szCs w:val="20"/>
                <w:color w:val="auto"/>
              </w:rPr>
            </w:pPr>
            <w:r>
              <w:rPr>
                <w:rFonts w:ascii="Arial" w:cs="Arial" w:eastAsia="Arial" w:hAnsi="Arial"/>
                <w:sz w:val="12"/>
                <w:szCs w:val="12"/>
                <w:color w:val="auto"/>
              </w:rPr>
              <w:t>23,389</w:t>
            </w:r>
          </w:p>
        </w:tc>
        <w:tc>
          <w:tcPr>
            <w:tcW w:w="660" w:type="dxa"/>
            <w:vAlign w:val="bottom"/>
            <w:gridSpan w:val="2"/>
          </w:tcPr>
          <w:p>
            <w:pPr>
              <w:jc w:val="right"/>
              <w:ind w:right="220"/>
              <w:spacing w:after="0" w:line="132" w:lineRule="exact"/>
              <w:rPr>
                <w:sz w:val="20"/>
                <w:szCs w:val="20"/>
                <w:color w:val="auto"/>
              </w:rPr>
            </w:pPr>
            <w:r>
              <w:rPr>
                <w:rFonts w:ascii="Arial" w:cs="Arial" w:eastAsia="Arial" w:hAnsi="Arial"/>
                <w:sz w:val="12"/>
                <w:szCs w:val="12"/>
                <w:color w:val="auto"/>
              </w:rPr>
              <w:t>22,993</w:t>
            </w:r>
          </w:p>
        </w:tc>
        <w:tc>
          <w:tcPr>
            <w:tcW w:w="660" w:type="dxa"/>
            <w:vAlign w:val="bottom"/>
            <w:gridSpan w:val="2"/>
          </w:tcPr>
          <w:p>
            <w:pPr>
              <w:jc w:val="right"/>
              <w:ind w:right="220"/>
              <w:spacing w:after="0" w:line="132" w:lineRule="exact"/>
              <w:rPr>
                <w:sz w:val="20"/>
                <w:szCs w:val="20"/>
                <w:color w:val="auto"/>
              </w:rPr>
            </w:pPr>
            <w:r>
              <w:rPr>
                <w:rFonts w:ascii="Arial" w:cs="Arial" w:eastAsia="Arial" w:hAnsi="Arial"/>
                <w:sz w:val="12"/>
                <w:szCs w:val="12"/>
                <w:color w:val="auto"/>
              </w:rPr>
              <w:t>25,221</w:t>
            </w:r>
          </w:p>
        </w:tc>
        <w:tc>
          <w:tcPr>
            <w:tcW w:w="5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17,704</w:t>
            </w:r>
          </w:p>
        </w:tc>
        <w:tc>
          <w:tcPr>
            <w:tcW w:w="780" w:type="dxa"/>
            <w:vAlign w:val="bottom"/>
            <w:gridSpan w:val="3"/>
          </w:tcPr>
          <w:p>
            <w:pPr>
              <w:jc w:val="right"/>
              <w:ind w:right="200"/>
              <w:spacing w:after="0" w:line="132" w:lineRule="exact"/>
              <w:rPr>
                <w:sz w:val="20"/>
                <w:szCs w:val="20"/>
                <w:color w:val="auto"/>
              </w:rPr>
            </w:pPr>
            <w:r>
              <w:rPr>
                <w:rFonts w:ascii="Arial" w:cs="Arial" w:eastAsia="Arial" w:hAnsi="Arial"/>
                <w:sz w:val="12"/>
                <w:szCs w:val="12"/>
                <w:color w:val="auto"/>
              </w:rPr>
              <w:t>17,780</w:t>
            </w:r>
          </w:p>
        </w:tc>
        <w:tc>
          <w:tcPr>
            <w:tcW w:w="66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20,933</w:t>
            </w:r>
          </w:p>
        </w:tc>
        <w:tc>
          <w:tcPr>
            <w:tcW w:w="680" w:type="dxa"/>
            <w:vAlign w:val="bottom"/>
            <w:gridSpan w:val="2"/>
          </w:tcPr>
          <w:p>
            <w:pPr>
              <w:jc w:val="right"/>
              <w:ind w:right="59"/>
              <w:spacing w:after="0" w:line="132" w:lineRule="exact"/>
              <w:rPr>
                <w:sz w:val="20"/>
                <w:szCs w:val="20"/>
                <w:color w:val="auto"/>
              </w:rPr>
            </w:pPr>
            <w:r>
              <w:rPr>
                <w:rFonts w:ascii="Arial" w:cs="Arial" w:eastAsia="Arial" w:hAnsi="Arial"/>
                <w:sz w:val="12"/>
                <w:szCs w:val="12"/>
                <w:color w:val="auto"/>
              </w:rPr>
              <w:t>9.7%</w:t>
            </w:r>
          </w:p>
        </w:tc>
        <w:tc>
          <w:tcPr>
            <w:tcW w:w="5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7.8%</w:t>
            </w:r>
          </w:p>
        </w:tc>
        <w:tc>
          <w:tcPr>
            <w:tcW w:w="100" w:type="dxa"/>
            <w:vAlign w:val="bottom"/>
          </w:tcPr>
          <w:p>
            <w:pPr>
              <w:spacing w:after="0"/>
              <w:rPr>
                <w:sz w:val="11"/>
                <w:szCs w:val="11"/>
                <w:color w:val="auto"/>
              </w:rPr>
            </w:pPr>
          </w:p>
        </w:tc>
        <w:tc>
          <w:tcPr>
            <w:tcW w:w="680" w:type="dxa"/>
            <w:vAlign w:val="bottom"/>
            <w:gridSpan w:val="2"/>
          </w:tcPr>
          <w:p>
            <w:pPr>
              <w:jc w:val="right"/>
              <w:ind w:right="59"/>
              <w:spacing w:after="0" w:line="132" w:lineRule="exact"/>
              <w:rPr>
                <w:sz w:val="20"/>
                <w:szCs w:val="20"/>
                <w:color w:val="auto"/>
              </w:rPr>
            </w:pPr>
            <w:r>
              <w:rPr>
                <w:rFonts w:ascii="Arial" w:cs="Arial" w:eastAsia="Arial" w:hAnsi="Arial"/>
                <w:sz w:val="12"/>
                <w:szCs w:val="12"/>
                <w:color w:val="auto"/>
              </w:rPr>
              <w:t>17.7%</w:t>
            </w:r>
          </w:p>
        </w:tc>
        <w:tc>
          <w:tcPr>
            <w:tcW w:w="700" w:type="dxa"/>
            <w:vAlign w:val="bottom"/>
            <w:gridSpan w:val="2"/>
          </w:tcPr>
          <w:p>
            <w:pPr>
              <w:jc w:val="right"/>
              <w:ind w:right="79"/>
              <w:spacing w:after="0" w:line="132" w:lineRule="exact"/>
              <w:rPr>
                <w:sz w:val="20"/>
                <w:szCs w:val="20"/>
                <w:color w:val="auto"/>
              </w:rPr>
            </w:pPr>
            <w:r>
              <w:rPr>
                <w:rFonts w:ascii="Arial" w:cs="Arial" w:eastAsia="Arial" w:hAnsi="Arial"/>
                <w:sz w:val="12"/>
                <w:szCs w:val="12"/>
                <w:color w:val="auto"/>
              </w:rPr>
              <w:t>18.2%</w:t>
            </w:r>
          </w:p>
        </w:tc>
        <w:tc>
          <w:tcPr>
            <w:tcW w:w="680" w:type="dxa"/>
            <w:vAlign w:val="bottom"/>
            <w:gridSpan w:val="2"/>
          </w:tcPr>
          <w:p>
            <w:pPr>
              <w:jc w:val="right"/>
              <w:ind w:right="79"/>
              <w:spacing w:after="0" w:line="132" w:lineRule="exact"/>
              <w:rPr>
                <w:sz w:val="20"/>
                <w:szCs w:val="20"/>
                <w:color w:val="auto"/>
              </w:rPr>
            </w:pPr>
            <w:r>
              <w:rPr>
                <w:rFonts w:ascii="Arial" w:cs="Arial" w:eastAsia="Arial" w:hAnsi="Arial"/>
                <w:sz w:val="12"/>
                <w:szCs w:val="12"/>
                <w:color w:val="auto"/>
              </w:rPr>
              <w:t>17.4%</w:t>
            </w:r>
          </w:p>
        </w:tc>
        <w:tc>
          <w:tcPr>
            <w:tcW w:w="680" w:type="dxa"/>
            <w:vAlign w:val="bottom"/>
            <w:gridSpan w:val="2"/>
          </w:tcPr>
          <w:p>
            <w:pPr>
              <w:jc w:val="right"/>
              <w:ind w:right="79"/>
              <w:spacing w:after="0" w:line="132" w:lineRule="exact"/>
              <w:rPr>
                <w:sz w:val="20"/>
                <w:szCs w:val="20"/>
                <w:color w:val="auto"/>
              </w:rPr>
            </w:pPr>
            <w:r>
              <w:rPr>
                <w:rFonts w:ascii="Arial" w:cs="Arial" w:eastAsia="Arial" w:hAnsi="Arial"/>
                <w:sz w:val="12"/>
                <w:szCs w:val="12"/>
                <w:color w:val="auto"/>
              </w:rPr>
              <w:t>16.5%</w:t>
            </w:r>
          </w:p>
        </w:tc>
        <w:tc>
          <w:tcPr>
            <w:tcW w:w="680" w:type="dxa"/>
            <w:vAlign w:val="bottom"/>
            <w:gridSpan w:val="2"/>
          </w:tcPr>
          <w:p>
            <w:pPr>
              <w:jc w:val="right"/>
              <w:ind w:right="79"/>
              <w:spacing w:after="0" w:line="132" w:lineRule="exact"/>
              <w:rPr>
                <w:sz w:val="20"/>
                <w:szCs w:val="20"/>
                <w:color w:val="auto"/>
              </w:rPr>
            </w:pPr>
            <w:r>
              <w:rPr>
                <w:rFonts w:ascii="Arial" w:cs="Arial" w:eastAsia="Arial" w:hAnsi="Arial"/>
                <w:sz w:val="12"/>
                <w:szCs w:val="12"/>
                <w:color w:val="auto"/>
              </w:rPr>
              <w:t>17.2%</w:t>
            </w:r>
          </w:p>
        </w:tc>
        <w:tc>
          <w:tcPr>
            <w:tcW w:w="6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16.8%</w:t>
            </w:r>
          </w:p>
        </w:tc>
      </w:tr>
      <w:tr>
        <w:trPr>
          <w:trHeight w:val="131"/>
        </w:trPr>
        <w:tc>
          <w:tcPr>
            <w:tcW w:w="1840" w:type="dxa"/>
            <w:vAlign w:val="bottom"/>
            <w:shd w:val="clear" w:color="auto" w:fill="CCEEFF"/>
          </w:tcPr>
          <w:p>
            <w:pPr>
              <w:ind w:left="140"/>
              <w:spacing w:after="0" w:line="132" w:lineRule="exact"/>
              <w:rPr>
                <w:sz w:val="20"/>
                <w:szCs w:val="20"/>
                <w:color w:val="auto"/>
              </w:rPr>
            </w:pPr>
            <w:r>
              <w:rPr>
                <w:rFonts w:ascii="Arial" w:cs="Arial" w:eastAsia="Arial" w:hAnsi="Arial"/>
                <w:sz w:val="12"/>
                <w:szCs w:val="12"/>
                <w:b w:val="1"/>
                <w:bCs w:val="1"/>
                <w:color w:val="auto"/>
              </w:rPr>
              <w:t>Retail Banking</w:t>
            </w:r>
          </w:p>
        </w:tc>
        <w:tc>
          <w:tcPr>
            <w:tcW w:w="660" w:type="dxa"/>
            <w:vAlign w:val="bottom"/>
            <w:gridSpan w:val="2"/>
            <w:shd w:val="clear" w:color="auto" w:fill="CCEEFF"/>
          </w:tcPr>
          <w:p>
            <w:pPr>
              <w:jc w:val="right"/>
              <w:ind w:right="220"/>
              <w:spacing w:after="0" w:line="132" w:lineRule="exact"/>
              <w:rPr>
                <w:sz w:val="20"/>
                <w:szCs w:val="20"/>
                <w:color w:val="auto"/>
              </w:rPr>
            </w:pPr>
            <w:r>
              <w:rPr>
                <w:rFonts w:ascii="Arial" w:cs="Arial" w:eastAsia="Arial" w:hAnsi="Arial"/>
                <w:sz w:val="12"/>
                <w:szCs w:val="12"/>
                <w:b w:val="1"/>
                <w:bCs w:val="1"/>
                <w:color w:val="auto"/>
              </w:rPr>
              <w:t>56,547</w:t>
            </w:r>
          </w:p>
        </w:tc>
        <w:tc>
          <w:tcPr>
            <w:tcW w:w="660" w:type="dxa"/>
            <w:vAlign w:val="bottom"/>
            <w:gridSpan w:val="2"/>
            <w:shd w:val="clear" w:color="auto" w:fill="CCEEFF"/>
          </w:tcPr>
          <w:p>
            <w:pPr>
              <w:jc w:val="right"/>
              <w:ind w:right="220"/>
              <w:spacing w:after="0" w:line="132" w:lineRule="exact"/>
              <w:rPr>
                <w:sz w:val="20"/>
                <w:szCs w:val="20"/>
                <w:color w:val="auto"/>
              </w:rPr>
            </w:pPr>
            <w:r>
              <w:rPr>
                <w:rFonts w:ascii="Arial" w:cs="Arial" w:eastAsia="Arial" w:hAnsi="Arial"/>
                <w:sz w:val="12"/>
                <w:szCs w:val="12"/>
                <w:b w:val="1"/>
                <w:bCs w:val="1"/>
                <w:color w:val="auto"/>
              </w:rPr>
              <w:t>62,752</w:t>
            </w:r>
          </w:p>
        </w:tc>
        <w:tc>
          <w:tcPr>
            <w:tcW w:w="660" w:type="dxa"/>
            <w:vAlign w:val="bottom"/>
            <w:gridSpan w:val="2"/>
            <w:shd w:val="clear" w:color="auto" w:fill="CCEEFF"/>
          </w:tcPr>
          <w:p>
            <w:pPr>
              <w:jc w:val="right"/>
              <w:ind w:right="220"/>
              <w:spacing w:after="0" w:line="132" w:lineRule="exact"/>
              <w:rPr>
                <w:sz w:val="20"/>
                <w:szCs w:val="20"/>
                <w:color w:val="auto"/>
              </w:rPr>
            </w:pPr>
            <w:r>
              <w:rPr>
                <w:rFonts w:ascii="Arial" w:cs="Arial" w:eastAsia="Arial" w:hAnsi="Arial"/>
                <w:sz w:val="12"/>
                <w:szCs w:val="12"/>
                <w:b w:val="1"/>
                <w:bCs w:val="1"/>
                <w:color w:val="auto"/>
              </w:rPr>
              <w:t>62,891</w:t>
            </w:r>
          </w:p>
        </w:tc>
        <w:tc>
          <w:tcPr>
            <w:tcW w:w="5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b w:val="1"/>
                <w:bCs w:val="1"/>
                <w:color w:val="auto"/>
              </w:rPr>
              <w:t>45,113</w:t>
            </w:r>
          </w:p>
        </w:tc>
        <w:tc>
          <w:tcPr>
            <w:tcW w:w="780" w:type="dxa"/>
            <w:vAlign w:val="bottom"/>
            <w:gridSpan w:val="3"/>
            <w:shd w:val="clear" w:color="auto" w:fill="CCEEFF"/>
          </w:tcPr>
          <w:p>
            <w:pPr>
              <w:jc w:val="right"/>
              <w:ind w:right="200"/>
              <w:spacing w:after="0" w:line="132" w:lineRule="exact"/>
              <w:rPr>
                <w:sz w:val="20"/>
                <w:szCs w:val="20"/>
                <w:color w:val="auto"/>
              </w:rPr>
            </w:pPr>
            <w:r>
              <w:rPr>
                <w:rFonts w:ascii="Arial" w:cs="Arial" w:eastAsia="Arial" w:hAnsi="Arial"/>
                <w:sz w:val="12"/>
                <w:szCs w:val="12"/>
                <w:b w:val="1"/>
                <w:bCs w:val="1"/>
                <w:color w:val="auto"/>
              </w:rPr>
              <w:t>47,528</w:t>
            </w:r>
          </w:p>
        </w:tc>
        <w:tc>
          <w:tcPr>
            <w:tcW w:w="660" w:type="dxa"/>
            <w:vAlign w:val="bottom"/>
            <w:gridSpan w:val="2"/>
            <w:shd w:val="clear" w:color="auto" w:fill="CCEEFF"/>
          </w:tcPr>
          <w:p>
            <w:pPr>
              <w:jc w:val="right"/>
              <w:ind w:right="200"/>
              <w:spacing w:after="0" w:line="132" w:lineRule="exact"/>
              <w:rPr>
                <w:sz w:val="20"/>
                <w:szCs w:val="20"/>
                <w:color w:val="auto"/>
              </w:rPr>
            </w:pPr>
            <w:r>
              <w:rPr>
                <w:rFonts w:ascii="Arial" w:cs="Arial" w:eastAsia="Arial" w:hAnsi="Arial"/>
                <w:sz w:val="12"/>
                <w:szCs w:val="12"/>
                <w:b w:val="1"/>
                <w:bCs w:val="1"/>
                <w:color w:val="auto"/>
              </w:rPr>
              <w:t>48,434</w:t>
            </w:r>
          </w:p>
        </w:tc>
        <w:tc>
          <w:tcPr>
            <w:tcW w:w="680" w:type="dxa"/>
            <w:vAlign w:val="bottom"/>
            <w:gridSpan w:val="2"/>
            <w:shd w:val="clear" w:color="auto" w:fill="CCEEFF"/>
          </w:tcPr>
          <w:p>
            <w:pPr>
              <w:jc w:val="right"/>
              <w:ind w:right="39"/>
              <w:spacing w:after="0" w:line="132" w:lineRule="exact"/>
              <w:rPr>
                <w:sz w:val="20"/>
                <w:szCs w:val="20"/>
                <w:color w:val="auto"/>
              </w:rPr>
            </w:pPr>
            <w:r>
              <w:rPr>
                <w:rFonts w:ascii="Arial" w:cs="Arial" w:eastAsia="Arial" w:hAnsi="Arial"/>
                <w:sz w:val="12"/>
                <w:szCs w:val="12"/>
                <w:b w:val="1"/>
                <w:bCs w:val="1"/>
                <w:color w:val="auto"/>
              </w:rPr>
              <w:t>0.2%</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b w:val="1"/>
                <w:bCs w:val="1"/>
                <w:color w:val="auto"/>
              </w:rPr>
              <w:t>11.2%</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39"/>
              <w:spacing w:after="0" w:line="132" w:lineRule="exact"/>
              <w:rPr>
                <w:sz w:val="20"/>
                <w:szCs w:val="20"/>
                <w:color w:val="auto"/>
              </w:rPr>
            </w:pPr>
            <w:r>
              <w:rPr>
                <w:rFonts w:ascii="Arial" w:cs="Arial" w:eastAsia="Arial" w:hAnsi="Arial"/>
                <w:sz w:val="12"/>
                <w:szCs w:val="12"/>
                <w:b w:val="1"/>
                <w:bCs w:val="1"/>
                <w:color w:val="auto"/>
              </w:rPr>
              <w:t>1.9%</w:t>
            </w:r>
          </w:p>
        </w:tc>
        <w:tc>
          <w:tcPr>
            <w:tcW w:w="700" w:type="dxa"/>
            <w:vAlign w:val="bottom"/>
            <w:gridSpan w:val="2"/>
            <w:shd w:val="clear" w:color="auto" w:fill="CCEEFF"/>
          </w:tcPr>
          <w:p>
            <w:pPr>
              <w:jc w:val="right"/>
              <w:ind w:right="59"/>
              <w:spacing w:after="0" w:line="132" w:lineRule="exact"/>
              <w:rPr>
                <w:sz w:val="20"/>
                <w:szCs w:val="20"/>
                <w:color w:val="auto"/>
              </w:rPr>
            </w:pPr>
            <w:r>
              <w:rPr>
                <w:rFonts w:ascii="Arial" w:cs="Arial" w:eastAsia="Arial" w:hAnsi="Arial"/>
                <w:sz w:val="12"/>
                <w:szCs w:val="12"/>
                <w:b w:val="1"/>
                <w:bCs w:val="1"/>
                <w:color w:val="auto"/>
              </w:rPr>
              <w:t>7.4%</w:t>
            </w:r>
          </w:p>
        </w:tc>
        <w:tc>
          <w:tcPr>
            <w:tcW w:w="680" w:type="dxa"/>
            <w:vAlign w:val="bottom"/>
            <w:gridSpan w:val="2"/>
            <w:shd w:val="clear" w:color="auto" w:fill="CCEEFF"/>
          </w:tcPr>
          <w:p>
            <w:pPr>
              <w:jc w:val="right"/>
              <w:ind w:right="59"/>
              <w:spacing w:after="0" w:line="132" w:lineRule="exact"/>
              <w:rPr>
                <w:sz w:val="20"/>
                <w:szCs w:val="20"/>
                <w:color w:val="auto"/>
              </w:rPr>
            </w:pPr>
            <w:r>
              <w:rPr>
                <w:rFonts w:ascii="Arial" w:cs="Arial" w:eastAsia="Arial" w:hAnsi="Arial"/>
                <w:sz w:val="12"/>
                <w:szCs w:val="12"/>
                <w:b w:val="1"/>
                <w:bCs w:val="1"/>
                <w:color w:val="auto"/>
              </w:rPr>
              <w:t>42.1%</w:t>
            </w:r>
          </w:p>
        </w:tc>
        <w:tc>
          <w:tcPr>
            <w:tcW w:w="680" w:type="dxa"/>
            <w:vAlign w:val="bottom"/>
            <w:gridSpan w:val="2"/>
            <w:shd w:val="clear" w:color="auto" w:fill="CCEEFF"/>
          </w:tcPr>
          <w:p>
            <w:pPr>
              <w:jc w:val="right"/>
              <w:ind w:right="59"/>
              <w:spacing w:after="0" w:line="132" w:lineRule="exact"/>
              <w:rPr>
                <w:sz w:val="20"/>
                <w:szCs w:val="20"/>
                <w:color w:val="auto"/>
              </w:rPr>
            </w:pPr>
            <w:r>
              <w:rPr>
                <w:rFonts w:ascii="Arial" w:cs="Arial" w:eastAsia="Arial" w:hAnsi="Arial"/>
                <w:sz w:val="12"/>
                <w:szCs w:val="12"/>
                <w:b w:val="1"/>
                <w:bCs w:val="1"/>
                <w:color w:val="auto"/>
              </w:rPr>
              <w:t>44.9%</w:t>
            </w:r>
          </w:p>
        </w:tc>
        <w:tc>
          <w:tcPr>
            <w:tcW w:w="680" w:type="dxa"/>
            <w:vAlign w:val="bottom"/>
            <w:gridSpan w:val="2"/>
            <w:shd w:val="clear" w:color="auto" w:fill="CCEEFF"/>
          </w:tcPr>
          <w:p>
            <w:pPr>
              <w:jc w:val="right"/>
              <w:ind w:right="59"/>
              <w:spacing w:after="0" w:line="132" w:lineRule="exact"/>
              <w:rPr>
                <w:sz w:val="20"/>
                <w:szCs w:val="20"/>
                <w:color w:val="auto"/>
              </w:rPr>
            </w:pPr>
            <w:r>
              <w:rPr>
                <w:rFonts w:ascii="Arial" w:cs="Arial" w:eastAsia="Arial" w:hAnsi="Arial"/>
                <w:sz w:val="12"/>
                <w:szCs w:val="12"/>
                <w:b w:val="1"/>
                <w:bCs w:val="1"/>
                <w:color w:val="auto"/>
              </w:rPr>
              <w:t>43.0%</w:t>
            </w:r>
          </w:p>
        </w:tc>
        <w:tc>
          <w:tcPr>
            <w:tcW w:w="6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b w:val="1"/>
                <w:bCs w:val="1"/>
                <w:color w:val="auto"/>
              </w:rPr>
              <w:t>38.9%</w:t>
            </w:r>
          </w:p>
        </w:tc>
      </w:tr>
      <w:tr>
        <w:trPr>
          <w:trHeight w:val="131"/>
        </w:trPr>
        <w:tc>
          <w:tcPr>
            <w:tcW w:w="1840" w:type="dxa"/>
            <w:vAlign w:val="bottom"/>
          </w:tcPr>
          <w:p>
            <w:pPr>
              <w:ind w:left="260"/>
              <w:spacing w:after="0" w:line="117" w:lineRule="exact"/>
              <w:rPr>
                <w:sz w:val="20"/>
                <w:szCs w:val="20"/>
                <w:color w:val="auto"/>
              </w:rPr>
            </w:pPr>
            <w:r>
              <w:rPr>
                <w:rFonts w:ascii="Arial" w:cs="Arial" w:eastAsia="Arial" w:hAnsi="Arial"/>
                <w:sz w:val="12"/>
                <w:szCs w:val="12"/>
                <w:color w:val="auto"/>
              </w:rPr>
              <w:t>SME - Business</w:t>
            </w:r>
          </w:p>
        </w:tc>
        <w:tc>
          <w:tcPr>
            <w:tcW w:w="660" w:type="dxa"/>
            <w:vAlign w:val="bottom"/>
            <w:gridSpan w:val="2"/>
          </w:tcPr>
          <w:p>
            <w:pPr>
              <w:jc w:val="right"/>
              <w:ind w:right="220"/>
              <w:spacing w:after="0" w:line="117" w:lineRule="exact"/>
              <w:rPr>
                <w:sz w:val="20"/>
                <w:szCs w:val="20"/>
                <w:color w:val="auto"/>
              </w:rPr>
            </w:pPr>
            <w:r>
              <w:rPr>
                <w:rFonts w:ascii="Arial" w:cs="Arial" w:eastAsia="Arial" w:hAnsi="Arial"/>
                <w:sz w:val="12"/>
                <w:szCs w:val="12"/>
                <w:color w:val="auto"/>
              </w:rPr>
              <w:t>10,014</w:t>
            </w:r>
          </w:p>
        </w:tc>
        <w:tc>
          <w:tcPr>
            <w:tcW w:w="660" w:type="dxa"/>
            <w:vAlign w:val="bottom"/>
            <w:gridSpan w:val="2"/>
          </w:tcPr>
          <w:p>
            <w:pPr>
              <w:jc w:val="right"/>
              <w:ind w:right="220"/>
              <w:spacing w:after="0" w:line="117" w:lineRule="exact"/>
              <w:rPr>
                <w:sz w:val="20"/>
                <w:szCs w:val="20"/>
                <w:color w:val="auto"/>
              </w:rPr>
            </w:pPr>
            <w:r>
              <w:rPr>
                <w:rFonts w:ascii="Arial" w:cs="Arial" w:eastAsia="Arial" w:hAnsi="Arial"/>
                <w:sz w:val="12"/>
                <w:szCs w:val="12"/>
                <w:color w:val="auto"/>
              </w:rPr>
              <w:t>11,279</w:t>
            </w:r>
          </w:p>
        </w:tc>
        <w:tc>
          <w:tcPr>
            <w:tcW w:w="660" w:type="dxa"/>
            <w:vAlign w:val="bottom"/>
            <w:gridSpan w:val="2"/>
          </w:tcPr>
          <w:p>
            <w:pPr>
              <w:jc w:val="right"/>
              <w:ind w:right="220"/>
              <w:spacing w:after="0" w:line="117" w:lineRule="exact"/>
              <w:rPr>
                <w:sz w:val="20"/>
                <w:szCs w:val="20"/>
                <w:color w:val="auto"/>
              </w:rPr>
            </w:pPr>
            <w:r>
              <w:rPr>
                <w:rFonts w:ascii="Arial" w:cs="Arial" w:eastAsia="Arial" w:hAnsi="Arial"/>
                <w:sz w:val="12"/>
                <w:szCs w:val="12"/>
                <w:color w:val="auto"/>
              </w:rPr>
              <w:t>11,400</w:t>
            </w:r>
          </w:p>
        </w:tc>
        <w:tc>
          <w:tcPr>
            <w:tcW w:w="520" w:type="dxa"/>
            <w:vAlign w:val="bottom"/>
            <w:gridSpan w:val="2"/>
          </w:tcPr>
          <w:p>
            <w:pPr>
              <w:jc w:val="right"/>
              <w:ind w:right="80"/>
              <w:spacing w:after="0" w:line="117" w:lineRule="exact"/>
              <w:rPr>
                <w:sz w:val="20"/>
                <w:szCs w:val="20"/>
                <w:color w:val="auto"/>
              </w:rPr>
            </w:pPr>
            <w:r>
              <w:rPr>
                <w:rFonts w:ascii="Arial" w:cs="Arial" w:eastAsia="Arial" w:hAnsi="Arial"/>
                <w:sz w:val="12"/>
                <w:szCs w:val="12"/>
                <w:color w:val="auto"/>
              </w:rPr>
              <w:t>4,574</w:t>
            </w:r>
          </w:p>
        </w:tc>
        <w:tc>
          <w:tcPr>
            <w:tcW w:w="780" w:type="dxa"/>
            <w:vAlign w:val="bottom"/>
            <w:gridSpan w:val="3"/>
          </w:tcPr>
          <w:p>
            <w:pPr>
              <w:jc w:val="right"/>
              <w:ind w:right="200"/>
              <w:spacing w:after="0" w:line="117" w:lineRule="exact"/>
              <w:rPr>
                <w:sz w:val="20"/>
                <w:szCs w:val="20"/>
                <w:color w:val="auto"/>
              </w:rPr>
            </w:pPr>
            <w:r>
              <w:rPr>
                <w:rFonts w:ascii="Arial" w:cs="Arial" w:eastAsia="Arial" w:hAnsi="Arial"/>
                <w:sz w:val="12"/>
                <w:szCs w:val="12"/>
                <w:color w:val="auto"/>
              </w:rPr>
              <w:t>4,866</w:t>
            </w:r>
          </w:p>
        </w:tc>
        <w:tc>
          <w:tcPr>
            <w:tcW w:w="660" w:type="dxa"/>
            <w:vAlign w:val="bottom"/>
            <w:gridSpan w:val="2"/>
          </w:tcPr>
          <w:p>
            <w:pPr>
              <w:jc w:val="right"/>
              <w:ind w:right="200"/>
              <w:spacing w:after="0" w:line="117" w:lineRule="exact"/>
              <w:rPr>
                <w:sz w:val="20"/>
                <w:szCs w:val="20"/>
                <w:color w:val="auto"/>
              </w:rPr>
            </w:pPr>
            <w:r>
              <w:rPr>
                <w:rFonts w:ascii="Arial" w:cs="Arial" w:eastAsia="Arial" w:hAnsi="Arial"/>
                <w:sz w:val="12"/>
                <w:szCs w:val="12"/>
                <w:color w:val="auto"/>
              </w:rPr>
              <w:t>5,524</w:t>
            </w:r>
          </w:p>
        </w:tc>
        <w:tc>
          <w:tcPr>
            <w:tcW w:w="680" w:type="dxa"/>
            <w:vAlign w:val="bottom"/>
            <w:gridSpan w:val="2"/>
          </w:tcPr>
          <w:p>
            <w:pPr>
              <w:jc w:val="right"/>
              <w:ind w:right="59"/>
              <w:spacing w:after="0" w:line="117" w:lineRule="exact"/>
              <w:rPr>
                <w:sz w:val="20"/>
                <w:szCs w:val="20"/>
                <w:color w:val="auto"/>
              </w:rPr>
            </w:pPr>
            <w:r>
              <w:rPr>
                <w:rFonts w:ascii="Arial" w:cs="Arial" w:eastAsia="Arial" w:hAnsi="Arial"/>
                <w:sz w:val="12"/>
                <w:szCs w:val="12"/>
                <w:color w:val="auto"/>
              </w:rPr>
              <w:t>1.1%</w:t>
            </w:r>
          </w:p>
        </w:tc>
        <w:tc>
          <w:tcPr>
            <w:tcW w:w="580" w:type="dxa"/>
            <w:vAlign w:val="bottom"/>
            <w:gridSpan w:val="2"/>
            <w:shd w:val="clear" w:color="auto" w:fill="66E0DA"/>
          </w:tcPr>
          <w:p>
            <w:pPr>
              <w:jc w:val="right"/>
              <w:spacing w:after="0" w:line="117" w:lineRule="exact"/>
              <w:rPr>
                <w:sz w:val="20"/>
                <w:szCs w:val="20"/>
                <w:color w:val="auto"/>
              </w:rPr>
            </w:pPr>
            <w:r>
              <w:rPr>
                <w:rFonts w:ascii="Arial" w:cs="Arial" w:eastAsia="Arial" w:hAnsi="Arial"/>
                <w:sz w:val="12"/>
                <w:szCs w:val="12"/>
                <w:color w:val="auto"/>
              </w:rPr>
              <w:t>13.8%</w:t>
            </w:r>
          </w:p>
        </w:tc>
        <w:tc>
          <w:tcPr>
            <w:tcW w:w="100" w:type="dxa"/>
            <w:vAlign w:val="bottom"/>
            <w:shd w:val="clear" w:color="auto" w:fill="66E0DA"/>
          </w:tcPr>
          <w:p>
            <w:pPr>
              <w:spacing w:after="0"/>
              <w:rPr>
                <w:sz w:val="11"/>
                <w:szCs w:val="11"/>
                <w:color w:val="auto"/>
              </w:rPr>
            </w:pPr>
          </w:p>
        </w:tc>
        <w:tc>
          <w:tcPr>
            <w:tcW w:w="680" w:type="dxa"/>
            <w:vAlign w:val="bottom"/>
            <w:gridSpan w:val="2"/>
            <w:shd w:val="clear" w:color="auto" w:fill="66E0DA"/>
          </w:tcPr>
          <w:p>
            <w:pPr>
              <w:jc w:val="right"/>
              <w:ind w:right="59"/>
              <w:spacing w:after="0" w:line="117" w:lineRule="exact"/>
              <w:rPr>
                <w:sz w:val="20"/>
                <w:szCs w:val="20"/>
                <w:color w:val="auto"/>
              </w:rPr>
            </w:pPr>
            <w:r>
              <w:rPr>
                <w:rFonts w:ascii="Arial" w:cs="Arial" w:eastAsia="Arial" w:hAnsi="Arial"/>
                <w:sz w:val="12"/>
                <w:szCs w:val="12"/>
                <w:color w:val="auto"/>
              </w:rPr>
              <w:t>13.5%</w:t>
            </w:r>
          </w:p>
        </w:tc>
        <w:tc>
          <w:tcPr>
            <w:tcW w:w="700" w:type="dxa"/>
            <w:vAlign w:val="bottom"/>
            <w:gridSpan w:val="2"/>
            <w:shd w:val="clear" w:color="auto" w:fill="66E0DA"/>
          </w:tcPr>
          <w:p>
            <w:pPr>
              <w:jc w:val="right"/>
              <w:ind w:right="79"/>
              <w:spacing w:after="0" w:line="117" w:lineRule="exact"/>
              <w:rPr>
                <w:sz w:val="20"/>
                <w:szCs w:val="20"/>
                <w:color w:val="auto"/>
              </w:rPr>
            </w:pPr>
            <w:r>
              <w:rPr>
                <w:rFonts w:ascii="Arial" w:cs="Arial" w:eastAsia="Arial" w:hAnsi="Arial"/>
                <w:sz w:val="12"/>
                <w:szCs w:val="12"/>
                <w:color w:val="auto"/>
              </w:rPr>
              <w:t>20.8%</w:t>
            </w:r>
          </w:p>
        </w:tc>
        <w:tc>
          <w:tcPr>
            <w:tcW w:w="680" w:type="dxa"/>
            <w:vAlign w:val="bottom"/>
            <w:gridSpan w:val="2"/>
          </w:tcPr>
          <w:p>
            <w:pPr>
              <w:jc w:val="right"/>
              <w:ind w:right="79"/>
              <w:spacing w:after="0" w:line="117" w:lineRule="exact"/>
              <w:rPr>
                <w:sz w:val="20"/>
                <w:szCs w:val="20"/>
                <w:color w:val="auto"/>
              </w:rPr>
            </w:pPr>
            <w:r>
              <w:rPr>
                <w:rFonts w:ascii="Arial" w:cs="Arial" w:eastAsia="Arial" w:hAnsi="Arial"/>
                <w:sz w:val="12"/>
                <w:szCs w:val="12"/>
                <w:color w:val="auto"/>
              </w:rPr>
              <w:t>7.5%</w:t>
            </w:r>
          </w:p>
        </w:tc>
        <w:tc>
          <w:tcPr>
            <w:tcW w:w="680" w:type="dxa"/>
            <w:vAlign w:val="bottom"/>
            <w:gridSpan w:val="2"/>
          </w:tcPr>
          <w:p>
            <w:pPr>
              <w:jc w:val="right"/>
              <w:ind w:right="79"/>
              <w:spacing w:after="0" w:line="117" w:lineRule="exact"/>
              <w:rPr>
                <w:sz w:val="20"/>
                <w:szCs w:val="20"/>
                <w:color w:val="auto"/>
              </w:rPr>
            </w:pPr>
            <w:r>
              <w:rPr>
                <w:rFonts w:ascii="Arial" w:cs="Arial" w:eastAsia="Arial" w:hAnsi="Arial"/>
                <w:sz w:val="12"/>
                <w:szCs w:val="12"/>
                <w:color w:val="auto"/>
              </w:rPr>
              <w:t>8.1%</w:t>
            </w:r>
          </w:p>
        </w:tc>
        <w:tc>
          <w:tcPr>
            <w:tcW w:w="680" w:type="dxa"/>
            <w:vAlign w:val="bottom"/>
            <w:gridSpan w:val="2"/>
          </w:tcPr>
          <w:p>
            <w:pPr>
              <w:jc w:val="right"/>
              <w:ind w:right="79"/>
              <w:spacing w:after="0" w:line="117" w:lineRule="exact"/>
              <w:rPr>
                <w:sz w:val="20"/>
                <w:szCs w:val="20"/>
                <w:color w:val="auto"/>
              </w:rPr>
            </w:pPr>
            <w:r>
              <w:rPr>
                <w:rFonts w:ascii="Arial" w:cs="Arial" w:eastAsia="Arial" w:hAnsi="Arial"/>
                <w:sz w:val="12"/>
                <w:szCs w:val="12"/>
                <w:color w:val="auto"/>
              </w:rPr>
              <w:t>7.8%</w:t>
            </w:r>
          </w:p>
        </w:tc>
        <w:tc>
          <w:tcPr>
            <w:tcW w:w="680" w:type="dxa"/>
            <w:vAlign w:val="bottom"/>
            <w:gridSpan w:val="2"/>
          </w:tcPr>
          <w:p>
            <w:pPr>
              <w:jc w:val="right"/>
              <w:spacing w:after="0" w:line="117" w:lineRule="exact"/>
              <w:rPr>
                <w:sz w:val="20"/>
                <w:szCs w:val="20"/>
                <w:color w:val="auto"/>
              </w:rPr>
            </w:pPr>
            <w:r>
              <w:rPr>
                <w:rFonts w:ascii="Arial" w:cs="Arial" w:eastAsia="Arial" w:hAnsi="Arial"/>
                <w:sz w:val="12"/>
                <w:szCs w:val="12"/>
                <w:color w:val="auto"/>
              </w:rPr>
              <w:t>4.4%</w:t>
            </w:r>
          </w:p>
        </w:tc>
      </w:tr>
      <w:tr>
        <w:trPr>
          <w:trHeight w:val="131"/>
        </w:trPr>
        <w:tc>
          <w:tcPr>
            <w:tcW w:w="1840" w:type="dxa"/>
            <w:vAlign w:val="bottom"/>
            <w:shd w:val="clear" w:color="auto" w:fill="CCEEFF"/>
          </w:tcPr>
          <w:p>
            <w:pPr>
              <w:ind w:left="260"/>
              <w:spacing w:after="0" w:line="132" w:lineRule="exact"/>
              <w:rPr>
                <w:sz w:val="20"/>
                <w:szCs w:val="20"/>
                <w:color w:val="auto"/>
              </w:rPr>
            </w:pPr>
            <w:r>
              <w:rPr>
                <w:rFonts w:ascii="Arial" w:cs="Arial" w:eastAsia="Arial" w:hAnsi="Arial"/>
                <w:sz w:val="12"/>
                <w:szCs w:val="12"/>
                <w:color w:val="auto"/>
              </w:rPr>
              <w:t>SME - Pyme</w:t>
            </w:r>
          </w:p>
        </w:tc>
        <w:tc>
          <w:tcPr>
            <w:tcW w:w="660" w:type="dxa"/>
            <w:vAlign w:val="bottom"/>
            <w:gridSpan w:val="2"/>
            <w:shd w:val="clear" w:color="auto" w:fill="CCEEFF"/>
          </w:tcPr>
          <w:p>
            <w:pPr>
              <w:jc w:val="right"/>
              <w:ind w:right="220"/>
              <w:spacing w:after="0" w:line="132" w:lineRule="exact"/>
              <w:rPr>
                <w:sz w:val="20"/>
                <w:szCs w:val="20"/>
                <w:color w:val="auto"/>
              </w:rPr>
            </w:pPr>
            <w:r>
              <w:rPr>
                <w:rFonts w:ascii="Arial" w:cs="Arial" w:eastAsia="Arial" w:hAnsi="Arial"/>
                <w:sz w:val="12"/>
                <w:szCs w:val="12"/>
                <w:color w:val="auto"/>
              </w:rPr>
              <w:t>16,062</w:t>
            </w:r>
          </w:p>
        </w:tc>
        <w:tc>
          <w:tcPr>
            <w:tcW w:w="660" w:type="dxa"/>
            <w:vAlign w:val="bottom"/>
            <w:gridSpan w:val="2"/>
            <w:shd w:val="clear" w:color="auto" w:fill="CCEEFF"/>
          </w:tcPr>
          <w:p>
            <w:pPr>
              <w:jc w:val="right"/>
              <w:ind w:right="220"/>
              <w:spacing w:after="0" w:line="132" w:lineRule="exact"/>
              <w:rPr>
                <w:sz w:val="20"/>
                <w:szCs w:val="20"/>
                <w:color w:val="auto"/>
              </w:rPr>
            </w:pPr>
            <w:r>
              <w:rPr>
                <w:rFonts w:ascii="Arial" w:cs="Arial" w:eastAsia="Arial" w:hAnsi="Arial"/>
                <w:sz w:val="12"/>
                <w:szCs w:val="12"/>
                <w:color w:val="auto"/>
              </w:rPr>
              <w:t>19,647</w:t>
            </w:r>
          </w:p>
        </w:tc>
        <w:tc>
          <w:tcPr>
            <w:tcW w:w="660" w:type="dxa"/>
            <w:vAlign w:val="bottom"/>
            <w:gridSpan w:val="2"/>
            <w:shd w:val="clear" w:color="auto" w:fill="CCEEFF"/>
          </w:tcPr>
          <w:p>
            <w:pPr>
              <w:jc w:val="right"/>
              <w:ind w:right="220"/>
              <w:spacing w:after="0" w:line="132" w:lineRule="exact"/>
              <w:rPr>
                <w:sz w:val="20"/>
                <w:szCs w:val="20"/>
                <w:color w:val="auto"/>
              </w:rPr>
            </w:pPr>
            <w:r>
              <w:rPr>
                <w:rFonts w:ascii="Arial" w:cs="Arial" w:eastAsia="Arial" w:hAnsi="Arial"/>
                <w:sz w:val="12"/>
                <w:szCs w:val="12"/>
                <w:color w:val="auto"/>
              </w:rPr>
              <w:t>19,626</w:t>
            </w:r>
          </w:p>
        </w:tc>
        <w:tc>
          <w:tcPr>
            <w:tcW w:w="5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10,068</w:t>
            </w:r>
          </w:p>
        </w:tc>
        <w:tc>
          <w:tcPr>
            <w:tcW w:w="780" w:type="dxa"/>
            <w:vAlign w:val="bottom"/>
            <w:gridSpan w:val="3"/>
            <w:shd w:val="clear" w:color="auto" w:fill="CCEEFF"/>
          </w:tcPr>
          <w:p>
            <w:pPr>
              <w:jc w:val="right"/>
              <w:ind w:right="200"/>
              <w:spacing w:after="0" w:line="132" w:lineRule="exact"/>
              <w:rPr>
                <w:sz w:val="20"/>
                <w:szCs w:val="20"/>
                <w:color w:val="auto"/>
              </w:rPr>
            </w:pPr>
            <w:r>
              <w:rPr>
                <w:rFonts w:ascii="Arial" w:cs="Arial" w:eastAsia="Arial" w:hAnsi="Arial"/>
                <w:sz w:val="12"/>
                <w:szCs w:val="12"/>
                <w:color w:val="auto"/>
              </w:rPr>
              <w:t>10,836</w:t>
            </w:r>
          </w:p>
        </w:tc>
        <w:tc>
          <w:tcPr>
            <w:tcW w:w="660" w:type="dxa"/>
            <w:vAlign w:val="bottom"/>
            <w:gridSpan w:val="2"/>
            <w:shd w:val="clear" w:color="auto" w:fill="CCEEFF"/>
          </w:tcPr>
          <w:p>
            <w:pPr>
              <w:jc w:val="right"/>
              <w:ind w:right="200"/>
              <w:spacing w:after="0" w:line="132" w:lineRule="exact"/>
              <w:rPr>
                <w:sz w:val="20"/>
                <w:szCs w:val="20"/>
                <w:color w:val="auto"/>
              </w:rPr>
            </w:pPr>
            <w:r>
              <w:rPr>
                <w:rFonts w:ascii="Arial" w:cs="Arial" w:eastAsia="Arial" w:hAnsi="Arial"/>
                <w:sz w:val="12"/>
                <w:szCs w:val="12"/>
                <w:color w:val="auto"/>
              </w:rPr>
              <w:t>11,046</w:t>
            </w:r>
          </w:p>
        </w:tc>
        <w:tc>
          <w:tcPr>
            <w:tcW w:w="680" w:type="dxa"/>
            <w:vAlign w:val="bottom"/>
            <w:gridSpan w:val="2"/>
            <w:shd w:val="clear" w:color="auto" w:fill="CCEEFF"/>
          </w:tcPr>
          <w:p>
            <w:pPr>
              <w:jc w:val="right"/>
              <w:ind w:right="59"/>
              <w:spacing w:after="0" w:line="132" w:lineRule="exact"/>
              <w:rPr>
                <w:sz w:val="20"/>
                <w:szCs w:val="20"/>
                <w:color w:val="auto"/>
              </w:rPr>
            </w:pPr>
            <w:r>
              <w:rPr>
                <w:rFonts w:ascii="Arial" w:cs="Arial" w:eastAsia="Arial" w:hAnsi="Arial"/>
                <w:sz w:val="12"/>
                <w:szCs w:val="12"/>
                <w:color w:val="auto"/>
              </w:rPr>
              <w:t>-0.1%</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22.2%</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59"/>
              <w:spacing w:after="0" w:line="132" w:lineRule="exact"/>
              <w:rPr>
                <w:sz w:val="20"/>
                <w:szCs w:val="20"/>
                <w:color w:val="auto"/>
              </w:rPr>
            </w:pPr>
            <w:r>
              <w:rPr>
                <w:rFonts w:ascii="Arial" w:cs="Arial" w:eastAsia="Arial" w:hAnsi="Arial"/>
                <w:sz w:val="12"/>
                <w:szCs w:val="12"/>
                <w:color w:val="auto"/>
              </w:rPr>
              <w:t>1.9%</w:t>
            </w:r>
          </w:p>
        </w:tc>
        <w:tc>
          <w:tcPr>
            <w:tcW w:w="700" w:type="dxa"/>
            <w:vAlign w:val="bottom"/>
            <w:gridSpan w:val="2"/>
            <w:shd w:val="clear" w:color="auto" w:fill="66E0DA"/>
          </w:tcPr>
          <w:p>
            <w:pPr>
              <w:jc w:val="right"/>
              <w:ind w:right="79"/>
              <w:spacing w:after="0" w:line="132" w:lineRule="exact"/>
              <w:rPr>
                <w:sz w:val="20"/>
                <w:szCs w:val="20"/>
                <w:color w:val="auto"/>
              </w:rPr>
            </w:pPr>
            <w:r>
              <w:rPr>
                <w:rFonts w:ascii="Arial" w:cs="Arial" w:eastAsia="Arial" w:hAnsi="Arial"/>
                <w:sz w:val="12"/>
                <w:szCs w:val="12"/>
                <w:color w:val="auto"/>
              </w:rPr>
              <w:t>9.7%</w:t>
            </w:r>
          </w:p>
        </w:tc>
        <w:tc>
          <w:tcPr>
            <w:tcW w:w="680" w:type="dxa"/>
            <w:vAlign w:val="bottom"/>
            <w:gridSpan w:val="2"/>
            <w:shd w:val="clear" w:color="auto" w:fill="CCEEFF"/>
          </w:tcPr>
          <w:p>
            <w:pPr>
              <w:jc w:val="right"/>
              <w:ind w:right="79"/>
              <w:spacing w:after="0" w:line="132" w:lineRule="exact"/>
              <w:rPr>
                <w:sz w:val="20"/>
                <w:szCs w:val="20"/>
                <w:color w:val="auto"/>
              </w:rPr>
            </w:pPr>
            <w:r>
              <w:rPr>
                <w:rFonts w:ascii="Arial" w:cs="Arial" w:eastAsia="Arial" w:hAnsi="Arial"/>
                <w:sz w:val="12"/>
                <w:szCs w:val="12"/>
                <w:color w:val="auto"/>
              </w:rPr>
              <w:t>12.0%</w:t>
            </w:r>
          </w:p>
        </w:tc>
        <w:tc>
          <w:tcPr>
            <w:tcW w:w="680" w:type="dxa"/>
            <w:vAlign w:val="bottom"/>
            <w:gridSpan w:val="2"/>
            <w:shd w:val="clear" w:color="auto" w:fill="CCEEFF"/>
          </w:tcPr>
          <w:p>
            <w:pPr>
              <w:jc w:val="right"/>
              <w:ind w:right="79"/>
              <w:spacing w:after="0" w:line="132" w:lineRule="exact"/>
              <w:rPr>
                <w:sz w:val="20"/>
                <w:szCs w:val="20"/>
                <w:color w:val="auto"/>
              </w:rPr>
            </w:pPr>
            <w:r>
              <w:rPr>
                <w:rFonts w:ascii="Arial" w:cs="Arial" w:eastAsia="Arial" w:hAnsi="Arial"/>
                <w:sz w:val="12"/>
                <w:szCs w:val="12"/>
                <w:color w:val="auto"/>
              </w:rPr>
              <w:t>14.1%</w:t>
            </w:r>
          </w:p>
        </w:tc>
        <w:tc>
          <w:tcPr>
            <w:tcW w:w="680" w:type="dxa"/>
            <w:vAlign w:val="bottom"/>
            <w:gridSpan w:val="2"/>
            <w:shd w:val="clear" w:color="auto" w:fill="CCEEFF"/>
          </w:tcPr>
          <w:p>
            <w:pPr>
              <w:jc w:val="right"/>
              <w:ind w:right="79"/>
              <w:spacing w:after="0" w:line="132" w:lineRule="exact"/>
              <w:rPr>
                <w:sz w:val="20"/>
                <w:szCs w:val="20"/>
                <w:color w:val="auto"/>
              </w:rPr>
            </w:pPr>
            <w:r>
              <w:rPr>
                <w:rFonts w:ascii="Arial" w:cs="Arial" w:eastAsia="Arial" w:hAnsi="Arial"/>
                <w:sz w:val="12"/>
                <w:szCs w:val="12"/>
                <w:color w:val="auto"/>
              </w:rPr>
              <w:t>13.4%</w:t>
            </w:r>
          </w:p>
        </w:tc>
        <w:tc>
          <w:tcPr>
            <w:tcW w:w="6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8.9%</w:t>
            </w:r>
          </w:p>
        </w:tc>
      </w:tr>
      <w:tr>
        <w:trPr>
          <w:trHeight w:val="131"/>
        </w:trPr>
        <w:tc>
          <w:tcPr>
            <w:tcW w:w="1840" w:type="dxa"/>
            <w:vAlign w:val="bottom"/>
          </w:tcPr>
          <w:p>
            <w:pPr>
              <w:ind w:left="260"/>
              <w:spacing w:after="0" w:line="132" w:lineRule="exact"/>
              <w:rPr>
                <w:sz w:val="20"/>
                <w:szCs w:val="20"/>
                <w:color w:val="auto"/>
              </w:rPr>
            </w:pPr>
            <w:r>
              <w:rPr>
                <w:rFonts w:ascii="Arial" w:cs="Arial" w:eastAsia="Arial" w:hAnsi="Arial"/>
                <w:sz w:val="12"/>
                <w:szCs w:val="12"/>
                <w:color w:val="auto"/>
              </w:rPr>
              <w:t>Mortgage</w:t>
            </w:r>
          </w:p>
        </w:tc>
        <w:tc>
          <w:tcPr>
            <w:tcW w:w="660" w:type="dxa"/>
            <w:vAlign w:val="bottom"/>
            <w:gridSpan w:val="2"/>
          </w:tcPr>
          <w:p>
            <w:pPr>
              <w:jc w:val="right"/>
              <w:ind w:right="220"/>
              <w:spacing w:after="0" w:line="132" w:lineRule="exact"/>
              <w:rPr>
                <w:sz w:val="20"/>
                <w:szCs w:val="20"/>
                <w:color w:val="auto"/>
              </w:rPr>
            </w:pPr>
            <w:r>
              <w:rPr>
                <w:rFonts w:ascii="Arial" w:cs="Arial" w:eastAsia="Arial" w:hAnsi="Arial"/>
                <w:sz w:val="12"/>
                <w:szCs w:val="12"/>
                <w:color w:val="auto"/>
              </w:rPr>
              <w:t>16,816</w:t>
            </w:r>
          </w:p>
        </w:tc>
        <w:tc>
          <w:tcPr>
            <w:tcW w:w="660" w:type="dxa"/>
            <w:vAlign w:val="bottom"/>
            <w:gridSpan w:val="2"/>
          </w:tcPr>
          <w:p>
            <w:pPr>
              <w:jc w:val="right"/>
              <w:ind w:right="220"/>
              <w:spacing w:after="0" w:line="132" w:lineRule="exact"/>
              <w:rPr>
                <w:sz w:val="20"/>
                <w:szCs w:val="20"/>
                <w:color w:val="auto"/>
              </w:rPr>
            </w:pPr>
            <w:r>
              <w:rPr>
                <w:rFonts w:ascii="Arial" w:cs="Arial" w:eastAsia="Arial" w:hAnsi="Arial"/>
                <w:sz w:val="12"/>
                <w:szCs w:val="12"/>
                <w:color w:val="auto"/>
              </w:rPr>
              <w:t>17,884</w:t>
            </w:r>
          </w:p>
        </w:tc>
        <w:tc>
          <w:tcPr>
            <w:tcW w:w="660" w:type="dxa"/>
            <w:vAlign w:val="bottom"/>
            <w:gridSpan w:val="2"/>
          </w:tcPr>
          <w:p>
            <w:pPr>
              <w:jc w:val="right"/>
              <w:ind w:right="220"/>
              <w:spacing w:after="0" w:line="132" w:lineRule="exact"/>
              <w:rPr>
                <w:sz w:val="20"/>
                <w:szCs w:val="20"/>
                <w:color w:val="auto"/>
              </w:rPr>
            </w:pPr>
            <w:r>
              <w:rPr>
                <w:rFonts w:ascii="Arial" w:cs="Arial" w:eastAsia="Arial" w:hAnsi="Arial"/>
                <w:sz w:val="12"/>
                <w:szCs w:val="12"/>
                <w:color w:val="auto"/>
              </w:rPr>
              <w:t>18,133</w:t>
            </w:r>
          </w:p>
        </w:tc>
        <w:tc>
          <w:tcPr>
            <w:tcW w:w="5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16,816</w:t>
            </w:r>
          </w:p>
        </w:tc>
        <w:tc>
          <w:tcPr>
            <w:tcW w:w="780" w:type="dxa"/>
            <w:vAlign w:val="bottom"/>
            <w:gridSpan w:val="3"/>
          </w:tcPr>
          <w:p>
            <w:pPr>
              <w:jc w:val="right"/>
              <w:ind w:right="200"/>
              <w:spacing w:after="0" w:line="132" w:lineRule="exact"/>
              <w:rPr>
                <w:sz w:val="20"/>
                <w:szCs w:val="20"/>
                <w:color w:val="auto"/>
              </w:rPr>
            </w:pPr>
            <w:r>
              <w:rPr>
                <w:rFonts w:ascii="Arial" w:cs="Arial" w:eastAsia="Arial" w:hAnsi="Arial"/>
                <w:sz w:val="12"/>
                <w:szCs w:val="12"/>
                <w:color w:val="auto"/>
              </w:rPr>
              <w:t>17,884</w:t>
            </w:r>
          </w:p>
        </w:tc>
        <w:tc>
          <w:tcPr>
            <w:tcW w:w="66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18,133</w:t>
            </w:r>
          </w:p>
        </w:tc>
        <w:tc>
          <w:tcPr>
            <w:tcW w:w="680" w:type="dxa"/>
            <w:vAlign w:val="bottom"/>
            <w:gridSpan w:val="2"/>
          </w:tcPr>
          <w:p>
            <w:pPr>
              <w:jc w:val="right"/>
              <w:ind w:right="59"/>
              <w:spacing w:after="0" w:line="132" w:lineRule="exact"/>
              <w:rPr>
                <w:sz w:val="20"/>
                <w:szCs w:val="20"/>
                <w:color w:val="auto"/>
              </w:rPr>
            </w:pPr>
            <w:r>
              <w:rPr>
                <w:rFonts w:ascii="Arial" w:cs="Arial" w:eastAsia="Arial" w:hAnsi="Arial"/>
                <w:sz w:val="12"/>
                <w:szCs w:val="12"/>
                <w:color w:val="auto"/>
              </w:rPr>
              <w:t>1.4%</w:t>
            </w:r>
          </w:p>
        </w:tc>
        <w:tc>
          <w:tcPr>
            <w:tcW w:w="5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7.8%</w:t>
            </w:r>
          </w:p>
        </w:tc>
        <w:tc>
          <w:tcPr>
            <w:tcW w:w="100" w:type="dxa"/>
            <w:vAlign w:val="bottom"/>
            <w:shd w:val="clear" w:color="auto" w:fill="66E0DA"/>
          </w:tcPr>
          <w:p>
            <w:pPr>
              <w:spacing w:after="0"/>
              <w:rPr>
                <w:sz w:val="11"/>
                <w:szCs w:val="11"/>
                <w:color w:val="auto"/>
              </w:rPr>
            </w:pPr>
          </w:p>
        </w:tc>
        <w:tc>
          <w:tcPr>
            <w:tcW w:w="680" w:type="dxa"/>
            <w:vAlign w:val="bottom"/>
            <w:gridSpan w:val="2"/>
          </w:tcPr>
          <w:p>
            <w:pPr>
              <w:jc w:val="right"/>
              <w:ind w:right="59"/>
              <w:spacing w:after="0" w:line="132" w:lineRule="exact"/>
              <w:rPr>
                <w:sz w:val="20"/>
                <w:szCs w:val="20"/>
                <w:color w:val="auto"/>
              </w:rPr>
            </w:pPr>
            <w:r>
              <w:rPr>
                <w:rFonts w:ascii="Arial" w:cs="Arial" w:eastAsia="Arial" w:hAnsi="Arial"/>
                <w:sz w:val="12"/>
                <w:szCs w:val="12"/>
                <w:color w:val="auto"/>
              </w:rPr>
              <w:t>1.4%</w:t>
            </w:r>
          </w:p>
        </w:tc>
        <w:tc>
          <w:tcPr>
            <w:tcW w:w="700" w:type="dxa"/>
            <w:vAlign w:val="bottom"/>
            <w:gridSpan w:val="2"/>
          </w:tcPr>
          <w:p>
            <w:pPr>
              <w:jc w:val="right"/>
              <w:ind w:right="79"/>
              <w:spacing w:after="0" w:line="132" w:lineRule="exact"/>
              <w:rPr>
                <w:sz w:val="20"/>
                <w:szCs w:val="20"/>
                <w:color w:val="auto"/>
              </w:rPr>
            </w:pPr>
            <w:r>
              <w:rPr>
                <w:rFonts w:ascii="Arial" w:cs="Arial" w:eastAsia="Arial" w:hAnsi="Arial"/>
                <w:sz w:val="12"/>
                <w:szCs w:val="12"/>
                <w:color w:val="auto"/>
              </w:rPr>
              <w:t>7.8%</w:t>
            </w:r>
          </w:p>
        </w:tc>
        <w:tc>
          <w:tcPr>
            <w:tcW w:w="680" w:type="dxa"/>
            <w:vAlign w:val="bottom"/>
            <w:gridSpan w:val="2"/>
          </w:tcPr>
          <w:p>
            <w:pPr>
              <w:jc w:val="right"/>
              <w:ind w:right="79"/>
              <w:spacing w:after="0" w:line="132" w:lineRule="exact"/>
              <w:rPr>
                <w:sz w:val="20"/>
                <w:szCs w:val="20"/>
                <w:color w:val="auto"/>
              </w:rPr>
            </w:pPr>
            <w:r>
              <w:rPr>
                <w:rFonts w:ascii="Arial" w:cs="Arial" w:eastAsia="Arial" w:hAnsi="Arial"/>
                <w:sz w:val="12"/>
                <w:szCs w:val="12"/>
                <w:color w:val="auto"/>
              </w:rPr>
              <w:t>12.5%</w:t>
            </w:r>
          </w:p>
        </w:tc>
        <w:tc>
          <w:tcPr>
            <w:tcW w:w="680" w:type="dxa"/>
            <w:vAlign w:val="bottom"/>
            <w:gridSpan w:val="2"/>
          </w:tcPr>
          <w:p>
            <w:pPr>
              <w:jc w:val="right"/>
              <w:ind w:right="79"/>
              <w:spacing w:after="0" w:line="132" w:lineRule="exact"/>
              <w:rPr>
                <w:sz w:val="20"/>
                <w:szCs w:val="20"/>
                <w:color w:val="auto"/>
              </w:rPr>
            </w:pPr>
            <w:r>
              <w:rPr>
                <w:rFonts w:ascii="Arial" w:cs="Arial" w:eastAsia="Arial" w:hAnsi="Arial"/>
                <w:sz w:val="12"/>
                <w:szCs w:val="12"/>
                <w:color w:val="auto"/>
              </w:rPr>
              <w:t>12.8%</w:t>
            </w:r>
          </w:p>
        </w:tc>
        <w:tc>
          <w:tcPr>
            <w:tcW w:w="680" w:type="dxa"/>
            <w:vAlign w:val="bottom"/>
            <w:gridSpan w:val="2"/>
          </w:tcPr>
          <w:p>
            <w:pPr>
              <w:jc w:val="right"/>
              <w:ind w:right="79"/>
              <w:spacing w:after="0" w:line="132" w:lineRule="exact"/>
              <w:rPr>
                <w:sz w:val="20"/>
                <w:szCs w:val="20"/>
                <w:color w:val="auto"/>
              </w:rPr>
            </w:pPr>
            <w:r>
              <w:rPr>
                <w:rFonts w:ascii="Arial" w:cs="Arial" w:eastAsia="Arial" w:hAnsi="Arial"/>
                <w:sz w:val="12"/>
                <w:szCs w:val="12"/>
                <w:color w:val="auto"/>
              </w:rPr>
              <w:t>12.4%</w:t>
            </w:r>
          </w:p>
        </w:tc>
        <w:tc>
          <w:tcPr>
            <w:tcW w:w="6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14.6%</w:t>
            </w:r>
          </w:p>
        </w:tc>
      </w:tr>
      <w:tr>
        <w:trPr>
          <w:trHeight w:val="131"/>
        </w:trPr>
        <w:tc>
          <w:tcPr>
            <w:tcW w:w="1840" w:type="dxa"/>
            <w:vAlign w:val="bottom"/>
            <w:shd w:val="clear" w:color="auto" w:fill="CCEEFF"/>
          </w:tcPr>
          <w:p>
            <w:pPr>
              <w:ind w:left="260"/>
              <w:spacing w:after="0" w:line="132" w:lineRule="exact"/>
              <w:rPr>
                <w:sz w:val="20"/>
                <w:szCs w:val="20"/>
                <w:color w:val="auto"/>
              </w:rPr>
            </w:pPr>
            <w:r>
              <w:rPr>
                <w:rFonts w:ascii="Arial" w:cs="Arial" w:eastAsia="Arial" w:hAnsi="Arial"/>
                <w:sz w:val="12"/>
                <w:szCs w:val="12"/>
                <w:color w:val="auto"/>
              </w:rPr>
              <w:t>Consumer</w:t>
            </w:r>
          </w:p>
        </w:tc>
        <w:tc>
          <w:tcPr>
            <w:tcW w:w="660" w:type="dxa"/>
            <w:vAlign w:val="bottom"/>
            <w:gridSpan w:val="2"/>
            <w:shd w:val="clear" w:color="auto" w:fill="CCEEFF"/>
          </w:tcPr>
          <w:p>
            <w:pPr>
              <w:jc w:val="right"/>
              <w:ind w:right="220"/>
              <w:spacing w:after="0" w:line="132" w:lineRule="exact"/>
              <w:rPr>
                <w:sz w:val="20"/>
                <w:szCs w:val="20"/>
                <w:color w:val="auto"/>
              </w:rPr>
            </w:pPr>
            <w:r>
              <w:rPr>
                <w:rFonts w:ascii="Arial" w:cs="Arial" w:eastAsia="Arial" w:hAnsi="Arial"/>
                <w:sz w:val="12"/>
                <w:szCs w:val="12"/>
                <w:color w:val="auto"/>
              </w:rPr>
              <w:t>9,018</w:t>
            </w:r>
          </w:p>
        </w:tc>
        <w:tc>
          <w:tcPr>
            <w:tcW w:w="660" w:type="dxa"/>
            <w:vAlign w:val="bottom"/>
            <w:gridSpan w:val="2"/>
            <w:shd w:val="clear" w:color="auto" w:fill="CCEEFF"/>
          </w:tcPr>
          <w:p>
            <w:pPr>
              <w:jc w:val="right"/>
              <w:ind w:right="220"/>
              <w:spacing w:after="0" w:line="132" w:lineRule="exact"/>
              <w:rPr>
                <w:sz w:val="20"/>
                <w:szCs w:val="20"/>
                <w:color w:val="auto"/>
              </w:rPr>
            </w:pPr>
            <w:r>
              <w:rPr>
                <w:rFonts w:ascii="Arial" w:cs="Arial" w:eastAsia="Arial" w:hAnsi="Arial"/>
                <w:sz w:val="12"/>
                <w:szCs w:val="12"/>
                <w:color w:val="auto"/>
              </w:rPr>
              <w:t>10,076</w:t>
            </w:r>
          </w:p>
        </w:tc>
        <w:tc>
          <w:tcPr>
            <w:tcW w:w="660" w:type="dxa"/>
            <w:vAlign w:val="bottom"/>
            <w:gridSpan w:val="2"/>
            <w:shd w:val="clear" w:color="auto" w:fill="CCEEFF"/>
          </w:tcPr>
          <w:p>
            <w:pPr>
              <w:jc w:val="right"/>
              <w:ind w:right="220"/>
              <w:spacing w:after="0" w:line="132" w:lineRule="exact"/>
              <w:rPr>
                <w:sz w:val="20"/>
                <w:szCs w:val="20"/>
                <w:color w:val="auto"/>
              </w:rPr>
            </w:pPr>
            <w:r>
              <w:rPr>
                <w:rFonts w:ascii="Arial" w:cs="Arial" w:eastAsia="Arial" w:hAnsi="Arial"/>
                <w:sz w:val="12"/>
                <w:szCs w:val="12"/>
                <w:color w:val="auto"/>
              </w:rPr>
              <w:t>10,000</w:t>
            </w:r>
          </w:p>
        </w:tc>
        <w:tc>
          <w:tcPr>
            <w:tcW w:w="5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9,018</w:t>
            </w:r>
          </w:p>
        </w:tc>
        <w:tc>
          <w:tcPr>
            <w:tcW w:w="780" w:type="dxa"/>
            <w:vAlign w:val="bottom"/>
            <w:gridSpan w:val="3"/>
            <w:shd w:val="clear" w:color="auto" w:fill="CCEEFF"/>
          </w:tcPr>
          <w:p>
            <w:pPr>
              <w:jc w:val="right"/>
              <w:ind w:right="200"/>
              <w:spacing w:after="0" w:line="132" w:lineRule="exact"/>
              <w:rPr>
                <w:sz w:val="20"/>
                <w:szCs w:val="20"/>
                <w:color w:val="auto"/>
              </w:rPr>
            </w:pPr>
            <w:r>
              <w:rPr>
                <w:rFonts w:ascii="Arial" w:cs="Arial" w:eastAsia="Arial" w:hAnsi="Arial"/>
                <w:sz w:val="12"/>
                <w:szCs w:val="12"/>
                <w:color w:val="auto"/>
              </w:rPr>
              <w:t>10,076</w:t>
            </w:r>
          </w:p>
        </w:tc>
        <w:tc>
          <w:tcPr>
            <w:tcW w:w="660" w:type="dxa"/>
            <w:vAlign w:val="bottom"/>
            <w:gridSpan w:val="2"/>
            <w:shd w:val="clear" w:color="auto" w:fill="CCEEFF"/>
          </w:tcPr>
          <w:p>
            <w:pPr>
              <w:jc w:val="right"/>
              <w:ind w:right="200"/>
              <w:spacing w:after="0" w:line="132" w:lineRule="exact"/>
              <w:rPr>
                <w:sz w:val="20"/>
                <w:szCs w:val="20"/>
                <w:color w:val="auto"/>
              </w:rPr>
            </w:pPr>
            <w:r>
              <w:rPr>
                <w:rFonts w:ascii="Arial" w:cs="Arial" w:eastAsia="Arial" w:hAnsi="Arial"/>
                <w:sz w:val="12"/>
                <w:szCs w:val="12"/>
                <w:color w:val="auto"/>
              </w:rPr>
              <w:t>10,000</w:t>
            </w:r>
          </w:p>
        </w:tc>
        <w:tc>
          <w:tcPr>
            <w:tcW w:w="680" w:type="dxa"/>
            <w:vAlign w:val="bottom"/>
            <w:gridSpan w:val="2"/>
            <w:shd w:val="clear" w:color="auto" w:fill="CCEEFF"/>
          </w:tcPr>
          <w:p>
            <w:pPr>
              <w:jc w:val="right"/>
              <w:ind w:right="59"/>
              <w:spacing w:after="0" w:line="132" w:lineRule="exact"/>
              <w:rPr>
                <w:sz w:val="20"/>
                <w:szCs w:val="20"/>
                <w:color w:val="auto"/>
              </w:rPr>
            </w:pPr>
            <w:r>
              <w:rPr>
                <w:rFonts w:ascii="Arial" w:cs="Arial" w:eastAsia="Arial" w:hAnsi="Arial"/>
                <w:sz w:val="12"/>
                <w:szCs w:val="12"/>
                <w:color w:val="auto"/>
              </w:rPr>
              <w:t>-0.8%</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10.9%</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59"/>
              <w:spacing w:after="0" w:line="132" w:lineRule="exact"/>
              <w:rPr>
                <w:sz w:val="20"/>
                <w:szCs w:val="20"/>
                <w:color w:val="auto"/>
              </w:rPr>
            </w:pPr>
            <w:r>
              <w:rPr>
                <w:rFonts w:ascii="Arial" w:cs="Arial" w:eastAsia="Arial" w:hAnsi="Arial"/>
                <w:sz w:val="12"/>
                <w:szCs w:val="12"/>
                <w:color w:val="auto"/>
              </w:rPr>
              <w:t>-0.8%</w:t>
            </w:r>
          </w:p>
        </w:tc>
        <w:tc>
          <w:tcPr>
            <w:tcW w:w="700" w:type="dxa"/>
            <w:vAlign w:val="bottom"/>
            <w:gridSpan w:val="2"/>
            <w:shd w:val="clear" w:color="auto" w:fill="CCEEFF"/>
          </w:tcPr>
          <w:p>
            <w:pPr>
              <w:jc w:val="right"/>
              <w:ind w:right="79"/>
              <w:spacing w:after="0" w:line="132" w:lineRule="exact"/>
              <w:rPr>
                <w:sz w:val="20"/>
                <w:szCs w:val="20"/>
                <w:color w:val="auto"/>
              </w:rPr>
            </w:pPr>
            <w:r>
              <w:rPr>
                <w:rFonts w:ascii="Arial" w:cs="Arial" w:eastAsia="Arial" w:hAnsi="Arial"/>
                <w:sz w:val="12"/>
                <w:szCs w:val="12"/>
                <w:color w:val="auto"/>
              </w:rPr>
              <w:t>10.9%</w:t>
            </w:r>
          </w:p>
        </w:tc>
        <w:tc>
          <w:tcPr>
            <w:tcW w:w="680" w:type="dxa"/>
            <w:vAlign w:val="bottom"/>
            <w:gridSpan w:val="2"/>
            <w:shd w:val="clear" w:color="auto" w:fill="CCEEFF"/>
          </w:tcPr>
          <w:p>
            <w:pPr>
              <w:jc w:val="right"/>
              <w:ind w:right="79"/>
              <w:spacing w:after="0" w:line="132" w:lineRule="exact"/>
              <w:rPr>
                <w:sz w:val="20"/>
                <w:szCs w:val="20"/>
                <w:color w:val="auto"/>
              </w:rPr>
            </w:pPr>
            <w:r>
              <w:rPr>
                <w:rFonts w:ascii="Arial" w:cs="Arial" w:eastAsia="Arial" w:hAnsi="Arial"/>
                <w:sz w:val="12"/>
                <w:szCs w:val="12"/>
                <w:color w:val="auto"/>
              </w:rPr>
              <w:t>6.7%</w:t>
            </w:r>
          </w:p>
        </w:tc>
        <w:tc>
          <w:tcPr>
            <w:tcW w:w="680" w:type="dxa"/>
            <w:vAlign w:val="bottom"/>
            <w:gridSpan w:val="2"/>
            <w:shd w:val="clear" w:color="auto" w:fill="CCEEFF"/>
          </w:tcPr>
          <w:p>
            <w:pPr>
              <w:jc w:val="right"/>
              <w:ind w:right="79"/>
              <w:spacing w:after="0" w:line="132" w:lineRule="exact"/>
              <w:rPr>
                <w:sz w:val="20"/>
                <w:szCs w:val="20"/>
                <w:color w:val="auto"/>
              </w:rPr>
            </w:pPr>
            <w:r>
              <w:rPr>
                <w:rFonts w:ascii="Arial" w:cs="Arial" w:eastAsia="Arial" w:hAnsi="Arial"/>
                <w:sz w:val="12"/>
                <w:szCs w:val="12"/>
                <w:color w:val="auto"/>
              </w:rPr>
              <w:t>7.2%</w:t>
            </w:r>
          </w:p>
        </w:tc>
        <w:tc>
          <w:tcPr>
            <w:tcW w:w="680" w:type="dxa"/>
            <w:vAlign w:val="bottom"/>
            <w:gridSpan w:val="2"/>
            <w:shd w:val="clear" w:color="auto" w:fill="CCEEFF"/>
          </w:tcPr>
          <w:p>
            <w:pPr>
              <w:jc w:val="right"/>
              <w:ind w:right="79"/>
              <w:spacing w:after="0" w:line="132" w:lineRule="exact"/>
              <w:rPr>
                <w:sz w:val="20"/>
                <w:szCs w:val="20"/>
                <w:color w:val="auto"/>
              </w:rPr>
            </w:pPr>
            <w:r>
              <w:rPr>
                <w:rFonts w:ascii="Arial" w:cs="Arial" w:eastAsia="Arial" w:hAnsi="Arial"/>
                <w:sz w:val="12"/>
                <w:szCs w:val="12"/>
                <w:color w:val="auto"/>
              </w:rPr>
              <w:t>6.8%</w:t>
            </w:r>
          </w:p>
        </w:tc>
        <w:tc>
          <w:tcPr>
            <w:tcW w:w="6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8.0%</w:t>
            </w:r>
          </w:p>
        </w:tc>
      </w:tr>
      <w:tr>
        <w:trPr>
          <w:trHeight w:val="131"/>
        </w:trPr>
        <w:tc>
          <w:tcPr>
            <w:tcW w:w="1840" w:type="dxa"/>
            <w:vAlign w:val="bottom"/>
          </w:tcPr>
          <w:p>
            <w:pPr>
              <w:ind w:left="260"/>
              <w:spacing w:after="0" w:line="132" w:lineRule="exact"/>
              <w:rPr>
                <w:sz w:val="20"/>
                <w:szCs w:val="20"/>
                <w:color w:val="auto"/>
              </w:rPr>
            </w:pPr>
            <w:r>
              <w:rPr>
                <w:rFonts w:ascii="Arial" w:cs="Arial" w:eastAsia="Arial" w:hAnsi="Arial"/>
                <w:sz w:val="12"/>
                <w:szCs w:val="12"/>
                <w:color w:val="auto"/>
              </w:rPr>
              <w:t>Credit Card</w:t>
            </w:r>
          </w:p>
        </w:tc>
        <w:tc>
          <w:tcPr>
            <w:tcW w:w="660" w:type="dxa"/>
            <w:vAlign w:val="bottom"/>
            <w:gridSpan w:val="2"/>
          </w:tcPr>
          <w:p>
            <w:pPr>
              <w:jc w:val="right"/>
              <w:ind w:right="220"/>
              <w:spacing w:after="0" w:line="132" w:lineRule="exact"/>
              <w:rPr>
                <w:sz w:val="20"/>
                <w:szCs w:val="20"/>
                <w:color w:val="auto"/>
              </w:rPr>
            </w:pPr>
            <w:r>
              <w:rPr>
                <w:rFonts w:ascii="Arial" w:cs="Arial" w:eastAsia="Arial" w:hAnsi="Arial"/>
                <w:sz w:val="12"/>
                <w:szCs w:val="12"/>
                <w:color w:val="auto"/>
              </w:rPr>
              <w:t>4,637</w:t>
            </w:r>
          </w:p>
        </w:tc>
        <w:tc>
          <w:tcPr>
            <w:tcW w:w="660" w:type="dxa"/>
            <w:vAlign w:val="bottom"/>
            <w:gridSpan w:val="2"/>
          </w:tcPr>
          <w:p>
            <w:pPr>
              <w:jc w:val="right"/>
              <w:ind w:right="220"/>
              <w:spacing w:after="0" w:line="132" w:lineRule="exact"/>
              <w:rPr>
                <w:sz w:val="20"/>
                <w:szCs w:val="20"/>
                <w:color w:val="auto"/>
              </w:rPr>
            </w:pPr>
            <w:r>
              <w:rPr>
                <w:rFonts w:ascii="Arial" w:cs="Arial" w:eastAsia="Arial" w:hAnsi="Arial"/>
                <w:sz w:val="12"/>
                <w:szCs w:val="12"/>
                <w:color w:val="auto"/>
              </w:rPr>
              <w:t>3,866</w:t>
            </w:r>
          </w:p>
        </w:tc>
        <w:tc>
          <w:tcPr>
            <w:tcW w:w="440" w:type="dxa"/>
            <w:vAlign w:val="bottom"/>
          </w:tcPr>
          <w:p>
            <w:pPr>
              <w:jc w:val="right"/>
              <w:spacing w:after="0" w:line="132" w:lineRule="exact"/>
              <w:rPr>
                <w:sz w:val="20"/>
                <w:szCs w:val="20"/>
                <w:color w:val="auto"/>
              </w:rPr>
            </w:pPr>
            <w:r>
              <w:rPr>
                <w:rFonts w:ascii="Arial" w:cs="Arial" w:eastAsia="Arial" w:hAnsi="Arial"/>
                <w:sz w:val="12"/>
                <w:szCs w:val="12"/>
                <w:color w:val="auto"/>
              </w:rPr>
              <w:t>3,731</w:t>
            </w:r>
          </w:p>
        </w:tc>
        <w:tc>
          <w:tcPr>
            <w:tcW w:w="220" w:type="dxa"/>
            <w:vAlign w:val="bottom"/>
          </w:tcPr>
          <w:p>
            <w:pPr>
              <w:spacing w:after="0"/>
              <w:rPr>
                <w:sz w:val="11"/>
                <w:szCs w:val="11"/>
                <w:color w:val="auto"/>
              </w:rPr>
            </w:pPr>
          </w:p>
        </w:tc>
        <w:tc>
          <w:tcPr>
            <w:tcW w:w="5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4,637</w:t>
            </w:r>
          </w:p>
        </w:tc>
        <w:tc>
          <w:tcPr>
            <w:tcW w:w="780" w:type="dxa"/>
            <w:vAlign w:val="bottom"/>
            <w:gridSpan w:val="3"/>
          </w:tcPr>
          <w:p>
            <w:pPr>
              <w:jc w:val="right"/>
              <w:ind w:right="200"/>
              <w:spacing w:after="0" w:line="132" w:lineRule="exact"/>
              <w:rPr>
                <w:sz w:val="20"/>
                <w:szCs w:val="20"/>
                <w:color w:val="auto"/>
              </w:rPr>
            </w:pPr>
            <w:r>
              <w:rPr>
                <w:rFonts w:ascii="Arial" w:cs="Arial" w:eastAsia="Arial" w:hAnsi="Arial"/>
                <w:sz w:val="12"/>
                <w:szCs w:val="12"/>
                <w:color w:val="auto"/>
              </w:rPr>
              <w:t>3,866</w:t>
            </w:r>
          </w:p>
        </w:tc>
        <w:tc>
          <w:tcPr>
            <w:tcW w:w="66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3,731</w:t>
            </w:r>
          </w:p>
        </w:tc>
        <w:tc>
          <w:tcPr>
            <w:tcW w:w="680" w:type="dxa"/>
            <w:vAlign w:val="bottom"/>
            <w:gridSpan w:val="2"/>
            <w:shd w:val="clear" w:color="auto" w:fill="F17EC7"/>
          </w:tcPr>
          <w:p>
            <w:pPr>
              <w:jc w:val="right"/>
              <w:ind w:right="59"/>
              <w:spacing w:after="0" w:line="132" w:lineRule="exact"/>
              <w:rPr>
                <w:sz w:val="20"/>
                <w:szCs w:val="20"/>
                <w:color w:val="auto"/>
              </w:rPr>
            </w:pPr>
            <w:r>
              <w:rPr>
                <w:rFonts w:ascii="Arial" w:cs="Arial" w:eastAsia="Arial" w:hAnsi="Arial"/>
                <w:sz w:val="12"/>
                <w:szCs w:val="12"/>
                <w:color w:val="auto"/>
              </w:rPr>
              <w:t>-3.5%</w:t>
            </w:r>
          </w:p>
        </w:tc>
        <w:tc>
          <w:tcPr>
            <w:tcW w:w="580" w:type="dxa"/>
            <w:vAlign w:val="bottom"/>
            <w:gridSpan w:val="2"/>
            <w:shd w:val="clear" w:color="auto" w:fill="F17EC7"/>
          </w:tcPr>
          <w:p>
            <w:pPr>
              <w:jc w:val="right"/>
              <w:spacing w:after="0" w:line="132" w:lineRule="exact"/>
              <w:rPr>
                <w:sz w:val="20"/>
                <w:szCs w:val="20"/>
                <w:color w:val="auto"/>
              </w:rPr>
            </w:pPr>
            <w:r>
              <w:rPr>
                <w:rFonts w:ascii="Arial" w:cs="Arial" w:eastAsia="Arial" w:hAnsi="Arial"/>
                <w:sz w:val="12"/>
                <w:szCs w:val="12"/>
                <w:color w:val="auto"/>
              </w:rPr>
              <w:t>-19.5%</w:t>
            </w:r>
          </w:p>
        </w:tc>
        <w:tc>
          <w:tcPr>
            <w:tcW w:w="100" w:type="dxa"/>
            <w:vAlign w:val="bottom"/>
            <w:shd w:val="clear" w:color="auto" w:fill="F17EC7"/>
          </w:tcPr>
          <w:p>
            <w:pPr>
              <w:spacing w:after="0"/>
              <w:rPr>
                <w:sz w:val="11"/>
                <w:szCs w:val="11"/>
                <w:color w:val="auto"/>
              </w:rPr>
            </w:pPr>
          </w:p>
        </w:tc>
        <w:tc>
          <w:tcPr>
            <w:tcW w:w="680" w:type="dxa"/>
            <w:vAlign w:val="bottom"/>
            <w:gridSpan w:val="2"/>
            <w:shd w:val="clear" w:color="auto" w:fill="F17EC7"/>
          </w:tcPr>
          <w:p>
            <w:pPr>
              <w:jc w:val="right"/>
              <w:ind w:right="59"/>
              <w:spacing w:after="0" w:line="132" w:lineRule="exact"/>
              <w:rPr>
                <w:sz w:val="20"/>
                <w:szCs w:val="20"/>
                <w:color w:val="auto"/>
              </w:rPr>
            </w:pPr>
            <w:r>
              <w:rPr>
                <w:rFonts w:ascii="Arial" w:cs="Arial" w:eastAsia="Arial" w:hAnsi="Arial"/>
                <w:sz w:val="12"/>
                <w:szCs w:val="12"/>
                <w:color w:val="auto"/>
              </w:rPr>
              <w:t>-3.5%</w:t>
            </w:r>
          </w:p>
        </w:tc>
        <w:tc>
          <w:tcPr>
            <w:tcW w:w="700" w:type="dxa"/>
            <w:vAlign w:val="bottom"/>
            <w:gridSpan w:val="2"/>
            <w:shd w:val="clear" w:color="auto" w:fill="F17EC7"/>
          </w:tcPr>
          <w:p>
            <w:pPr>
              <w:jc w:val="right"/>
              <w:ind w:right="79"/>
              <w:spacing w:after="0" w:line="132" w:lineRule="exact"/>
              <w:rPr>
                <w:sz w:val="20"/>
                <w:szCs w:val="20"/>
                <w:color w:val="auto"/>
              </w:rPr>
            </w:pPr>
            <w:r>
              <w:rPr>
                <w:rFonts w:ascii="Arial" w:cs="Arial" w:eastAsia="Arial" w:hAnsi="Arial"/>
                <w:sz w:val="12"/>
                <w:szCs w:val="12"/>
                <w:color w:val="auto"/>
              </w:rPr>
              <w:t>-19.5%</w:t>
            </w:r>
          </w:p>
        </w:tc>
        <w:tc>
          <w:tcPr>
            <w:tcW w:w="680" w:type="dxa"/>
            <w:vAlign w:val="bottom"/>
            <w:gridSpan w:val="2"/>
          </w:tcPr>
          <w:p>
            <w:pPr>
              <w:jc w:val="right"/>
              <w:ind w:right="79"/>
              <w:spacing w:after="0" w:line="132" w:lineRule="exact"/>
              <w:rPr>
                <w:sz w:val="20"/>
                <w:szCs w:val="20"/>
                <w:color w:val="auto"/>
              </w:rPr>
            </w:pPr>
            <w:r>
              <w:rPr>
                <w:rFonts w:ascii="Arial" w:cs="Arial" w:eastAsia="Arial" w:hAnsi="Arial"/>
                <w:sz w:val="12"/>
                <w:szCs w:val="12"/>
                <w:color w:val="auto"/>
              </w:rPr>
              <w:t>3.5%</w:t>
            </w:r>
          </w:p>
        </w:tc>
        <w:tc>
          <w:tcPr>
            <w:tcW w:w="680" w:type="dxa"/>
            <w:vAlign w:val="bottom"/>
            <w:gridSpan w:val="2"/>
          </w:tcPr>
          <w:p>
            <w:pPr>
              <w:jc w:val="right"/>
              <w:ind w:right="79"/>
              <w:spacing w:after="0" w:line="132" w:lineRule="exact"/>
              <w:rPr>
                <w:sz w:val="20"/>
                <w:szCs w:val="20"/>
                <w:color w:val="auto"/>
              </w:rPr>
            </w:pPr>
            <w:r>
              <w:rPr>
                <w:rFonts w:ascii="Arial" w:cs="Arial" w:eastAsia="Arial" w:hAnsi="Arial"/>
                <w:sz w:val="12"/>
                <w:szCs w:val="12"/>
                <w:color w:val="auto"/>
              </w:rPr>
              <w:t>2.8%</w:t>
            </w:r>
          </w:p>
        </w:tc>
        <w:tc>
          <w:tcPr>
            <w:tcW w:w="680" w:type="dxa"/>
            <w:vAlign w:val="bottom"/>
            <w:gridSpan w:val="2"/>
          </w:tcPr>
          <w:p>
            <w:pPr>
              <w:jc w:val="right"/>
              <w:ind w:right="79"/>
              <w:spacing w:after="0" w:line="132" w:lineRule="exact"/>
              <w:rPr>
                <w:sz w:val="20"/>
                <w:szCs w:val="20"/>
                <w:color w:val="auto"/>
              </w:rPr>
            </w:pPr>
            <w:r>
              <w:rPr>
                <w:rFonts w:ascii="Arial" w:cs="Arial" w:eastAsia="Arial" w:hAnsi="Arial"/>
                <w:sz w:val="12"/>
                <w:szCs w:val="12"/>
                <w:color w:val="auto"/>
              </w:rPr>
              <w:t>2.5%</w:t>
            </w:r>
          </w:p>
        </w:tc>
        <w:tc>
          <w:tcPr>
            <w:tcW w:w="6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3.0%</w:t>
            </w:r>
          </w:p>
        </w:tc>
      </w:tr>
      <w:tr>
        <w:trPr>
          <w:trHeight w:val="131"/>
        </w:trPr>
        <w:tc>
          <w:tcPr>
            <w:tcW w:w="1840" w:type="dxa"/>
            <w:vAlign w:val="bottom"/>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Mibanco</w:t>
            </w:r>
          </w:p>
        </w:tc>
        <w:tc>
          <w:tcPr>
            <w:tcW w:w="660" w:type="dxa"/>
            <w:vAlign w:val="bottom"/>
            <w:gridSpan w:val="2"/>
            <w:shd w:val="clear" w:color="auto" w:fill="CCEEFF"/>
          </w:tcPr>
          <w:p>
            <w:pPr>
              <w:jc w:val="right"/>
              <w:ind w:right="220"/>
              <w:spacing w:after="0" w:line="132" w:lineRule="exact"/>
              <w:rPr>
                <w:sz w:val="20"/>
                <w:szCs w:val="20"/>
                <w:color w:val="auto"/>
              </w:rPr>
            </w:pPr>
            <w:r>
              <w:rPr>
                <w:rFonts w:ascii="Arial" w:cs="Arial" w:eastAsia="Arial" w:hAnsi="Arial"/>
                <w:sz w:val="12"/>
                <w:szCs w:val="12"/>
                <w:b w:val="1"/>
                <w:bCs w:val="1"/>
                <w:color w:val="auto"/>
              </w:rPr>
              <w:t>11,593</w:t>
            </w:r>
          </w:p>
        </w:tc>
        <w:tc>
          <w:tcPr>
            <w:tcW w:w="660" w:type="dxa"/>
            <w:vAlign w:val="bottom"/>
            <w:gridSpan w:val="2"/>
            <w:shd w:val="clear" w:color="auto" w:fill="CCEEFF"/>
          </w:tcPr>
          <w:p>
            <w:pPr>
              <w:jc w:val="right"/>
              <w:ind w:right="220"/>
              <w:spacing w:after="0" w:line="132" w:lineRule="exact"/>
              <w:rPr>
                <w:sz w:val="20"/>
                <w:szCs w:val="20"/>
                <w:color w:val="auto"/>
              </w:rPr>
            </w:pPr>
            <w:r>
              <w:rPr>
                <w:rFonts w:ascii="Arial" w:cs="Arial" w:eastAsia="Arial" w:hAnsi="Arial"/>
                <w:sz w:val="12"/>
                <w:szCs w:val="12"/>
                <w:b w:val="1"/>
                <w:bCs w:val="1"/>
                <w:color w:val="auto"/>
              </w:rPr>
              <w:t>13,023</w:t>
            </w:r>
          </w:p>
        </w:tc>
        <w:tc>
          <w:tcPr>
            <w:tcW w:w="660" w:type="dxa"/>
            <w:vAlign w:val="bottom"/>
            <w:gridSpan w:val="2"/>
            <w:shd w:val="clear" w:color="auto" w:fill="CCEEFF"/>
          </w:tcPr>
          <w:p>
            <w:pPr>
              <w:jc w:val="right"/>
              <w:ind w:right="220"/>
              <w:spacing w:after="0" w:line="132" w:lineRule="exact"/>
              <w:rPr>
                <w:sz w:val="20"/>
                <w:szCs w:val="20"/>
                <w:color w:val="auto"/>
              </w:rPr>
            </w:pPr>
            <w:r>
              <w:rPr>
                <w:rFonts w:ascii="Arial" w:cs="Arial" w:eastAsia="Arial" w:hAnsi="Arial"/>
                <w:sz w:val="12"/>
                <w:szCs w:val="12"/>
                <w:b w:val="1"/>
                <w:bCs w:val="1"/>
                <w:color w:val="auto"/>
              </w:rPr>
              <w:t>13,082</w:t>
            </w:r>
          </w:p>
        </w:tc>
        <w:tc>
          <w:tcPr>
            <w:tcW w:w="5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b w:val="1"/>
                <w:bCs w:val="1"/>
                <w:color w:val="auto"/>
              </w:rPr>
              <w:t>9,729</w:t>
            </w:r>
          </w:p>
        </w:tc>
        <w:tc>
          <w:tcPr>
            <w:tcW w:w="780" w:type="dxa"/>
            <w:vAlign w:val="bottom"/>
            <w:gridSpan w:val="3"/>
            <w:shd w:val="clear" w:color="auto" w:fill="CCEEFF"/>
          </w:tcPr>
          <w:p>
            <w:pPr>
              <w:jc w:val="right"/>
              <w:ind w:right="200"/>
              <w:spacing w:after="0" w:line="132" w:lineRule="exact"/>
              <w:rPr>
                <w:sz w:val="20"/>
                <w:szCs w:val="20"/>
                <w:color w:val="auto"/>
              </w:rPr>
            </w:pPr>
            <w:r>
              <w:rPr>
                <w:rFonts w:ascii="Arial" w:cs="Arial" w:eastAsia="Arial" w:hAnsi="Arial"/>
                <w:sz w:val="12"/>
                <w:szCs w:val="12"/>
                <w:b w:val="1"/>
                <w:bCs w:val="1"/>
                <w:color w:val="auto"/>
              </w:rPr>
              <w:t>10,232</w:t>
            </w:r>
          </w:p>
        </w:tc>
        <w:tc>
          <w:tcPr>
            <w:tcW w:w="660" w:type="dxa"/>
            <w:vAlign w:val="bottom"/>
            <w:gridSpan w:val="2"/>
            <w:shd w:val="clear" w:color="auto" w:fill="CCEEFF"/>
          </w:tcPr>
          <w:p>
            <w:pPr>
              <w:jc w:val="right"/>
              <w:ind w:right="200"/>
              <w:spacing w:after="0" w:line="132" w:lineRule="exact"/>
              <w:rPr>
                <w:sz w:val="20"/>
                <w:szCs w:val="20"/>
                <w:color w:val="auto"/>
              </w:rPr>
            </w:pPr>
            <w:r>
              <w:rPr>
                <w:rFonts w:ascii="Arial" w:cs="Arial" w:eastAsia="Arial" w:hAnsi="Arial"/>
                <w:sz w:val="12"/>
                <w:szCs w:val="12"/>
                <w:b w:val="1"/>
                <w:bCs w:val="1"/>
                <w:color w:val="auto"/>
              </w:rPr>
              <w:t>10,428</w:t>
            </w:r>
          </w:p>
        </w:tc>
        <w:tc>
          <w:tcPr>
            <w:tcW w:w="680" w:type="dxa"/>
            <w:vAlign w:val="bottom"/>
            <w:gridSpan w:val="2"/>
            <w:shd w:val="clear" w:color="auto" w:fill="CCEEFF"/>
          </w:tcPr>
          <w:p>
            <w:pPr>
              <w:jc w:val="right"/>
              <w:ind w:right="39"/>
              <w:spacing w:after="0" w:line="132" w:lineRule="exact"/>
              <w:rPr>
                <w:sz w:val="20"/>
                <w:szCs w:val="20"/>
                <w:color w:val="auto"/>
              </w:rPr>
            </w:pPr>
            <w:r>
              <w:rPr>
                <w:rFonts w:ascii="Arial" w:cs="Arial" w:eastAsia="Arial" w:hAnsi="Arial"/>
                <w:sz w:val="12"/>
                <w:szCs w:val="12"/>
                <w:b w:val="1"/>
                <w:bCs w:val="1"/>
                <w:color w:val="auto"/>
              </w:rPr>
              <w:t>0.5%</w:t>
            </w:r>
          </w:p>
        </w:tc>
        <w:tc>
          <w:tcPr>
            <w:tcW w:w="580" w:type="dxa"/>
            <w:vAlign w:val="bottom"/>
            <w:gridSpan w:val="2"/>
            <w:shd w:val="clear" w:color="auto" w:fill="66E0DA"/>
          </w:tcPr>
          <w:p>
            <w:pPr>
              <w:jc w:val="right"/>
              <w:spacing w:after="0" w:line="132" w:lineRule="exact"/>
              <w:rPr>
                <w:sz w:val="20"/>
                <w:szCs w:val="20"/>
                <w:color w:val="auto"/>
              </w:rPr>
            </w:pPr>
            <w:r>
              <w:rPr>
                <w:rFonts w:ascii="Arial" w:cs="Arial" w:eastAsia="Arial" w:hAnsi="Arial"/>
                <w:sz w:val="12"/>
                <w:szCs w:val="12"/>
                <w:b w:val="1"/>
                <w:bCs w:val="1"/>
                <w:color w:val="auto"/>
              </w:rPr>
              <w:t>12.8%</w:t>
            </w:r>
          </w:p>
        </w:tc>
        <w:tc>
          <w:tcPr>
            <w:tcW w:w="100" w:type="dxa"/>
            <w:vAlign w:val="bottom"/>
            <w:shd w:val="clear" w:color="auto" w:fill="66E0DA"/>
          </w:tcPr>
          <w:p>
            <w:pPr>
              <w:spacing w:after="0"/>
              <w:rPr>
                <w:sz w:val="11"/>
                <w:szCs w:val="11"/>
                <w:color w:val="auto"/>
              </w:rPr>
            </w:pPr>
          </w:p>
        </w:tc>
        <w:tc>
          <w:tcPr>
            <w:tcW w:w="680" w:type="dxa"/>
            <w:vAlign w:val="bottom"/>
            <w:gridSpan w:val="2"/>
            <w:shd w:val="clear" w:color="auto" w:fill="CCEEFF"/>
          </w:tcPr>
          <w:p>
            <w:pPr>
              <w:jc w:val="right"/>
              <w:ind w:right="39"/>
              <w:spacing w:after="0" w:line="132" w:lineRule="exact"/>
              <w:rPr>
                <w:sz w:val="20"/>
                <w:szCs w:val="20"/>
                <w:color w:val="auto"/>
              </w:rPr>
            </w:pPr>
            <w:r>
              <w:rPr>
                <w:rFonts w:ascii="Arial" w:cs="Arial" w:eastAsia="Arial" w:hAnsi="Arial"/>
                <w:sz w:val="12"/>
                <w:szCs w:val="12"/>
                <w:b w:val="1"/>
                <w:bCs w:val="1"/>
                <w:color w:val="auto"/>
              </w:rPr>
              <w:t>1.9%</w:t>
            </w:r>
          </w:p>
        </w:tc>
        <w:tc>
          <w:tcPr>
            <w:tcW w:w="700" w:type="dxa"/>
            <w:vAlign w:val="bottom"/>
            <w:gridSpan w:val="2"/>
            <w:shd w:val="clear" w:color="auto" w:fill="66E0DA"/>
          </w:tcPr>
          <w:p>
            <w:pPr>
              <w:jc w:val="right"/>
              <w:ind w:right="59"/>
              <w:spacing w:after="0" w:line="132" w:lineRule="exact"/>
              <w:rPr>
                <w:sz w:val="20"/>
                <w:szCs w:val="20"/>
                <w:color w:val="auto"/>
              </w:rPr>
            </w:pPr>
            <w:r>
              <w:rPr>
                <w:rFonts w:ascii="Arial" w:cs="Arial" w:eastAsia="Arial" w:hAnsi="Arial"/>
                <w:sz w:val="12"/>
                <w:szCs w:val="12"/>
                <w:b w:val="1"/>
                <w:bCs w:val="1"/>
                <w:color w:val="auto"/>
              </w:rPr>
              <w:t>7.2%</w:t>
            </w:r>
          </w:p>
        </w:tc>
        <w:tc>
          <w:tcPr>
            <w:tcW w:w="680" w:type="dxa"/>
            <w:vAlign w:val="bottom"/>
            <w:gridSpan w:val="2"/>
            <w:shd w:val="clear" w:color="auto" w:fill="CCEEFF"/>
          </w:tcPr>
          <w:p>
            <w:pPr>
              <w:jc w:val="right"/>
              <w:ind w:right="59"/>
              <w:spacing w:after="0" w:line="132" w:lineRule="exact"/>
              <w:rPr>
                <w:sz w:val="20"/>
                <w:szCs w:val="20"/>
                <w:color w:val="auto"/>
              </w:rPr>
            </w:pPr>
            <w:r>
              <w:rPr>
                <w:rFonts w:ascii="Arial" w:cs="Arial" w:eastAsia="Arial" w:hAnsi="Arial"/>
                <w:sz w:val="12"/>
                <w:szCs w:val="12"/>
                <w:b w:val="1"/>
                <w:bCs w:val="1"/>
                <w:color w:val="auto"/>
              </w:rPr>
              <w:t>8.6%</w:t>
            </w:r>
          </w:p>
        </w:tc>
        <w:tc>
          <w:tcPr>
            <w:tcW w:w="680" w:type="dxa"/>
            <w:vAlign w:val="bottom"/>
            <w:gridSpan w:val="2"/>
            <w:shd w:val="clear" w:color="auto" w:fill="CCEEFF"/>
          </w:tcPr>
          <w:p>
            <w:pPr>
              <w:jc w:val="right"/>
              <w:ind w:right="59"/>
              <w:spacing w:after="0" w:line="132" w:lineRule="exact"/>
              <w:rPr>
                <w:sz w:val="20"/>
                <w:szCs w:val="20"/>
                <w:color w:val="auto"/>
              </w:rPr>
            </w:pPr>
            <w:r>
              <w:rPr>
                <w:rFonts w:ascii="Arial" w:cs="Arial" w:eastAsia="Arial" w:hAnsi="Arial"/>
                <w:sz w:val="12"/>
                <w:szCs w:val="12"/>
                <w:b w:val="1"/>
                <w:bCs w:val="1"/>
                <w:color w:val="auto"/>
              </w:rPr>
              <w:t>9.3%</w:t>
            </w:r>
          </w:p>
        </w:tc>
        <w:tc>
          <w:tcPr>
            <w:tcW w:w="680" w:type="dxa"/>
            <w:vAlign w:val="bottom"/>
            <w:gridSpan w:val="2"/>
            <w:shd w:val="clear" w:color="auto" w:fill="CCEEFF"/>
          </w:tcPr>
          <w:p>
            <w:pPr>
              <w:jc w:val="right"/>
              <w:ind w:right="59"/>
              <w:spacing w:after="0" w:line="132" w:lineRule="exact"/>
              <w:rPr>
                <w:sz w:val="20"/>
                <w:szCs w:val="20"/>
                <w:color w:val="auto"/>
              </w:rPr>
            </w:pPr>
            <w:r>
              <w:rPr>
                <w:rFonts w:ascii="Arial" w:cs="Arial" w:eastAsia="Arial" w:hAnsi="Arial"/>
                <w:sz w:val="12"/>
                <w:szCs w:val="12"/>
                <w:b w:val="1"/>
                <w:bCs w:val="1"/>
                <w:color w:val="auto"/>
              </w:rPr>
              <w:t>8.9%</w:t>
            </w:r>
          </w:p>
        </w:tc>
        <w:tc>
          <w:tcPr>
            <w:tcW w:w="6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b w:val="1"/>
                <w:bCs w:val="1"/>
                <w:color w:val="auto"/>
              </w:rPr>
              <w:t>8.4%</w:t>
            </w:r>
          </w:p>
        </w:tc>
      </w:tr>
      <w:tr>
        <w:trPr>
          <w:trHeight w:val="131"/>
        </w:trPr>
        <w:tc>
          <w:tcPr>
            <w:tcW w:w="1840" w:type="dxa"/>
            <w:vAlign w:val="bottom"/>
          </w:tcPr>
          <w:p>
            <w:pPr>
              <w:spacing w:after="0" w:line="132" w:lineRule="exact"/>
              <w:rPr>
                <w:sz w:val="20"/>
                <w:szCs w:val="20"/>
                <w:color w:val="auto"/>
              </w:rPr>
            </w:pPr>
            <w:r>
              <w:rPr>
                <w:rFonts w:ascii="Arial" w:cs="Arial" w:eastAsia="Arial" w:hAnsi="Arial"/>
                <w:sz w:val="12"/>
                <w:szCs w:val="12"/>
                <w:b w:val="1"/>
                <w:bCs w:val="1"/>
                <w:color w:val="auto"/>
              </w:rPr>
              <w:t>Mibanco Colombia</w:t>
            </w:r>
          </w:p>
        </w:tc>
        <w:tc>
          <w:tcPr>
            <w:tcW w:w="660" w:type="dxa"/>
            <w:vAlign w:val="bottom"/>
            <w:gridSpan w:val="2"/>
          </w:tcPr>
          <w:p>
            <w:pPr>
              <w:jc w:val="right"/>
              <w:ind w:right="220"/>
              <w:spacing w:after="0" w:line="132" w:lineRule="exact"/>
              <w:rPr>
                <w:sz w:val="20"/>
                <w:szCs w:val="20"/>
                <w:color w:val="auto"/>
              </w:rPr>
            </w:pPr>
            <w:r>
              <w:rPr>
                <w:rFonts w:ascii="Arial" w:cs="Arial" w:eastAsia="Arial" w:hAnsi="Arial"/>
                <w:sz w:val="12"/>
                <w:szCs w:val="12"/>
                <w:b w:val="1"/>
                <w:bCs w:val="1"/>
                <w:color w:val="auto"/>
              </w:rPr>
              <w:t>788</w:t>
            </w:r>
          </w:p>
        </w:tc>
        <w:tc>
          <w:tcPr>
            <w:tcW w:w="660" w:type="dxa"/>
            <w:vAlign w:val="bottom"/>
            <w:gridSpan w:val="2"/>
          </w:tcPr>
          <w:p>
            <w:pPr>
              <w:jc w:val="right"/>
              <w:ind w:right="220"/>
              <w:spacing w:after="0" w:line="132" w:lineRule="exact"/>
              <w:rPr>
                <w:sz w:val="20"/>
                <w:szCs w:val="20"/>
                <w:color w:val="auto"/>
              </w:rPr>
            </w:pPr>
            <w:r>
              <w:rPr>
                <w:rFonts w:ascii="Arial" w:cs="Arial" w:eastAsia="Arial" w:hAnsi="Arial"/>
                <w:sz w:val="12"/>
                <w:szCs w:val="12"/>
                <w:b w:val="1"/>
                <w:bCs w:val="1"/>
                <w:color w:val="auto"/>
              </w:rPr>
              <w:t>963</w:t>
            </w:r>
          </w:p>
        </w:tc>
        <w:tc>
          <w:tcPr>
            <w:tcW w:w="440" w:type="dxa"/>
            <w:vAlign w:val="bottom"/>
          </w:tcPr>
          <w:p>
            <w:pPr>
              <w:jc w:val="right"/>
              <w:spacing w:after="0" w:line="132" w:lineRule="exact"/>
              <w:rPr>
                <w:sz w:val="20"/>
                <w:szCs w:val="20"/>
                <w:color w:val="auto"/>
              </w:rPr>
            </w:pPr>
            <w:r>
              <w:rPr>
                <w:rFonts w:ascii="Arial" w:cs="Arial" w:eastAsia="Arial" w:hAnsi="Arial"/>
                <w:sz w:val="12"/>
                <w:szCs w:val="12"/>
                <w:b w:val="1"/>
                <w:bCs w:val="1"/>
                <w:color w:val="auto"/>
              </w:rPr>
              <w:t>1,047</w:t>
            </w:r>
          </w:p>
        </w:tc>
        <w:tc>
          <w:tcPr>
            <w:tcW w:w="220" w:type="dxa"/>
            <w:vAlign w:val="bottom"/>
          </w:tcPr>
          <w:p>
            <w:pPr>
              <w:spacing w:after="0"/>
              <w:rPr>
                <w:sz w:val="11"/>
                <w:szCs w:val="11"/>
                <w:color w:val="auto"/>
              </w:rPr>
            </w:pPr>
          </w:p>
        </w:tc>
        <w:tc>
          <w:tcPr>
            <w:tcW w:w="520" w:type="dxa"/>
            <w:vAlign w:val="bottom"/>
            <w:gridSpan w:val="2"/>
          </w:tcPr>
          <w:p>
            <w:pPr>
              <w:jc w:val="right"/>
              <w:ind w:right="80"/>
              <w:spacing w:after="0" w:line="132" w:lineRule="exact"/>
              <w:rPr>
                <w:sz w:val="20"/>
                <w:szCs w:val="20"/>
                <w:color w:val="auto"/>
              </w:rPr>
            </w:pPr>
            <w:r>
              <w:rPr>
                <w:rFonts w:ascii="Arial" w:cs="Arial" w:eastAsia="Arial" w:hAnsi="Arial"/>
                <w:sz w:val="12"/>
                <w:szCs w:val="12"/>
                <w:b w:val="1"/>
                <w:bCs w:val="1"/>
                <w:color w:val="auto"/>
              </w:rPr>
              <w:t>788</w:t>
            </w:r>
          </w:p>
        </w:tc>
        <w:tc>
          <w:tcPr>
            <w:tcW w:w="780" w:type="dxa"/>
            <w:vAlign w:val="bottom"/>
            <w:gridSpan w:val="3"/>
          </w:tcPr>
          <w:p>
            <w:pPr>
              <w:jc w:val="right"/>
              <w:ind w:right="200"/>
              <w:spacing w:after="0" w:line="132" w:lineRule="exact"/>
              <w:rPr>
                <w:sz w:val="20"/>
                <w:szCs w:val="20"/>
                <w:color w:val="auto"/>
              </w:rPr>
            </w:pPr>
            <w:r>
              <w:rPr>
                <w:rFonts w:ascii="Arial" w:cs="Arial" w:eastAsia="Arial" w:hAnsi="Arial"/>
                <w:sz w:val="12"/>
                <w:szCs w:val="12"/>
                <w:b w:val="1"/>
                <w:bCs w:val="1"/>
                <w:color w:val="auto"/>
              </w:rPr>
              <w:t>963</w:t>
            </w:r>
          </w:p>
        </w:tc>
        <w:tc>
          <w:tcPr>
            <w:tcW w:w="660" w:type="dxa"/>
            <w:vAlign w:val="bottom"/>
            <w:gridSpan w:val="2"/>
          </w:tcPr>
          <w:p>
            <w:pPr>
              <w:jc w:val="right"/>
              <w:ind w:right="200"/>
              <w:spacing w:after="0" w:line="132" w:lineRule="exact"/>
              <w:rPr>
                <w:sz w:val="20"/>
                <w:szCs w:val="20"/>
                <w:color w:val="auto"/>
              </w:rPr>
            </w:pPr>
            <w:r>
              <w:rPr>
                <w:rFonts w:ascii="Arial" w:cs="Arial" w:eastAsia="Arial" w:hAnsi="Arial"/>
                <w:sz w:val="12"/>
                <w:szCs w:val="12"/>
                <w:b w:val="1"/>
                <w:bCs w:val="1"/>
                <w:color w:val="auto"/>
              </w:rPr>
              <w:t>1,047</w:t>
            </w:r>
          </w:p>
        </w:tc>
        <w:tc>
          <w:tcPr>
            <w:tcW w:w="680" w:type="dxa"/>
            <w:vAlign w:val="bottom"/>
            <w:gridSpan w:val="2"/>
          </w:tcPr>
          <w:p>
            <w:pPr>
              <w:jc w:val="right"/>
              <w:ind w:right="39"/>
              <w:spacing w:after="0" w:line="132" w:lineRule="exact"/>
              <w:rPr>
                <w:sz w:val="20"/>
                <w:szCs w:val="20"/>
                <w:color w:val="auto"/>
              </w:rPr>
            </w:pPr>
            <w:r>
              <w:rPr>
                <w:rFonts w:ascii="Arial" w:cs="Arial" w:eastAsia="Arial" w:hAnsi="Arial"/>
                <w:sz w:val="12"/>
                <w:szCs w:val="12"/>
                <w:b w:val="1"/>
                <w:bCs w:val="1"/>
                <w:color w:val="auto"/>
              </w:rPr>
              <w:t>8.8%</w:t>
            </w:r>
          </w:p>
        </w:tc>
        <w:tc>
          <w:tcPr>
            <w:tcW w:w="580" w:type="dxa"/>
            <w:vAlign w:val="bottom"/>
            <w:gridSpan w:val="2"/>
          </w:tcPr>
          <w:p>
            <w:pPr>
              <w:jc w:val="right"/>
              <w:spacing w:after="0" w:line="132" w:lineRule="exact"/>
              <w:rPr>
                <w:sz w:val="20"/>
                <w:szCs w:val="20"/>
                <w:color w:val="auto"/>
              </w:rPr>
            </w:pPr>
            <w:r>
              <w:rPr>
                <w:rFonts w:ascii="Arial" w:cs="Arial" w:eastAsia="Arial" w:hAnsi="Arial"/>
                <w:sz w:val="12"/>
                <w:szCs w:val="12"/>
                <w:b w:val="1"/>
                <w:bCs w:val="1"/>
                <w:color w:val="auto"/>
              </w:rPr>
              <w:t>32.9%</w:t>
            </w:r>
          </w:p>
        </w:tc>
        <w:tc>
          <w:tcPr>
            <w:tcW w:w="100" w:type="dxa"/>
            <w:vAlign w:val="bottom"/>
          </w:tcPr>
          <w:p>
            <w:pPr>
              <w:spacing w:after="0"/>
              <w:rPr>
                <w:sz w:val="11"/>
                <w:szCs w:val="11"/>
                <w:color w:val="auto"/>
              </w:rPr>
            </w:pPr>
          </w:p>
        </w:tc>
        <w:tc>
          <w:tcPr>
            <w:tcW w:w="680" w:type="dxa"/>
            <w:vAlign w:val="bottom"/>
            <w:gridSpan w:val="2"/>
          </w:tcPr>
          <w:p>
            <w:pPr>
              <w:jc w:val="right"/>
              <w:ind w:right="39"/>
              <w:spacing w:after="0" w:line="132" w:lineRule="exact"/>
              <w:rPr>
                <w:sz w:val="20"/>
                <w:szCs w:val="20"/>
                <w:color w:val="auto"/>
              </w:rPr>
            </w:pPr>
            <w:r>
              <w:rPr>
                <w:rFonts w:ascii="Arial" w:cs="Arial" w:eastAsia="Arial" w:hAnsi="Arial"/>
                <w:sz w:val="12"/>
                <w:szCs w:val="12"/>
                <w:b w:val="1"/>
                <w:bCs w:val="1"/>
                <w:color w:val="auto"/>
              </w:rPr>
              <w:t>8.8%</w:t>
            </w:r>
          </w:p>
        </w:tc>
        <w:tc>
          <w:tcPr>
            <w:tcW w:w="700" w:type="dxa"/>
            <w:vAlign w:val="bottom"/>
            <w:gridSpan w:val="2"/>
          </w:tcPr>
          <w:p>
            <w:pPr>
              <w:jc w:val="right"/>
              <w:ind w:right="59"/>
              <w:spacing w:after="0" w:line="132" w:lineRule="exact"/>
              <w:rPr>
                <w:sz w:val="20"/>
                <w:szCs w:val="20"/>
                <w:color w:val="auto"/>
              </w:rPr>
            </w:pPr>
            <w:r>
              <w:rPr>
                <w:rFonts w:ascii="Arial" w:cs="Arial" w:eastAsia="Arial" w:hAnsi="Arial"/>
                <w:sz w:val="12"/>
                <w:szCs w:val="12"/>
                <w:b w:val="1"/>
                <w:bCs w:val="1"/>
                <w:color w:val="auto"/>
              </w:rPr>
              <w:t>32.9%</w:t>
            </w:r>
          </w:p>
        </w:tc>
        <w:tc>
          <w:tcPr>
            <w:tcW w:w="680" w:type="dxa"/>
            <w:vAlign w:val="bottom"/>
            <w:gridSpan w:val="2"/>
          </w:tcPr>
          <w:p>
            <w:pPr>
              <w:jc w:val="right"/>
              <w:ind w:right="59"/>
              <w:spacing w:after="0" w:line="132" w:lineRule="exact"/>
              <w:rPr>
                <w:sz w:val="20"/>
                <w:szCs w:val="20"/>
                <w:color w:val="auto"/>
              </w:rPr>
            </w:pPr>
            <w:r>
              <w:rPr>
                <w:rFonts w:ascii="Arial" w:cs="Arial" w:eastAsia="Arial" w:hAnsi="Arial"/>
                <w:sz w:val="12"/>
                <w:szCs w:val="12"/>
                <w:b w:val="1"/>
                <w:bCs w:val="1"/>
                <w:color w:val="auto"/>
              </w:rPr>
              <w:t>0.6%</w:t>
            </w:r>
          </w:p>
        </w:tc>
        <w:tc>
          <w:tcPr>
            <w:tcW w:w="680" w:type="dxa"/>
            <w:vAlign w:val="bottom"/>
            <w:gridSpan w:val="2"/>
          </w:tcPr>
          <w:p>
            <w:pPr>
              <w:jc w:val="right"/>
              <w:ind w:right="59"/>
              <w:spacing w:after="0" w:line="132" w:lineRule="exact"/>
              <w:rPr>
                <w:sz w:val="20"/>
                <w:szCs w:val="20"/>
                <w:color w:val="auto"/>
              </w:rPr>
            </w:pPr>
            <w:r>
              <w:rPr>
                <w:rFonts w:ascii="Arial" w:cs="Arial" w:eastAsia="Arial" w:hAnsi="Arial"/>
                <w:sz w:val="12"/>
                <w:szCs w:val="12"/>
                <w:b w:val="1"/>
                <w:bCs w:val="1"/>
                <w:color w:val="auto"/>
              </w:rPr>
              <w:t>0.7%</w:t>
            </w:r>
          </w:p>
        </w:tc>
        <w:tc>
          <w:tcPr>
            <w:tcW w:w="680" w:type="dxa"/>
            <w:vAlign w:val="bottom"/>
            <w:gridSpan w:val="2"/>
          </w:tcPr>
          <w:p>
            <w:pPr>
              <w:jc w:val="right"/>
              <w:ind w:right="59"/>
              <w:spacing w:after="0" w:line="132" w:lineRule="exact"/>
              <w:rPr>
                <w:sz w:val="20"/>
                <w:szCs w:val="20"/>
                <w:color w:val="auto"/>
              </w:rPr>
            </w:pPr>
            <w:r>
              <w:rPr>
                <w:rFonts w:ascii="Arial" w:cs="Arial" w:eastAsia="Arial" w:hAnsi="Arial"/>
                <w:sz w:val="12"/>
                <w:szCs w:val="12"/>
                <w:b w:val="1"/>
                <w:bCs w:val="1"/>
                <w:color w:val="auto"/>
              </w:rPr>
              <w:t>0.7%</w:t>
            </w:r>
          </w:p>
        </w:tc>
        <w:tc>
          <w:tcPr>
            <w:tcW w:w="680" w:type="dxa"/>
            <w:vAlign w:val="bottom"/>
            <w:gridSpan w:val="2"/>
          </w:tcPr>
          <w:p>
            <w:pPr>
              <w:jc w:val="right"/>
              <w:spacing w:after="0" w:line="132" w:lineRule="exact"/>
              <w:rPr>
                <w:sz w:val="20"/>
                <w:szCs w:val="20"/>
                <w:color w:val="auto"/>
              </w:rPr>
            </w:pPr>
            <w:r>
              <w:rPr>
                <w:rFonts w:ascii="Arial" w:cs="Arial" w:eastAsia="Arial" w:hAnsi="Arial"/>
                <w:sz w:val="12"/>
                <w:szCs w:val="12"/>
                <w:b w:val="1"/>
                <w:bCs w:val="1"/>
                <w:color w:val="auto"/>
              </w:rPr>
              <w:t>0.8%</w:t>
            </w:r>
          </w:p>
        </w:tc>
      </w:tr>
      <w:tr>
        <w:trPr>
          <w:trHeight w:val="131"/>
        </w:trPr>
        <w:tc>
          <w:tcPr>
            <w:tcW w:w="1840" w:type="dxa"/>
            <w:vAlign w:val="bottom"/>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Bolivia</w:t>
            </w:r>
          </w:p>
        </w:tc>
        <w:tc>
          <w:tcPr>
            <w:tcW w:w="660" w:type="dxa"/>
            <w:vAlign w:val="bottom"/>
            <w:gridSpan w:val="2"/>
            <w:shd w:val="clear" w:color="auto" w:fill="CCEEFF"/>
          </w:tcPr>
          <w:p>
            <w:pPr>
              <w:jc w:val="right"/>
              <w:ind w:right="220"/>
              <w:spacing w:after="0" w:line="132" w:lineRule="exact"/>
              <w:rPr>
                <w:sz w:val="20"/>
                <w:szCs w:val="20"/>
                <w:color w:val="auto"/>
              </w:rPr>
            </w:pPr>
            <w:r>
              <w:rPr>
                <w:rFonts w:ascii="Arial" w:cs="Arial" w:eastAsia="Arial" w:hAnsi="Arial"/>
                <w:sz w:val="12"/>
                <w:szCs w:val="12"/>
                <w:b w:val="1"/>
                <w:bCs w:val="1"/>
                <w:color w:val="auto"/>
              </w:rPr>
              <w:t>8,149</w:t>
            </w:r>
          </w:p>
        </w:tc>
        <w:tc>
          <w:tcPr>
            <w:tcW w:w="660" w:type="dxa"/>
            <w:vAlign w:val="bottom"/>
            <w:gridSpan w:val="2"/>
            <w:shd w:val="clear" w:color="auto" w:fill="CCEEFF"/>
          </w:tcPr>
          <w:p>
            <w:pPr>
              <w:jc w:val="right"/>
              <w:ind w:right="220"/>
              <w:spacing w:after="0" w:line="132" w:lineRule="exact"/>
              <w:rPr>
                <w:sz w:val="20"/>
                <w:szCs w:val="20"/>
                <w:color w:val="auto"/>
              </w:rPr>
            </w:pPr>
            <w:r>
              <w:rPr>
                <w:rFonts w:ascii="Arial" w:cs="Arial" w:eastAsia="Arial" w:hAnsi="Arial"/>
                <w:sz w:val="12"/>
                <w:szCs w:val="12"/>
                <w:b w:val="1"/>
                <w:bCs w:val="1"/>
                <w:color w:val="auto"/>
              </w:rPr>
              <w:t>8,747</w:t>
            </w:r>
          </w:p>
        </w:tc>
        <w:tc>
          <w:tcPr>
            <w:tcW w:w="4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b w:val="1"/>
                <w:bCs w:val="1"/>
                <w:color w:val="auto"/>
              </w:rPr>
              <w:t>9,408</w:t>
            </w:r>
          </w:p>
        </w:tc>
        <w:tc>
          <w:tcPr>
            <w:tcW w:w="2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b w:val="1"/>
                <w:bCs w:val="1"/>
                <w:color w:val="auto"/>
              </w:rPr>
              <w:t>8,149</w:t>
            </w:r>
          </w:p>
        </w:tc>
        <w:tc>
          <w:tcPr>
            <w:tcW w:w="780" w:type="dxa"/>
            <w:vAlign w:val="bottom"/>
            <w:gridSpan w:val="3"/>
            <w:shd w:val="clear" w:color="auto" w:fill="CCEEFF"/>
          </w:tcPr>
          <w:p>
            <w:pPr>
              <w:jc w:val="right"/>
              <w:ind w:right="200"/>
              <w:spacing w:after="0" w:line="132" w:lineRule="exact"/>
              <w:rPr>
                <w:sz w:val="20"/>
                <w:szCs w:val="20"/>
                <w:color w:val="auto"/>
              </w:rPr>
            </w:pPr>
            <w:r>
              <w:rPr>
                <w:rFonts w:ascii="Arial" w:cs="Arial" w:eastAsia="Arial" w:hAnsi="Arial"/>
                <w:sz w:val="12"/>
                <w:szCs w:val="12"/>
                <w:b w:val="1"/>
                <w:bCs w:val="1"/>
                <w:color w:val="auto"/>
              </w:rPr>
              <w:t>8,747</w:t>
            </w:r>
          </w:p>
        </w:tc>
        <w:tc>
          <w:tcPr>
            <w:tcW w:w="660" w:type="dxa"/>
            <w:vAlign w:val="bottom"/>
            <w:gridSpan w:val="2"/>
            <w:shd w:val="clear" w:color="auto" w:fill="CCEEFF"/>
          </w:tcPr>
          <w:p>
            <w:pPr>
              <w:jc w:val="right"/>
              <w:ind w:right="200"/>
              <w:spacing w:after="0" w:line="132" w:lineRule="exact"/>
              <w:rPr>
                <w:sz w:val="20"/>
                <w:szCs w:val="20"/>
                <w:color w:val="auto"/>
              </w:rPr>
            </w:pPr>
            <w:r>
              <w:rPr>
                <w:rFonts w:ascii="Arial" w:cs="Arial" w:eastAsia="Arial" w:hAnsi="Arial"/>
                <w:sz w:val="12"/>
                <w:szCs w:val="12"/>
                <w:b w:val="1"/>
                <w:bCs w:val="1"/>
                <w:color w:val="auto"/>
              </w:rPr>
              <w:t>9,408</w:t>
            </w:r>
          </w:p>
        </w:tc>
        <w:tc>
          <w:tcPr>
            <w:tcW w:w="680" w:type="dxa"/>
            <w:vAlign w:val="bottom"/>
            <w:gridSpan w:val="2"/>
            <w:shd w:val="clear" w:color="auto" w:fill="66E0DA"/>
          </w:tcPr>
          <w:p>
            <w:pPr>
              <w:jc w:val="right"/>
              <w:ind w:right="39"/>
              <w:spacing w:after="0" w:line="132" w:lineRule="exact"/>
              <w:rPr>
                <w:sz w:val="20"/>
                <w:szCs w:val="20"/>
                <w:color w:val="auto"/>
              </w:rPr>
            </w:pPr>
            <w:r>
              <w:rPr>
                <w:rFonts w:ascii="Arial" w:cs="Arial" w:eastAsia="Arial" w:hAnsi="Arial"/>
                <w:sz w:val="12"/>
                <w:szCs w:val="12"/>
                <w:b w:val="1"/>
                <w:bCs w:val="1"/>
                <w:color w:val="auto"/>
              </w:rPr>
              <w:t>7.6%</w:t>
            </w:r>
          </w:p>
        </w:tc>
        <w:tc>
          <w:tcPr>
            <w:tcW w:w="580" w:type="dxa"/>
            <w:vAlign w:val="bottom"/>
            <w:gridSpan w:val="2"/>
            <w:shd w:val="clear" w:color="auto" w:fill="66E0DA"/>
          </w:tcPr>
          <w:p>
            <w:pPr>
              <w:jc w:val="right"/>
              <w:spacing w:after="0" w:line="132" w:lineRule="exact"/>
              <w:rPr>
                <w:sz w:val="20"/>
                <w:szCs w:val="20"/>
                <w:color w:val="auto"/>
              </w:rPr>
            </w:pPr>
            <w:r>
              <w:rPr>
                <w:rFonts w:ascii="Arial" w:cs="Arial" w:eastAsia="Arial" w:hAnsi="Arial"/>
                <w:sz w:val="12"/>
                <w:szCs w:val="12"/>
                <w:b w:val="1"/>
                <w:bCs w:val="1"/>
                <w:color w:val="auto"/>
              </w:rPr>
              <w:t>15.5%</w:t>
            </w:r>
          </w:p>
        </w:tc>
        <w:tc>
          <w:tcPr>
            <w:tcW w:w="100" w:type="dxa"/>
            <w:vAlign w:val="bottom"/>
            <w:shd w:val="clear" w:color="auto" w:fill="66E0DA"/>
          </w:tcPr>
          <w:p>
            <w:pPr>
              <w:spacing w:after="0"/>
              <w:rPr>
                <w:sz w:val="11"/>
                <w:szCs w:val="11"/>
                <w:color w:val="auto"/>
              </w:rPr>
            </w:pPr>
          </w:p>
        </w:tc>
        <w:tc>
          <w:tcPr>
            <w:tcW w:w="680" w:type="dxa"/>
            <w:vAlign w:val="bottom"/>
            <w:gridSpan w:val="2"/>
            <w:shd w:val="clear" w:color="auto" w:fill="66E0DA"/>
          </w:tcPr>
          <w:p>
            <w:pPr>
              <w:jc w:val="right"/>
              <w:ind w:right="39"/>
              <w:spacing w:after="0" w:line="132" w:lineRule="exact"/>
              <w:rPr>
                <w:sz w:val="20"/>
                <w:szCs w:val="20"/>
                <w:color w:val="auto"/>
              </w:rPr>
            </w:pPr>
            <w:r>
              <w:rPr>
                <w:rFonts w:ascii="Arial" w:cs="Arial" w:eastAsia="Arial" w:hAnsi="Arial"/>
                <w:sz w:val="12"/>
                <w:szCs w:val="12"/>
                <w:b w:val="1"/>
                <w:bCs w:val="1"/>
                <w:color w:val="auto"/>
              </w:rPr>
              <w:t>7.6%</w:t>
            </w:r>
          </w:p>
        </w:tc>
        <w:tc>
          <w:tcPr>
            <w:tcW w:w="700" w:type="dxa"/>
            <w:vAlign w:val="bottom"/>
            <w:gridSpan w:val="2"/>
            <w:shd w:val="clear" w:color="auto" w:fill="66E0DA"/>
          </w:tcPr>
          <w:p>
            <w:pPr>
              <w:jc w:val="right"/>
              <w:ind w:right="59"/>
              <w:spacing w:after="0" w:line="132" w:lineRule="exact"/>
              <w:rPr>
                <w:sz w:val="20"/>
                <w:szCs w:val="20"/>
                <w:color w:val="auto"/>
              </w:rPr>
            </w:pPr>
            <w:r>
              <w:rPr>
                <w:rFonts w:ascii="Arial" w:cs="Arial" w:eastAsia="Arial" w:hAnsi="Arial"/>
                <w:sz w:val="12"/>
                <w:szCs w:val="12"/>
                <w:b w:val="1"/>
                <w:bCs w:val="1"/>
                <w:color w:val="auto"/>
              </w:rPr>
              <w:t>15.5%</w:t>
            </w:r>
          </w:p>
        </w:tc>
        <w:tc>
          <w:tcPr>
            <w:tcW w:w="680" w:type="dxa"/>
            <w:vAlign w:val="bottom"/>
            <w:gridSpan w:val="2"/>
            <w:shd w:val="clear" w:color="auto" w:fill="CCEEFF"/>
          </w:tcPr>
          <w:p>
            <w:pPr>
              <w:jc w:val="right"/>
              <w:ind w:right="59"/>
              <w:spacing w:after="0" w:line="132" w:lineRule="exact"/>
              <w:rPr>
                <w:sz w:val="20"/>
                <w:szCs w:val="20"/>
                <w:color w:val="auto"/>
              </w:rPr>
            </w:pPr>
            <w:r>
              <w:rPr>
                <w:rFonts w:ascii="Arial" w:cs="Arial" w:eastAsia="Arial" w:hAnsi="Arial"/>
                <w:sz w:val="12"/>
                <w:szCs w:val="12"/>
                <w:b w:val="1"/>
                <w:bCs w:val="1"/>
                <w:color w:val="auto"/>
              </w:rPr>
              <w:t>6.1%</w:t>
            </w:r>
          </w:p>
        </w:tc>
        <w:tc>
          <w:tcPr>
            <w:tcW w:w="680" w:type="dxa"/>
            <w:vAlign w:val="bottom"/>
            <w:gridSpan w:val="2"/>
            <w:shd w:val="clear" w:color="auto" w:fill="CCEEFF"/>
          </w:tcPr>
          <w:p>
            <w:pPr>
              <w:jc w:val="right"/>
              <w:ind w:right="59"/>
              <w:spacing w:after="0" w:line="132" w:lineRule="exact"/>
              <w:rPr>
                <w:sz w:val="20"/>
                <w:szCs w:val="20"/>
                <w:color w:val="auto"/>
              </w:rPr>
            </w:pPr>
            <w:r>
              <w:rPr>
                <w:rFonts w:ascii="Arial" w:cs="Arial" w:eastAsia="Arial" w:hAnsi="Arial"/>
                <w:sz w:val="12"/>
                <w:szCs w:val="12"/>
                <w:b w:val="1"/>
                <w:bCs w:val="1"/>
                <w:color w:val="auto"/>
              </w:rPr>
              <w:t>6.3%</w:t>
            </w:r>
          </w:p>
        </w:tc>
        <w:tc>
          <w:tcPr>
            <w:tcW w:w="680" w:type="dxa"/>
            <w:vAlign w:val="bottom"/>
            <w:gridSpan w:val="2"/>
            <w:shd w:val="clear" w:color="auto" w:fill="CCEEFF"/>
          </w:tcPr>
          <w:p>
            <w:pPr>
              <w:jc w:val="right"/>
              <w:ind w:right="59"/>
              <w:spacing w:after="0" w:line="132" w:lineRule="exact"/>
              <w:rPr>
                <w:sz w:val="20"/>
                <w:szCs w:val="20"/>
                <w:color w:val="auto"/>
              </w:rPr>
            </w:pPr>
            <w:r>
              <w:rPr>
                <w:rFonts w:ascii="Arial" w:cs="Arial" w:eastAsia="Arial" w:hAnsi="Arial"/>
                <w:sz w:val="12"/>
                <w:szCs w:val="12"/>
                <w:b w:val="1"/>
                <w:bCs w:val="1"/>
                <w:color w:val="auto"/>
              </w:rPr>
              <w:t>6.4%</w:t>
            </w:r>
          </w:p>
        </w:tc>
        <w:tc>
          <w:tcPr>
            <w:tcW w:w="6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b w:val="1"/>
                <w:bCs w:val="1"/>
                <w:color w:val="auto"/>
              </w:rPr>
              <w:t>7.6%</w:t>
            </w:r>
          </w:p>
        </w:tc>
      </w:tr>
      <w:tr>
        <w:trPr>
          <w:trHeight w:val="144"/>
        </w:trPr>
        <w:tc>
          <w:tcPr>
            <w:tcW w:w="1840" w:type="dxa"/>
            <w:vAlign w:val="bottom"/>
          </w:tcPr>
          <w:p>
            <w:pPr>
              <w:spacing w:after="0"/>
              <w:rPr>
                <w:sz w:val="20"/>
                <w:szCs w:val="20"/>
                <w:color w:val="auto"/>
              </w:rPr>
            </w:pPr>
            <w:r>
              <w:rPr>
                <w:rFonts w:ascii="Arial" w:cs="Arial" w:eastAsia="Arial" w:hAnsi="Arial"/>
                <w:sz w:val="12"/>
                <w:szCs w:val="12"/>
                <w:b w:val="1"/>
                <w:bCs w:val="1"/>
                <w:color w:val="auto"/>
              </w:rPr>
              <w:t>ASB</w:t>
            </w:r>
          </w:p>
        </w:tc>
        <w:tc>
          <w:tcPr>
            <w:tcW w:w="6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2,438</w:t>
            </w:r>
          </w:p>
        </w:tc>
        <w:tc>
          <w:tcPr>
            <w:tcW w:w="6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2,390</w:t>
            </w: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rPr>
              <w:t>2,122</w:t>
            </w:r>
          </w:p>
        </w:tc>
        <w:tc>
          <w:tcPr>
            <w:tcW w:w="2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2,438</w:t>
            </w:r>
          </w:p>
        </w:tc>
        <w:tc>
          <w:tcPr>
            <w:tcW w:w="78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2,390</w:t>
            </w:r>
          </w:p>
        </w:tc>
        <w:tc>
          <w:tcPr>
            <w:tcW w:w="66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2,122</w:t>
            </w:r>
          </w:p>
        </w:tc>
        <w:tc>
          <w:tcPr>
            <w:tcW w:w="680" w:type="dxa"/>
            <w:vAlign w:val="bottom"/>
            <w:gridSpan w:val="2"/>
          </w:tcPr>
          <w:p>
            <w:pPr>
              <w:jc w:val="right"/>
              <w:ind w:right="39"/>
              <w:spacing w:after="0"/>
              <w:rPr>
                <w:sz w:val="20"/>
                <w:szCs w:val="20"/>
                <w:color w:val="auto"/>
              </w:rPr>
            </w:pPr>
            <w:r>
              <w:rPr>
                <w:rFonts w:ascii="Arial" w:cs="Arial" w:eastAsia="Arial" w:hAnsi="Arial"/>
                <w:sz w:val="12"/>
                <w:szCs w:val="12"/>
                <w:b w:val="1"/>
                <w:bCs w:val="1"/>
                <w:color w:val="auto"/>
              </w:rPr>
              <w:t>-11.2%</w:t>
            </w:r>
          </w:p>
        </w:tc>
        <w:tc>
          <w:tcPr>
            <w:tcW w:w="580" w:type="dxa"/>
            <w:vAlign w:val="bottom"/>
            <w:gridSpan w:val="2"/>
          </w:tcPr>
          <w:p>
            <w:pPr>
              <w:jc w:val="right"/>
              <w:spacing w:after="0"/>
              <w:rPr>
                <w:sz w:val="20"/>
                <w:szCs w:val="20"/>
                <w:color w:val="auto"/>
              </w:rPr>
            </w:pPr>
            <w:r>
              <w:rPr>
                <w:rFonts w:ascii="Arial" w:cs="Arial" w:eastAsia="Arial" w:hAnsi="Arial"/>
                <w:sz w:val="12"/>
                <w:szCs w:val="12"/>
                <w:b w:val="1"/>
                <w:bCs w:val="1"/>
                <w:color w:val="auto"/>
              </w:rPr>
              <w:t>-13.0%</w:t>
            </w:r>
          </w:p>
        </w:tc>
        <w:tc>
          <w:tcPr>
            <w:tcW w:w="100" w:type="dxa"/>
            <w:vAlign w:val="bottom"/>
          </w:tcPr>
          <w:p>
            <w:pPr>
              <w:spacing w:after="0"/>
              <w:rPr>
                <w:sz w:val="12"/>
                <w:szCs w:val="12"/>
                <w:color w:val="auto"/>
              </w:rPr>
            </w:pPr>
          </w:p>
        </w:tc>
        <w:tc>
          <w:tcPr>
            <w:tcW w:w="680" w:type="dxa"/>
            <w:vAlign w:val="bottom"/>
            <w:gridSpan w:val="2"/>
            <w:shd w:val="clear" w:color="auto" w:fill="F17EC7"/>
          </w:tcPr>
          <w:p>
            <w:pPr>
              <w:jc w:val="right"/>
              <w:ind w:right="39"/>
              <w:spacing w:after="0"/>
              <w:rPr>
                <w:sz w:val="20"/>
                <w:szCs w:val="20"/>
                <w:color w:val="auto"/>
              </w:rPr>
            </w:pPr>
            <w:r>
              <w:rPr>
                <w:rFonts w:ascii="Arial" w:cs="Arial" w:eastAsia="Arial" w:hAnsi="Arial"/>
                <w:sz w:val="12"/>
                <w:szCs w:val="12"/>
                <w:b w:val="1"/>
                <w:bCs w:val="1"/>
                <w:color w:val="auto"/>
              </w:rPr>
              <w:t>-11.2%</w:t>
            </w:r>
          </w:p>
        </w:tc>
        <w:tc>
          <w:tcPr>
            <w:tcW w:w="700" w:type="dxa"/>
            <w:vAlign w:val="bottom"/>
            <w:gridSpan w:val="2"/>
          </w:tcPr>
          <w:p>
            <w:pPr>
              <w:jc w:val="right"/>
              <w:ind w:right="59"/>
              <w:spacing w:after="0"/>
              <w:rPr>
                <w:sz w:val="20"/>
                <w:szCs w:val="20"/>
                <w:color w:val="auto"/>
              </w:rPr>
            </w:pPr>
            <w:r>
              <w:rPr>
                <w:rFonts w:ascii="Arial" w:cs="Arial" w:eastAsia="Arial" w:hAnsi="Arial"/>
                <w:sz w:val="12"/>
                <w:szCs w:val="12"/>
                <w:b w:val="1"/>
                <w:bCs w:val="1"/>
                <w:color w:val="auto"/>
              </w:rPr>
              <w:t>-13.0%</w:t>
            </w:r>
          </w:p>
        </w:tc>
        <w:tc>
          <w:tcPr>
            <w:tcW w:w="680" w:type="dxa"/>
            <w:vAlign w:val="bottom"/>
            <w:gridSpan w:val="2"/>
          </w:tcPr>
          <w:p>
            <w:pPr>
              <w:jc w:val="right"/>
              <w:ind w:right="59"/>
              <w:spacing w:after="0"/>
              <w:rPr>
                <w:sz w:val="20"/>
                <w:szCs w:val="20"/>
                <w:color w:val="auto"/>
              </w:rPr>
            </w:pPr>
            <w:r>
              <w:rPr>
                <w:rFonts w:ascii="Arial" w:cs="Arial" w:eastAsia="Arial" w:hAnsi="Arial"/>
                <w:sz w:val="12"/>
                <w:szCs w:val="12"/>
                <w:b w:val="1"/>
                <w:bCs w:val="1"/>
                <w:color w:val="auto"/>
              </w:rPr>
              <w:t>1.8%</w:t>
            </w:r>
          </w:p>
        </w:tc>
        <w:tc>
          <w:tcPr>
            <w:tcW w:w="680" w:type="dxa"/>
            <w:vAlign w:val="bottom"/>
            <w:gridSpan w:val="2"/>
          </w:tcPr>
          <w:p>
            <w:pPr>
              <w:jc w:val="right"/>
              <w:ind w:right="59"/>
              <w:spacing w:after="0"/>
              <w:rPr>
                <w:sz w:val="20"/>
                <w:szCs w:val="20"/>
                <w:color w:val="auto"/>
              </w:rPr>
            </w:pPr>
            <w:r>
              <w:rPr>
                <w:rFonts w:ascii="Arial" w:cs="Arial" w:eastAsia="Arial" w:hAnsi="Arial"/>
                <w:sz w:val="12"/>
                <w:szCs w:val="12"/>
                <w:b w:val="1"/>
                <w:bCs w:val="1"/>
                <w:color w:val="auto"/>
              </w:rPr>
              <w:t>1.7%</w:t>
            </w:r>
          </w:p>
        </w:tc>
        <w:tc>
          <w:tcPr>
            <w:tcW w:w="680" w:type="dxa"/>
            <w:vAlign w:val="bottom"/>
            <w:gridSpan w:val="2"/>
          </w:tcPr>
          <w:p>
            <w:pPr>
              <w:jc w:val="right"/>
              <w:ind w:right="59"/>
              <w:spacing w:after="0"/>
              <w:rPr>
                <w:sz w:val="20"/>
                <w:szCs w:val="20"/>
                <w:color w:val="auto"/>
              </w:rPr>
            </w:pPr>
            <w:r>
              <w:rPr>
                <w:rFonts w:ascii="Arial" w:cs="Arial" w:eastAsia="Arial" w:hAnsi="Arial"/>
                <w:sz w:val="12"/>
                <w:szCs w:val="12"/>
                <w:b w:val="1"/>
                <w:bCs w:val="1"/>
                <w:color w:val="auto"/>
              </w:rPr>
              <w:t>1.4%</w:t>
            </w:r>
          </w:p>
        </w:tc>
        <w:tc>
          <w:tcPr>
            <w:tcW w:w="680" w:type="dxa"/>
            <w:vAlign w:val="bottom"/>
            <w:gridSpan w:val="2"/>
          </w:tcPr>
          <w:p>
            <w:pPr>
              <w:jc w:val="right"/>
              <w:spacing w:after="0"/>
              <w:rPr>
                <w:sz w:val="20"/>
                <w:szCs w:val="20"/>
                <w:color w:val="auto"/>
              </w:rPr>
            </w:pPr>
            <w:r>
              <w:rPr>
                <w:rFonts w:ascii="Arial" w:cs="Arial" w:eastAsia="Arial" w:hAnsi="Arial"/>
                <w:sz w:val="12"/>
                <w:szCs w:val="12"/>
                <w:b w:val="1"/>
                <w:bCs w:val="1"/>
                <w:color w:val="auto"/>
              </w:rPr>
              <w:t>1.7%</w:t>
            </w:r>
          </w:p>
        </w:tc>
      </w:tr>
      <w:tr>
        <w:trPr>
          <w:trHeight w:val="138"/>
        </w:trPr>
        <w:tc>
          <w:tcPr>
            <w:tcW w:w="1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BAP's total loans</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96"/>
              </w:rPr>
              <w:t>134,353</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96"/>
              </w:rPr>
              <w:t>139,736</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96"/>
              </w:rPr>
              <w:t>146,413</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96"/>
              </w:rPr>
              <w:t>114,547</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115,927</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124,520</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2"/>
                <w:szCs w:val="12"/>
                <w:b w:val="1"/>
                <w:bCs w:val="1"/>
                <w:color w:val="auto"/>
                <w:w w:val="71"/>
              </w:rPr>
              <w:t>4.8</w:t>
            </w:r>
          </w:p>
        </w:tc>
        <w:tc>
          <w:tcPr>
            <w:tcW w:w="24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b w:val="1"/>
                <w:bCs w:val="1"/>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93"/>
              </w:rPr>
              <w:t>%</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7.4</w:t>
            </w:r>
          </w:p>
        </w:tc>
        <w:tc>
          <w:tcPr>
            <w:tcW w:w="2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b w:val="1"/>
                <w:bCs w:val="1"/>
                <w:color w:val="auto"/>
                <w:w w:val="93"/>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8.7</w:t>
            </w:r>
          </w:p>
        </w:tc>
        <w:tc>
          <w:tcPr>
            <w:tcW w:w="240" w:type="dxa"/>
            <w:vAlign w:val="bottom"/>
            <w:tcBorders>
              <w:top w:val="single" w:sz="8" w:color="CCEEFF"/>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b w:val="1"/>
                <w:bCs w:val="1"/>
                <w:color w:val="auto"/>
                <w:w w:val="93"/>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100.0</w:t>
            </w:r>
          </w:p>
        </w:tc>
        <w:tc>
          <w:tcPr>
            <w:tcW w:w="240" w:type="dxa"/>
            <w:vAlign w:val="bottom"/>
            <w:tcBorders>
              <w:top w:val="single" w:sz="8" w:color="CCEEFF"/>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b w:val="1"/>
                <w:bCs w:val="1"/>
                <w:color w:val="auto"/>
                <w:w w:val="93"/>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100.0</w:t>
            </w:r>
          </w:p>
        </w:tc>
        <w:tc>
          <w:tcPr>
            <w:tcW w:w="240" w:type="dxa"/>
            <w:vAlign w:val="bottom"/>
            <w:tcBorders>
              <w:top w:val="single" w:sz="8" w:color="CCEEFF"/>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b w:val="1"/>
                <w:bCs w:val="1"/>
                <w:color w:val="auto"/>
                <w:w w:val="93"/>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100.0</w:t>
            </w:r>
          </w:p>
        </w:tc>
        <w:tc>
          <w:tcPr>
            <w:tcW w:w="240" w:type="dxa"/>
            <w:vAlign w:val="bottom"/>
            <w:tcBorders>
              <w:top w:val="single" w:sz="8" w:color="CCEEFF"/>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b w:val="1"/>
                <w:bCs w:val="1"/>
                <w:color w:val="auto"/>
                <w:w w:val="93"/>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100.0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93"/>
              </w:rPr>
              <w:t>%</w:t>
            </w:r>
          </w:p>
        </w:tc>
      </w:tr>
      <w:tr>
        <w:trPr>
          <w:trHeight w:val="20"/>
        </w:trPr>
        <w:tc>
          <w:tcPr>
            <w:tcW w:w="18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3671570</wp:posOffset>
            </wp:positionH>
            <wp:positionV relativeFrom="paragraph">
              <wp:posOffset>-1132840</wp:posOffset>
            </wp:positionV>
            <wp:extent cx="1734185" cy="167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34185" cy="16700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-883285</wp:posOffset>
            </wp:positionV>
            <wp:extent cx="433705" cy="2501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3705" cy="250190"/>
                    </a:xfrm>
                    <a:prstGeom prst="rect">
                      <a:avLst/>
                    </a:prstGeom>
                    <a:noFill/>
                  </pic:spPr>
                </pic:pic>
              </a:graphicData>
            </a:graphic>
          </wp:anchor>
        </w:drawing>
        <w:drawing>
          <wp:anchor simplePos="0" relativeHeight="251657728" behindDoc="1" locked="0" layoutInCell="0" allowOverlap="1">
            <wp:simplePos x="0" y="0"/>
            <wp:positionH relativeFrom="column">
              <wp:posOffset>4972050</wp:posOffset>
            </wp:positionH>
            <wp:positionV relativeFrom="paragraph">
              <wp:posOffset>-799465</wp:posOffset>
            </wp:positionV>
            <wp:extent cx="433705" cy="167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3705" cy="16700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sz w:val="1"/>
          <w:szCs w:val="1"/>
          <w:color w:val="auto"/>
        </w:rPr>
        <w:drawing>
          <wp:inline distT="0" distB="0" distL="0" distR="0">
            <wp:extent cx="375285" cy="15811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5285" cy="158115"/>
                    </a:xfrm>
                    <a:prstGeom prst="rect">
                      <a:avLst/>
                    </a:prstGeom>
                    <a:noFill/>
                    <a:ln>
                      <a:noFill/>
                    </a:ln>
                  </pic:spPr>
                </pic:pic>
              </a:graphicData>
            </a:graphic>
          </wp:inline>
        </w:drawing>
      </w:r>
      <w:r>
        <w:rPr>
          <w:rFonts w:ascii="Arial" w:cs="Arial" w:eastAsia="Arial" w:hAnsi="Arial"/>
          <w:sz w:val="14"/>
          <w:szCs w:val="14"/>
          <w:color w:val="auto"/>
        </w:rPr>
        <w:t>Largest contraction in volumes</w:t>
      </w:r>
    </w:p>
    <w:p>
      <w:pPr>
        <w:spacing w:after="0"/>
        <w:rPr>
          <w:sz w:val="20"/>
          <w:szCs w:val="20"/>
          <w:color w:val="auto"/>
        </w:rPr>
      </w:pPr>
      <w:r>
        <w:rPr>
          <w:sz w:val="1"/>
          <w:szCs w:val="1"/>
          <w:color w:val="auto"/>
        </w:rPr>
        <w:drawing>
          <wp:inline distT="0" distB="0" distL="0" distR="0">
            <wp:extent cx="367030" cy="1333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7030" cy="133350"/>
                    </a:xfrm>
                    <a:prstGeom prst="rect">
                      <a:avLst/>
                    </a:prstGeom>
                    <a:noFill/>
                    <a:ln>
                      <a:noFill/>
                    </a:ln>
                  </pic:spPr>
                </pic:pic>
              </a:graphicData>
            </a:graphic>
          </wp:inline>
        </w:drawing>
      </w:r>
      <w:r>
        <w:rPr>
          <w:rFonts w:ascii="Arial" w:cs="Arial" w:eastAsia="Arial" w:hAnsi="Arial"/>
          <w:sz w:val="14"/>
          <w:szCs w:val="14"/>
          <w:color w:val="auto"/>
        </w:rPr>
        <w:t>Highest growth in volumes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For consolidation purposes, loans generated in FC are converted to LC.</w:t>
      </w:r>
    </w:p>
    <w:p>
      <w:pPr>
        <w:spacing w:after="0" w:line="15" w:lineRule="exact"/>
        <w:rPr>
          <w:sz w:val="20"/>
          <w:szCs w:val="20"/>
          <w:color w:val="auto"/>
        </w:rPr>
      </w:pPr>
    </w:p>
    <w:p>
      <w:pPr>
        <w:ind w:left="260" w:hanging="255"/>
        <w:spacing w:after="0"/>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Structural Portfolio excludes the average daily balances from loans offered through de Reactiva Peru y FAE-Mype Government Programs.</w:t>
      </w:r>
    </w:p>
    <w:p>
      <w:pPr>
        <w:spacing w:after="0" w:line="26" w:lineRule="exact"/>
        <w:rPr>
          <w:rFonts w:ascii="Arial" w:cs="Arial" w:eastAsia="Arial" w:hAnsi="Arial"/>
          <w:sz w:val="16"/>
          <w:szCs w:val="16"/>
          <w:color w:val="auto"/>
        </w:rPr>
      </w:pPr>
    </w:p>
    <w:p>
      <w:pPr>
        <w:ind w:left="260" w:hanging="255"/>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Figures differ from previously reported.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QoQ loan growth in ADB by segment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millions of 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+4.8% (+7.4% Structural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147320</wp:posOffset>
            </wp:positionV>
            <wp:extent cx="7085965" cy="3317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5965" cy="331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figure above shows an increase of +4.8% QoQ (+7.4% structural) of loans measured in quarter-end balances; growth in both cases was driven by the exchange rate effect. If we exclude this effect, total loans grew +2.8% and structural loans, +5.0%. The structural variation was due to the following, in order of magnitude of impact:</w:t>
      </w:r>
    </w:p>
    <w:p>
      <w:pPr>
        <w:spacing w:after="0" w:line="188" w:lineRule="exact"/>
        <w:rPr>
          <w:sz w:val="20"/>
          <w:szCs w:val="20"/>
          <w:color w:val="auto"/>
        </w:rPr>
      </w:pPr>
    </w:p>
    <w:p>
      <w:pPr>
        <w:ind w:left="820" w:hanging="500"/>
        <w:spacing w:after="0" w:line="323"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Growth in the Wholesale Loan portfolio due to an increase in structural balances in the Corporate segment and, to a lesser extent, to growth in the Middle Market segment. Expansion was primarily driven by economic recovery and by the increase in financing demand in these segments.</w:t>
      </w:r>
    </w:p>
    <w:p>
      <w:pPr>
        <w:spacing w:after="0" w:line="134" w:lineRule="exact"/>
        <w:rPr>
          <w:rFonts w:ascii="Arial" w:cs="Arial" w:eastAsia="Arial" w:hAnsi="Arial"/>
          <w:sz w:val="16"/>
          <w:szCs w:val="16"/>
          <w:color w:val="auto"/>
        </w:rPr>
      </w:pPr>
    </w:p>
    <w:p>
      <w:pPr>
        <w:ind w:left="820" w:hanging="500"/>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Growth in Retail Banking, where SME-Business made the highest contribution to portfolio growth, followed by SME-Pyme and Mortgage.</w:t>
      </w:r>
    </w:p>
    <w:p>
      <w:pPr>
        <w:spacing w:after="0" w:line="236" w:lineRule="exact"/>
        <w:rPr>
          <w:rFonts w:ascii="Arial" w:cs="Arial" w:eastAsia="Arial" w:hAnsi="Arial"/>
          <w:sz w:val="16"/>
          <w:szCs w:val="16"/>
          <w:color w:val="auto"/>
        </w:rPr>
      </w:pPr>
    </w:p>
    <w:p>
      <w:pPr>
        <w:ind w:left="820" w:hanging="500"/>
        <w:spacing w:after="0" w:line="260"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Credit Card and Consumer loan balances fell QoQ due to a decrease in the dynamism of these segments and to the fact that clients have used liquidity to reduce their balances.</w:t>
      </w:r>
    </w:p>
    <w:p>
      <w:pPr>
        <w:spacing w:after="0" w:line="181" w:lineRule="exact"/>
        <w:rPr>
          <w:rFonts w:ascii="Arial" w:cs="Arial" w:eastAsia="Arial" w:hAnsi="Arial"/>
          <w:sz w:val="18"/>
          <w:szCs w:val="18"/>
          <w:color w:val="auto"/>
        </w:rPr>
      </w:pPr>
    </w:p>
    <w:p>
      <w:pPr>
        <w:ind w:left="820" w:hanging="500"/>
        <w:spacing w:after="0" w:line="323"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Growth at Mibanco, where balances hit levels this quarter that topped those seen pre-pandemic. Mibanco Colombia resumed growth and registered record-highs for disbursements after having frozen disbursements in 2Q21 in a context of rising social tensions.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GP fell -8.0% QoQ.</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6" w:right="339" w:bottom="159"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YoY loan growth in ADB by segment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millions of S/</w:t>
      </w:r>
    </w:p>
    <w:p>
      <w:pPr>
        <w:spacing w:after="0" w:line="19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+9.0% (+8.7% Structural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13335</wp:posOffset>
            </wp:positionV>
            <wp:extent cx="6669405" cy="2967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69405" cy="296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Government Programs (Reactiva and FAE-Mype)</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Structural</w:t>
      </w:r>
    </w:p>
    <w:p>
      <w:pPr>
        <w:spacing w:after="0" w:line="20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YoY growth was also impacted by a depreciation in LC. If we exclude the exchange rate effect and government loans from the calculation base, total loans increased +4.5% and structural loans, +3.5%. The structural evolution was attributable to:</w:t>
      </w:r>
    </w:p>
    <w:p>
      <w:pPr>
        <w:spacing w:after="0" w:line="182" w:lineRule="exact"/>
        <w:rPr>
          <w:sz w:val="20"/>
          <w:szCs w:val="20"/>
          <w:color w:val="auto"/>
        </w:rPr>
      </w:pPr>
    </w:p>
    <w:p>
      <w:pPr>
        <w:jc w:val="both"/>
        <w:ind w:left="820" w:hanging="500"/>
        <w:spacing w:after="0" w:line="298" w:lineRule="auto"/>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Growth in the Retail Banking portfolio, which was led Mortgage segment followed by SME-Pyme, Consumer and SME-Business. The dynamism of Retail Banking was partially offset by a decrease in Credit Card balances, which were adversely affected by the sanitary crisis; contention measures; a decrease in the appetite for risk; and the fact that clients used their liquidity to pay down balances in this segment.</w:t>
      </w:r>
    </w:p>
    <w:p>
      <w:pPr>
        <w:spacing w:after="0" w:line="62" w:lineRule="exact"/>
        <w:rPr>
          <w:rFonts w:ascii="Arial" w:cs="Arial" w:eastAsia="Arial" w:hAnsi="Arial"/>
          <w:sz w:val="16"/>
          <w:szCs w:val="16"/>
          <w:color w:val="auto"/>
        </w:rPr>
      </w:pPr>
    </w:p>
    <w:p>
      <w:pPr>
        <w:ind w:left="820" w:hanging="500"/>
        <w:spacing w:after="0" w:line="260"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in the Wholesale Banking portfolio, which registered an improvement in Middle Market banking that was offset by a reduction in Corporate banking, whose clients had taken advantage of low rates in 2020 and are paying off these loans.</w:t>
      </w:r>
    </w:p>
    <w:p>
      <w:pPr>
        <w:spacing w:after="0" w:line="89" w:lineRule="exact"/>
        <w:rPr>
          <w:rFonts w:ascii="Arial" w:cs="Arial" w:eastAsia="Arial" w:hAnsi="Arial"/>
          <w:sz w:val="18"/>
          <w:szCs w:val="18"/>
          <w:color w:val="auto"/>
        </w:rPr>
      </w:pPr>
    </w:p>
    <w:p>
      <w:pPr>
        <w:jc w:val="both"/>
        <w:ind w:left="820" w:hanging="500"/>
        <w:spacing w:after="0" w:line="252"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in Mibanco loans, in a scenario marked by on-going recovery in structural loans, which topped pre-pandemic levels in 3Q21. Mibanco Colombia’s portfolio grew 17.0% YoY, which was attributable to an uptick in disbursements and structural increase in productivity after social tensions eased and the confidence level of economic agents improved.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growth in ADB (9 months) by segment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millions of S/</w:t>
      </w:r>
    </w:p>
    <w:p>
      <w:pPr>
        <w:spacing w:after="0" w:line="19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+11.4% (+0.2% Structural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13335</wp:posOffset>
            </wp:positionV>
            <wp:extent cx="6094095" cy="24923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94095" cy="249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Government Programs (Reactiva and FAE-Mype)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-123190</wp:posOffset>
            </wp:positionV>
            <wp:extent cx="300355" cy="2336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0355" cy="233680"/>
                    </a:xfrm>
                    <a:prstGeom prst="rect">
                      <a:avLst/>
                    </a:prstGeom>
                    <a:noFill/>
                  </pic:spPr>
                </pic:pic>
              </a:graphicData>
            </a:graphic>
          </wp:anchor>
        </w:drawing>
      </w:r>
    </w:p>
    <w:p>
      <w:pPr>
        <w:ind w:left="780"/>
        <w:spacing w:after="0"/>
        <w:rPr>
          <w:sz w:val="20"/>
          <w:szCs w:val="20"/>
          <w:color w:val="auto"/>
        </w:rPr>
      </w:pPr>
      <w:r>
        <w:rPr>
          <w:rFonts w:ascii="Arial" w:cs="Arial" w:eastAsia="Arial" w:hAnsi="Arial"/>
          <w:sz w:val="18"/>
          <w:szCs w:val="18"/>
          <w:color w:val="auto"/>
        </w:rPr>
        <w:t>Structural</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5" w:name="page16"/>
    <w:bookmarkEnd w:id="15"/>
    <w:p>
      <w:pPr>
        <w:jc w:val="both"/>
        <w:spacing w:after="0" w:line="249" w:lineRule="auto"/>
        <w:rPr>
          <w:sz w:val="20"/>
          <w:szCs w:val="20"/>
          <w:color w:val="auto"/>
        </w:rPr>
      </w:pPr>
      <w:r>
        <w:rPr>
          <w:rFonts w:ascii="Arial" w:cs="Arial" w:eastAsia="Arial" w:hAnsi="Arial"/>
          <w:sz w:val="18"/>
          <w:szCs w:val="18"/>
          <w:color w:val="auto"/>
        </w:rPr>
        <w:t>Growth in ADB (9 months) of +11.4% was primarily driven by government loans and by the exchange rate effect created by the depreciation of the Sol. The Mortgage and Consumer segments also contributed to this growth. Similar to the scenario seen in the YoY analysis, the Corporate Banking and the Credit Card segments registered the most significant drop in balances given that clients leveraged higher liquidity levels and funds from government relief programs to amortize financial obligations.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1.2.2. Evolution of the loan dollarization level at Credicorp by segment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Evolution of average daily loan balances by currency </w:t>
      </w:r>
      <w:r>
        <w:rPr>
          <w:rFonts w:ascii="Arial" w:cs="Arial" w:eastAsia="Arial" w:hAnsi="Arial"/>
          <w:sz w:val="29"/>
          <w:szCs w:val="29"/>
          <w:b w:val="1"/>
          <w:bCs w:val="1"/>
          <w:color w:val="auto"/>
          <w:vertAlign w:val="superscript"/>
        </w:rPr>
        <w:t>(1)(2)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8"/>
          </w:tcPr>
          <w:p>
            <w:pPr>
              <w:ind w:left="140"/>
              <w:spacing w:after="0"/>
              <w:rPr>
                <w:sz w:val="20"/>
                <w:szCs w:val="20"/>
                <w:color w:val="auto"/>
              </w:rPr>
            </w:pPr>
            <w:r>
              <w:rPr>
                <w:rFonts w:ascii="Arial" w:cs="Arial" w:eastAsia="Arial" w:hAnsi="Arial"/>
                <w:sz w:val="12"/>
                <w:szCs w:val="12"/>
                <w:b w:val="1"/>
                <w:bCs w:val="1"/>
                <w:color w:val="auto"/>
              </w:rPr>
              <w:t>DOMESTIC CURRENCY LOANS</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ind w:left="180"/>
              <w:spacing w:after="0"/>
              <w:rPr>
                <w:sz w:val="20"/>
                <w:szCs w:val="20"/>
                <w:color w:val="auto"/>
              </w:rPr>
            </w:pPr>
            <w:r>
              <w:rPr>
                <w:rFonts w:ascii="Arial" w:cs="Arial" w:eastAsia="Arial" w:hAnsi="Arial"/>
                <w:sz w:val="12"/>
                <w:szCs w:val="12"/>
                <w:b w:val="1"/>
                <w:bCs w:val="1"/>
                <w:color w:val="auto"/>
                <w:w w:val="92"/>
              </w:rPr>
              <w:t>% change</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7"/>
          </w:tcPr>
          <w:p>
            <w:pPr>
              <w:jc w:val="right"/>
              <w:spacing w:after="0"/>
              <w:rPr>
                <w:sz w:val="20"/>
                <w:szCs w:val="20"/>
                <w:color w:val="auto"/>
              </w:rPr>
            </w:pPr>
            <w:r>
              <w:rPr>
                <w:rFonts w:ascii="Arial" w:cs="Arial" w:eastAsia="Arial" w:hAnsi="Arial"/>
                <w:sz w:val="12"/>
                <w:szCs w:val="12"/>
                <w:b w:val="1"/>
                <w:bCs w:val="1"/>
                <w:color w:val="auto"/>
              </w:rPr>
              <w:t>FOREIGN CURRENCY LOANS</w:t>
            </w:r>
          </w:p>
        </w:tc>
        <w:tc>
          <w:tcPr>
            <w:tcW w:w="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5"/>
          </w:tcPr>
          <w:p>
            <w:pPr>
              <w:jc w:val="right"/>
              <w:ind w:right="79"/>
              <w:spacing w:after="0"/>
              <w:rPr>
                <w:sz w:val="20"/>
                <w:szCs w:val="20"/>
                <w:color w:val="auto"/>
              </w:rPr>
            </w:pPr>
            <w:r>
              <w:rPr>
                <w:rFonts w:ascii="Arial" w:cs="Arial" w:eastAsia="Arial" w:hAnsi="Arial"/>
                <w:sz w:val="12"/>
                <w:szCs w:val="12"/>
                <w:b w:val="1"/>
                <w:bCs w:val="1"/>
                <w:color w:val="auto"/>
                <w:w w:val="96"/>
              </w:rPr>
              <w:t>% part. by currency</w:t>
            </w:r>
          </w:p>
        </w:tc>
        <w:tc>
          <w:tcPr>
            <w:tcW w:w="0" w:type="dxa"/>
            <w:vAlign w:val="bottom"/>
          </w:tcPr>
          <w:p>
            <w:pPr>
              <w:spacing w:after="0"/>
              <w:rPr>
                <w:sz w:val="1"/>
                <w:szCs w:val="1"/>
                <w:color w:val="auto"/>
              </w:rPr>
            </w:pPr>
          </w:p>
        </w:tc>
      </w:tr>
      <w:tr>
        <w:trPr>
          <w:trHeight w:val="138"/>
        </w:trPr>
        <w:tc>
          <w:tcPr>
            <w:tcW w:w="920" w:type="dxa"/>
            <w:vAlign w:val="bottom"/>
          </w:tcPr>
          <w:p>
            <w:pPr>
              <w:spacing w:after="0"/>
              <w:rPr>
                <w:sz w:val="11"/>
                <w:szCs w:val="11"/>
                <w:color w:val="auto"/>
              </w:rPr>
            </w:pPr>
          </w:p>
        </w:tc>
        <w:tc>
          <w:tcPr>
            <w:tcW w:w="1760" w:type="dxa"/>
            <w:vAlign w:val="bottom"/>
            <w:gridSpan w:val="6"/>
          </w:tcPr>
          <w:p>
            <w:pPr>
              <w:jc w:val="right"/>
              <w:ind w:right="320"/>
              <w:spacing w:after="0"/>
              <w:rPr>
                <w:sz w:val="20"/>
                <w:szCs w:val="20"/>
                <w:color w:val="auto"/>
              </w:rPr>
            </w:pPr>
            <w:r>
              <w:rPr>
                <w:rFonts w:ascii="Arial" w:cs="Arial" w:eastAsia="Arial" w:hAnsi="Arial"/>
                <w:sz w:val="12"/>
                <w:szCs w:val="12"/>
                <w:i w:val="1"/>
                <w:iCs w:val="1"/>
                <w:color w:val="auto"/>
              </w:rPr>
              <w:t>Expressed in million S/</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b w:val="1"/>
                <w:bCs w:val="1"/>
                <w:color w:val="auto"/>
                <w:w w:val="91"/>
              </w:rPr>
              <w:t>Structural</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6"/>
          </w:tcPr>
          <w:p>
            <w:pPr>
              <w:ind w:left="240"/>
              <w:spacing w:after="0"/>
              <w:rPr>
                <w:sz w:val="20"/>
                <w:szCs w:val="20"/>
                <w:color w:val="auto"/>
              </w:rPr>
            </w:pPr>
            <w:r>
              <w:rPr>
                <w:rFonts w:ascii="Arial" w:cs="Arial" w:eastAsia="Arial" w:hAnsi="Arial"/>
                <w:sz w:val="12"/>
                <w:szCs w:val="12"/>
                <w:b w:val="1"/>
                <w:bCs w:val="1"/>
                <w:color w:val="auto"/>
              </w:rPr>
              <w:t>% change</w:t>
            </w:r>
          </w:p>
        </w:tc>
        <w:tc>
          <w:tcPr>
            <w:tcW w:w="100" w:type="dxa"/>
            <w:vAlign w:val="bottom"/>
          </w:tcPr>
          <w:p>
            <w:pPr>
              <w:spacing w:after="0"/>
              <w:rPr>
                <w:sz w:val="11"/>
                <w:szCs w:val="11"/>
                <w:color w:val="auto"/>
              </w:rPr>
            </w:pPr>
          </w:p>
        </w:tc>
        <w:tc>
          <w:tcPr>
            <w:tcW w:w="1140" w:type="dxa"/>
            <w:vAlign w:val="bottom"/>
            <w:gridSpan w:val="5"/>
          </w:tcPr>
          <w:p>
            <w:pPr>
              <w:jc w:val="right"/>
              <w:ind w:right="299"/>
              <w:spacing w:after="0"/>
              <w:rPr>
                <w:sz w:val="20"/>
                <w:szCs w:val="20"/>
                <w:color w:val="auto"/>
              </w:rPr>
            </w:pPr>
            <w:r>
              <w:rPr>
                <w:rFonts w:ascii="Arial" w:cs="Arial" w:eastAsia="Arial" w:hAnsi="Arial"/>
                <w:sz w:val="12"/>
                <w:szCs w:val="12"/>
                <w:b w:val="1"/>
                <w:bCs w:val="1"/>
                <w:color w:val="auto"/>
              </w:rPr>
              <w:t>Structural</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gridSpan w:val="6"/>
          </w:tcPr>
          <w:p>
            <w:pPr>
              <w:jc w:val="right"/>
              <w:ind w:right="219"/>
              <w:spacing w:after="0"/>
              <w:rPr>
                <w:sz w:val="20"/>
                <w:szCs w:val="20"/>
                <w:color w:val="auto"/>
              </w:rPr>
            </w:pPr>
            <w:r>
              <w:rPr>
                <w:rFonts w:ascii="Arial" w:cs="Arial" w:eastAsia="Arial" w:hAnsi="Arial"/>
                <w:sz w:val="12"/>
                <w:szCs w:val="12"/>
                <w:i w:val="1"/>
                <w:iCs w:val="1"/>
                <w:color w:val="auto"/>
              </w:rPr>
              <w:t>Expressed in million US$</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gridSpan w:val="2"/>
          </w:tcPr>
          <w:p>
            <w:pPr>
              <w:ind w:left="40"/>
              <w:spacing w:after="0"/>
              <w:rPr>
                <w:sz w:val="20"/>
                <w:szCs w:val="20"/>
                <w:color w:val="auto"/>
              </w:rPr>
            </w:pPr>
            <w:r>
              <w:rPr>
                <w:rFonts w:ascii="Arial" w:cs="Arial" w:eastAsia="Arial" w:hAnsi="Arial"/>
                <w:sz w:val="12"/>
                <w:szCs w:val="12"/>
                <w:b w:val="1"/>
                <w:bCs w:val="1"/>
                <w:color w:val="auto"/>
              </w:rPr>
              <w:t>3Q21</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920" w:type="dxa"/>
            <w:vAlign w:val="bottom"/>
          </w:tcPr>
          <w:p>
            <w:pPr>
              <w:spacing w:after="0"/>
              <w:rPr>
                <w:sz w:val="11"/>
                <w:szCs w:val="11"/>
                <w:color w:val="auto"/>
              </w:rPr>
            </w:pPr>
          </w:p>
        </w:tc>
        <w:tc>
          <w:tcPr>
            <w:tcW w:w="5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rPr>
              <w:t>3Q20</w:t>
            </w:r>
          </w:p>
        </w:tc>
        <w:tc>
          <w:tcPr>
            <w:tcW w:w="600" w:type="dxa"/>
            <w:vAlign w:val="bottom"/>
            <w:tcBorders>
              <w:top w:val="single" w:sz="8" w:color="auto"/>
            </w:tcBorders>
            <w:gridSpan w:val="2"/>
          </w:tcPr>
          <w:p>
            <w:pPr>
              <w:ind w:left="160"/>
              <w:spacing w:after="0"/>
              <w:rPr>
                <w:sz w:val="20"/>
                <w:szCs w:val="20"/>
                <w:color w:val="auto"/>
              </w:rPr>
            </w:pPr>
            <w:r>
              <w:rPr>
                <w:rFonts w:ascii="Arial" w:cs="Arial" w:eastAsia="Arial" w:hAnsi="Arial"/>
                <w:sz w:val="12"/>
                <w:szCs w:val="12"/>
                <w:b w:val="1"/>
                <w:bCs w:val="1"/>
                <w:color w:val="auto"/>
              </w:rPr>
              <w:t>2Q21</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3Q21</w:t>
            </w:r>
          </w:p>
        </w:tc>
        <w:tc>
          <w:tcPr>
            <w:tcW w:w="120" w:type="dxa"/>
            <w:vAlign w:val="bottom"/>
          </w:tcPr>
          <w:p>
            <w:pPr>
              <w:spacing w:after="0"/>
              <w:rPr>
                <w:sz w:val="11"/>
                <w:szCs w:val="11"/>
                <w:color w:val="auto"/>
              </w:rPr>
            </w:pPr>
          </w:p>
        </w:tc>
        <w:tc>
          <w:tcPr>
            <w:tcW w:w="5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2"/>
                <w:szCs w:val="12"/>
                <w:b w:val="1"/>
                <w:bCs w:val="1"/>
                <w:color w:val="auto"/>
              </w:rPr>
              <w:t>3Q20</w:t>
            </w:r>
          </w:p>
        </w:tc>
        <w:tc>
          <w:tcPr>
            <w:tcW w:w="5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2"/>
                <w:szCs w:val="12"/>
                <w:b w:val="1"/>
                <w:bCs w:val="1"/>
                <w:color w:val="auto"/>
              </w:rPr>
              <w:t>2Q21</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3Q21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auto"/>
            </w:tcBorders>
            <w:gridSpan w:val="2"/>
          </w:tcPr>
          <w:p>
            <w:pPr>
              <w:jc w:val="right"/>
              <w:ind w:right="99"/>
              <w:spacing w:after="0"/>
              <w:rPr>
                <w:sz w:val="20"/>
                <w:szCs w:val="20"/>
                <w:color w:val="auto"/>
              </w:rPr>
            </w:pPr>
            <w:r>
              <w:rPr>
                <w:rFonts w:ascii="Arial" w:cs="Arial" w:eastAsia="Arial" w:hAnsi="Arial"/>
                <w:sz w:val="12"/>
                <w:szCs w:val="12"/>
                <w:b w:val="1"/>
                <w:bCs w:val="1"/>
                <w:color w:val="auto"/>
              </w:rPr>
              <w:t>QoQ</w:t>
            </w: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YoY</w:t>
            </w:r>
          </w:p>
        </w:tc>
        <w:tc>
          <w:tcPr>
            <w:tcW w:w="2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top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QoQ</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85"/>
              </w:rPr>
              <w:t>YoY</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3Q20</w:t>
            </w: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rPr>
              <w:t>2Q21</w:t>
            </w:r>
          </w:p>
        </w:tc>
        <w:tc>
          <w:tcPr>
            <w:tcW w:w="5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2"/>
                <w:szCs w:val="12"/>
                <w:b w:val="1"/>
                <w:bCs w:val="1"/>
                <w:color w:val="auto"/>
              </w:rPr>
              <w:t>3Q21</w:t>
            </w:r>
          </w:p>
        </w:tc>
        <w:tc>
          <w:tcPr>
            <w:tcW w:w="680" w:type="dxa"/>
            <w:vAlign w:val="bottom"/>
            <w:tcBorders>
              <w:top w:val="single" w:sz="8" w:color="auto"/>
            </w:tcBorders>
            <w:gridSpan w:val="2"/>
          </w:tcPr>
          <w:p>
            <w:pPr>
              <w:jc w:val="right"/>
              <w:ind w:right="219"/>
              <w:spacing w:after="0"/>
              <w:rPr>
                <w:sz w:val="20"/>
                <w:szCs w:val="20"/>
                <w:color w:val="auto"/>
              </w:rPr>
            </w:pPr>
            <w:r>
              <w:rPr>
                <w:rFonts w:ascii="Arial" w:cs="Arial" w:eastAsia="Arial" w:hAnsi="Arial"/>
                <w:sz w:val="12"/>
                <w:szCs w:val="12"/>
                <w:b w:val="1"/>
                <w:bCs w:val="1"/>
                <w:color w:val="auto"/>
              </w:rPr>
              <w:t>QoQ</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YoY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top w:val="single" w:sz="8" w:color="auto"/>
            </w:tcBorders>
            <w:gridSpan w:val="3"/>
          </w:tcPr>
          <w:p>
            <w:pPr>
              <w:ind w:left="200"/>
              <w:spacing w:after="0"/>
              <w:rPr>
                <w:sz w:val="20"/>
                <w:szCs w:val="20"/>
                <w:color w:val="auto"/>
              </w:rPr>
            </w:pPr>
            <w:r>
              <w:rPr>
                <w:rFonts w:ascii="Arial" w:cs="Arial" w:eastAsia="Arial" w:hAnsi="Arial"/>
                <w:sz w:val="12"/>
                <w:szCs w:val="12"/>
                <w:b w:val="1"/>
                <w:bCs w:val="1"/>
                <w:color w:val="auto"/>
              </w:rPr>
              <w:t>LC</w:t>
            </w:r>
          </w:p>
        </w:tc>
        <w:tc>
          <w:tcPr>
            <w:tcW w:w="320" w:type="dxa"/>
            <w:vAlign w:val="bottom"/>
            <w:tcBorders>
              <w:top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FC</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920" w:type="dxa"/>
            <w:vAlign w:val="bottom"/>
            <w:tcBorders>
              <w:top w:val="single" w:sz="8" w:color="CCEEFF"/>
            </w:tcBorders>
            <w:shd w:val="clear" w:color="auto" w:fill="CCEEFF"/>
          </w:tcPr>
          <w:p>
            <w:pPr>
              <w:spacing w:after="0" w:line="93" w:lineRule="exact"/>
              <w:rPr>
                <w:sz w:val="20"/>
                <w:szCs w:val="20"/>
                <w:color w:val="auto"/>
              </w:rPr>
            </w:pPr>
            <w:r>
              <w:rPr>
                <w:rFonts w:ascii="Arial" w:cs="Arial" w:eastAsia="Arial" w:hAnsi="Arial"/>
                <w:sz w:val="10"/>
                <w:szCs w:val="10"/>
                <w:b w:val="1"/>
                <w:bCs w:val="1"/>
                <w:color w:val="auto"/>
              </w:rPr>
              <w:t>BCP Stand-</w:t>
            </w:r>
          </w:p>
        </w:tc>
        <w:tc>
          <w:tcPr>
            <w:tcW w:w="4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right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alone</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78,056</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80,960</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83,442</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60,115</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59,941</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64,202</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3.1%</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6.9%</w:t>
            </w: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39"/>
              <w:spacing w:after="0"/>
              <w:rPr>
                <w:sz w:val="20"/>
                <w:szCs w:val="20"/>
                <w:color w:val="auto"/>
              </w:rPr>
            </w:pPr>
            <w:r>
              <w:rPr>
                <w:rFonts w:ascii="Arial" w:cs="Arial" w:eastAsia="Arial" w:hAnsi="Arial"/>
                <w:sz w:val="12"/>
                <w:szCs w:val="12"/>
                <w:b w:val="1"/>
                <w:bCs w:val="1"/>
                <w:color w:val="auto"/>
              </w:rPr>
              <w:t>7.1%</w:t>
            </w: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6.8%</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9,375</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8,805</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9,135</w:t>
            </w:r>
          </w:p>
        </w:tc>
        <w:tc>
          <w:tcPr>
            <w:tcW w:w="68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b w:val="1"/>
                <w:bCs w:val="1"/>
                <w:color w:val="auto"/>
              </w:rPr>
              <w:t>3.8%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-2.6%</w:t>
            </w:r>
          </w:p>
        </w:tc>
        <w:tc>
          <w:tcPr>
            <w:tcW w:w="780" w:type="dxa"/>
            <w:vAlign w:val="bottom"/>
            <w:gridSpan w:val="3"/>
            <w:shd w:val="clear" w:color="auto" w:fill="CCEEFF"/>
          </w:tcPr>
          <w:p>
            <w:pPr>
              <w:jc w:val="right"/>
              <w:ind w:right="59"/>
              <w:spacing w:after="0"/>
              <w:rPr>
                <w:sz w:val="20"/>
                <w:szCs w:val="20"/>
                <w:color w:val="auto"/>
              </w:rPr>
            </w:pPr>
            <w:r>
              <w:rPr>
                <w:rFonts w:ascii="Arial" w:cs="Arial" w:eastAsia="Arial" w:hAnsi="Arial"/>
                <w:sz w:val="12"/>
                <w:szCs w:val="12"/>
                <w:b w:val="1"/>
                <w:bCs w:val="1"/>
                <w:color w:val="auto"/>
              </w:rPr>
              <w:t>69.1%</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30.9%</w:t>
            </w:r>
          </w:p>
        </w:tc>
        <w:tc>
          <w:tcPr>
            <w:tcW w:w="0" w:type="dxa"/>
            <w:vAlign w:val="bottom"/>
          </w:tcPr>
          <w:p>
            <w:pPr>
              <w:spacing w:after="0"/>
              <w:rPr>
                <w:sz w:val="1"/>
                <w:szCs w:val="1"/>
                <w:color w:val="auto"/>
              </w:rPr>
            </w:pPr>
          </w:p>
        </w:tc>
      </w:tr>
      <w:tr>
        <w:trPr>
          <w:trHeight w:val="113"/>
        </w:trPr>
        <w:tc>
          <w:tcPr>
            <w:tcW w:w="920" w:type="dxa"/>
            <w:vAlign w:val="bottom"/>
          </w:tcPr>
          <w:p>
            <w:pPr>
              <w:ind w:left="140"/>
              <w:spacing w:after="0" w:line="113" w:lineRule="exact"/>
              <w:rPr>
                <w:sz w:val="20"/>
                <w:szCs w:val="20"/>
                <w:color w:val="auto"/>
              </w:rPr>
            </w:pPr>
            <w:r>
              <w:rPr>
                <w:rFonts w:ascii="Arial" w:cs="Arial" w:eastAsia="Arial" w:hAnsi="Arial"/>
                <w:sz w:val="12"/>
                <w:szCs w:val="12"/>
                <w:b w:val="1"/>
                <w:bCs w:val="1"/>
                <w:color w:val="auto"/>
              </w:rPr>
              <w:t>Wholesale</w:t>
            </w: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Banking</w:t>
            </w:r>
          </w:p>
        </w:tc>
        <w:tc>
          <w:tcPr>
            <w:tcW w:w="5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28,201</w:t>
            </w:r>
          </w:p>
        </w:tc>
        <w:tc>
          <w:tcPr>
            <w:tcW w:w="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25,860</w:t>
            </w:r>
          </w:p>
        </w:tc>
        <w:tc>
          <w:tcPr>
            <w:tcW w:w="5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28,562</w:t>
            </w:r>
          </w:p>
        </w:tc>
        <w:tc>
          <w:tcPr>
            <w:tcW w:w="5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21,694</w:t>
            </w:r>
          </w:p>
        </w:tc>
        <w:tc>
          <w:tcPr>
            <w:tcW w:w="5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20,065</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23,779</w:t>
            </w:r>
          </w:p>
        </w:tc>
        <w:tc>
          <w:tcPr>
            <w:tcW w:w="560" w:type="dxa"/>
            <w:vAlign w:val="bottom"/>
            <w:gridSpan w:val="3"/>
          </w:tcPr>
          <w:p>
            <w:pPr>
              <w:jc w:val="right"/>
              <w:spacing w:after="0"/>
              <w:rPr>
                <w:sz w:val="20"/>
                <w:szCs w:val="20"/>
                <w:color w:val="auto"/>
              </w:rPr>
            </w:pPr>
            <w:r>
              <w:rPr>
                <w:rFonts w:ascii="Arial" w:cs="Arial" w:eastAsia="Arial" w:hAnsi="Arial"/>
                <w:sz w:val="12"/>
                <w:szCs w:val="12"/>
                <w:b w:val="1"/>
                <w:bCs w:val="1"/>
                <w:color w:val="auto"/>
              </w:rPr>
              <w:t>10.4%</w:t>
            </w:r>
          </w:p>
        </w:tc>
        <w:tc>
          <w:tcPr>
            <w:tcW w:w="680" w:type="dxa"/>
            <w:vAlign w:val="bottom"/>
            <w:gridSpan w:val="3"/>
          </w:tcPr>
          <w:p>
            <w:pPr>
              <w:jc w:val="right"/>
              <w:spacing w:after="0"/>
              <w:rPr>
                <w:sz w:val="20"/>
                <w:szCs w:val="20"/>
                <w:color w:val="auto"/>
              </w:rPr>
            </w:pPr>
            <w:r>
              <w:rPr>
                <w:rFonts w:ascii="Arial" w:cs="Arial" w:eastAsia="Arial" w:hAnsi="Arial"/>
                <w:sz w:val="12"/>
                <w:szCs w:val="12"/>
                <w:b w:val="1"/>
                <w:bCs w:val="1"/>
                <w:color w:val="auto"/>
              </w:rPr>
              <w:t>1.3%</w:t>
            </w:r>
          </w:p>
        </w:tc>
        <w:tc>
          <w:tcPr>
            <w:tcW w:w="100" w:type="dxa"/>
            <w:vAlign w:val="bottom"/>
          </w:tcPr>
          <w:p>
            <w:pPr>
              <w:spacing w:after="0"/>
              <w:rPr>
                <w:sz w:val="12"/>
                <w:szCs w:val="12"/>
                <w:color w:val="auto"/>
              </w:rPr>
            </w:pPr>
          </w:p>
        </w:tc>
        <w:tc>
          <w:tcPr>
            <w:tcW w:w="660" w:type="dxa"/>
            <w:vAlign w:val="bottom"/>
            <w:gridSpan w:val="3"/>
          </w:tcPr>
          <w:p>
            <w:pPr>
              <w:jc w:val="right"/>
              <w:ind w:right="39"/>
              <w:spacing w:after="0"/>
              <w:rPr>
                <w:sz w:val="20"/>
                <w:szCs w:val="20"/>
                <w:color w:val="auto"/>
              </w:rPr>
            </w:pPr>
            <w:r>
              <w:rPr>
                <w:rFonts w:ascii="Arial" w:cs="Arial" w:eastAsia="Arial" w:hAnsi="Arial"/>
                <w:sz w:val="12"/>
                <w:szCs w:val="12"/>
                <w:b w:val="1"/>
                <w:bCs w:val="1"/>
                <w:color w:val="auto"/>
              </w:rPr>
              <w:t>18.5%</w:t>
            </w:r>
          </w:p>
        </w:tc>
        <w:tc>
          <w:tcPr>
            <w:tcW w:w="16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2"/>
                <w:szCs w:val="12"/>
                <w:b w:val="1"/>
                <w:bCs w:val="1"/>
                <w:color w:val="auto"/>
              </w:rPr>
              <w:t>9.6%</w:t>
            </w:r>
          </w:p>
        </w:tc>
        <w:tc>
          <w:tcPr>
            <w:tcW w:w="560" w:type="dxa"/>
            <w:vAlign w:val="bottom"/>
            <w:gridSpan w:val="2"/>
          </w:tcPr>
          <w:p>
            <w:pPr>
              <w:jc w:val="right"/>
              <w:spacing w:after="0"/>
              <w:rPr>
                <w:sz w:val="20"/>
                <w:szCs w:val="20"/>
                <w:color w:val="auto"/>
              </w:rPr>
            </w:pPr>
            <w:r>
              <w:rPr>
                <w:rFonts w:ascii="Arial" w:cs="Arial" w:eastAsia="Arial" w:hAnsi="Arial"/>
                <w:sz w:val="12"/>
                <w:szCs w:val="12"/>
                <w:b w:val="1"/>
                <w:bCs w:val="1"/>
                <w:color w:val="auto"/>
              </w:rPr>
              <w:t>7,493</w:t>
            </w:r>
          </w:p>
        </w:tc>
        <w:tc>
          <w:tcPr>
            <w:tcW w:w="64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6,803</w:t>
            </w:r>
          </w:p>
        </w:tc>
        <w:tc>
          <w:tcPr>
            <w:tcW w:w="5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7,173</w:t>
            </w:r>
          </w:p>
        </w:tc>
        <w:tc>
          <w:tcPr>
            <w:tcW w:w="680" w:type="dxa"/>
            <w:vAlign w:val="bottom"/>
            <w:gridSpan w:val="2"/>
          </w:tcPr>
          <w:p>
            <w:pPr>
              <w:jc w:val="right"/>
              <w:ind w:right="59"/>
              <w:spacing w:after="0"/>
              <w:rPr>
                <w:sz w:val="20"/>
                <w:szCs w:val="20"/>
                <w:color w:val="auto"/>
              </w:rPr>
            </w:pPr>
            <w:r>
              <w:rPr>
                <w:rFonts w:ascii="Arial" w:cs="Arial" w:eastAsia="Arial" w:hAnsi="Arial"/>
                <w:sz w:val="12"/>
                <w:szCs w:val="12"/>
                <w:b w:val="1"/>
                <w:bCs w:val="1"/>
                <w:color w:val="auto"/>
              </w:rPr>
              <w:t>5.4%</w:t>
            </w:r>
          </w:p>
        </w:tc>
        <w:tc>
          <w:tcPr>
            <w:tcW w:w="560" w:type="dxa"/>
            <w:vAlign w:val="bottom"/>
            <w:gridSpan w:val="2"/>
          </w:tcPr>
          <w:p>
            <w:pPr>
              <w:jc w:val="right"/>
              <w:spacing w:after="0"/>
              <w:rPr>
                <w:sz w:val="20"/>
                <w:szCs w:val="20"/>
                <w:color w:val="auto"/>
              </w:rPr>
            </w:pPr>
            <w:r>
              <w:rPr>
                <w:rFonts w:ascii="Arial" w:cs="Arial" w:eastAsia="Arial" w:hAnsi="Arial"/>
                <w:sz w:val="12"/>
                <w:szCs w:val="12"/>
                <w:b w:val="1"/>
                <w:bCs w:val="1"/>
                <w:color w:val="auto"/>
              </w:rPr>
              <w:t>-4.3%</w:t>
            </w:r>
          </w:p>
        </w:tc>
        <w:tc>
          <w:tcPr>
            <w:tcW w:w="780" w:type="dxa"/>
            <w:vAlign w:val="bottom"/>
            <w:gridSpan w:val="3"/>
          </w:tcPr>
          <w:p>
            <w:pPr>
              <w:jc w:val="right"/>
              <w:ind w:right="59"/>
              <w:spacing w:after="0"/>
              <w:rPr>
                <w:sz w:val="20"/>
                <w:szCs w:val="20"/>
                <w:color w:val="auto"/>
              </w:rPr>
            </w:pPr>
            <w:r>
              <w:rPr>
                <w:rFonts w:ascii="Arial" w:cs="Arial" w:eastAsia="Arial" w:hAnsi="Arial"/>
                <w:sz w:val="12"/>
                <w:szCs w:val="12"/>
                <w:b w:val="1"/>
                <w:bCs w:val="1"/>
                <w:color w:val="auto"/>
              </w:rPr>
              <w:t>49.4%</w:t>
            </w:r>
          </w:p>
        </w:tc>
        <w:tc>
          <w:tcPr>
            <w:tcW w:w="12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Arial" w:cs="Arial" w:eastAsia="Arial" w:hAnsi="Arial"/>
                <w:sz w:val="12"/>
                <w:szCs w:val="12"/>
                <w:b w:val="1"/>
                <w:bCs w:val="1"/>
                <w:color w:val="auto"/>
              </w:rPr>
              <w:t>50.6%</w:t>
            </w:r>
          </w:p>
        </w:tc>
        <w:tc>
          <w:tcPr>
            <w:tcW w:w="0" w:type="dxa"/>
            <w:vAlign w:val="bottom"/>
          </w:tcPr>
          <w:p>
            <w:pPr>
              <w:spacing w:after="0"/>
              <w:rPr>
                <w:sz w:val="1"/>
                <w:szCs w:val="1"/>
                <w:color w:val="auto"/>
              </w:rPr>
            </w:pPr>
          </w:p>
        </w:tc>
      </w:tr>
      <w:tr>
        <w:trPr>
          <w:trHeight w:val="131"/>
        </w:trPr>
        <w:tc>
          <w:tcPr>
            <w:tcW w:w="920" w:type="dxa"/>
            <w:vAlign w:val="bottom"/>
            <w:shd w:val="clear" w:color="auto" w:fill="CCEEFF"/>
          </w:tcPr>
          <w:p>
            <w:pPr>
              <w:ind w:left="260"/>
              <w:spacing w:after="0" w:line="132" w:lineRule="exact"/>
              <w:rPr>
                <w:sz w:val="20"/>
                <w:szCs w:val="20"/>
                <w:color w:val="auto"/>
              </w:rPr>
            </w:pPr>
            <w:r>
              <w:rPr>
                <w:rFonts w:ascii="Arial" w:cs="Arial" w:eastAsia="Arial" w:hAnsi="Arial"/>
                <w:sz w:val="12"/>
                <w:szCs w:val="12"/>
                <w:color w:val="auto"/>
              </w:rPr>
              <w:t>Corporate</w:t>
            </w:r>
          </w:p>
        </w:tc>
        <w:tc>
          <w:tcPr>
            <w:tcW w:w="58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14,204</w:t>
            </w:r>
          </w:p>
        </w:tc>
        <w:tc>
          <w:tcPr>
            <w:tcW w:w="60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12,572</w:t>
            </w:r>
          </w:p>
        </w:tc>
        <w:tc>
          <w:tcPr>
            <w:tcW w:w="58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14,771</w:t>
            </w:r>
          </w:p>
        </w:tc>
        <w:tc>
          <w:tcPr>
            <w:tcW w:w="56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13,381</w:t>
            </w:r>
          </w:p>
        </w:tc>
        <w:tc>
          <w:tcPr>
            <w:tcW w:w="54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11,990</w:t>
            </w:r>
          </w:p>
        </w:tc>
        <w:tc>
          <w:tcPr>
            <w:tcW w:w="56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14,276</w:t>
            </w:r>
          </w:p>
        </w:tc>
        <w:tc>
          <w:tcPr>
            <w:tcW w:w="560" w:type="dxa"/>
            <w:vAlign w:val="bottom"/>
            <w:gridSpan w:val="3"/>
            <w:shd w:val="clear" w:color="auto" w:fill="66E0DA"/>
          </w:tcPr>
          <w:p>
            <w:pPr>
              <w:jc w:val="right"/>
              <w:spacing w:after="0" w:line="132" w:lineRule="exact"/>
              <w:rPr>
                <w:sz w:val="20"/>
                <w:szCs w:val="20"/>
                <w:color w:val="auto"/>
              </w:rPr>
            </w:pPr>
            <w:r>
              <w:rPr>
                <w:rFonts w:ascii="Arial" w:cs="Arial" w:eastAsia="Arial" w:hAnsi="Arial"/>
                <w:sz w:val="12"/>
                <w:szCs w:val="12"/>
                <w:color w:val="auto"/>
              </w:rPr>
              <w:t>17.5%</w:t>
            </w:r>
          </w:p>
        </w:tc>
        <w:tc>
          <w:tcPr>
            <w:tcW w:w="680" w:type="dxa"/>
            <w:vAlign w:val="bottom"/>
            <w:gridSpan w:val="3"/>
            <w:shd w:val="clear" w:color="auto" w:fill="CCEEFF"/>
          </w:tcPr>
          <w:p>
            <w:pPr>
              <w:jc w:val="right"/>
              <w:spacing w:after="0" w:line="132" w:lineRule="exact"/>
              <w:rPr>
                <w:sz w:val="20"/>
                <w:szCs w:val="20"/>
                <w:color w:val="auto"/>
              </w:rPr>
            </w:pPr>
            <w:r>
              <w:rPr>
                <w:rFonts w:ascii="Arial" w:cs="Arial" w:eastAsia="Arial" w:hAnsi="Arial"/>
                <w:sz w:val="12"/>
                <w:szCs w:val="12"/>
                <w:color w:val="auto"/>
              </w:rPr>
              <w:t>4.0%</w:t>
            </w:r>
          </w:p>
        </w:tc>
        <w:tc>
          <w:tcPr>
            <w:tcW w:w="100" w:type="dxa"/>
            <w:vAlign w:val="bottom"/>
            <w:shd w:val="clear" w:color="auto" w:fill="CCEEFF"/>
          </w:tcPr>
          <w:p>
            <w:pPr>
              <w:spacing w:after="0"/>
              <w:rPr>
                <w:sz w:val="11"/>
                <w:szCs w:val="11"/>
                <w:color w:val="auto"/>
              </w:rPr>
            </w:pPr>
          </w:p>
        </w:tc>
        <w:tc>
          <w:tcPr>
            <w:tcW w:w="100" w:type="dxa"/>
            <w:vAlign w:val="bottom"/>
            <w:shd w:val="clear" w:color="auto" w:fill="66E0DA"/>
          </w:tcPr>
          <w:p>
            <w:pPr>
              <w:spacing w:after="0"/>
              <w:rPr>
                <w:sz w:val="11"/>
                <w:szCs w:val="11"/>
                <w:color w:val="auto"/>
              </w:rPr>
            </w:pPr>
          </w:p>
        </w:tc>
        <w:tc>
          <w:tcPr>
            <w:tcW w:w="560" w:type="dxa"/>
            <w:vAlign w:val="bottom"/>
            <w:gridSpan w:val="2"/>
            <w:shd w:val="clear" w:color="auto" w:fill="66E0DA"/>
          </w:tcPr>
          <w:p>
            <w:pPr>
              <w:jc w:val="right"/>
              <w:ind w:right="59"/>
              <w:spacing w:after="0" w:line="132" w:lineRule="exact"/>
              <w:rPr>
                <w:sz w:val="20"/>
                <w:szCs w:val="20"/>
                <w:color w:val="auto"/>
              </w:rPr>
            </w:pPr>
            <w:r>
              <w:rPr>
                <w:rFonts w:ascii="Arial" w:cs="Arial" w:eastAsia="Arial" w:hAnsi="Arial"/>
                <w:sz w:val="12"/>
                <w:szCs w:val="12"/>
                <w:color w:val="auto"/>
              </w:rPr>
              <w:t>19.1%</w:t>
            </w:r>
          </w:p>
        </w:tc>
        <w:tc>
          <w:tcPr>
            <w:tcW w:w="160" w:type="dxa"/>
            <w:vAlign w:val="bottom"/>
            <w:shd w:val="clear" w:color="auto" w:fill="66E0DA"/>
          </w:tcPr>
          <w:p>
            <w:pPr>
              <w:spacing w:after="0"/>
              <w:rPr>
                <w:sz w:val="11"/>
                <w:szCs w:val="11"/>
                <w:color w:val="auto"/>
              </w:rPr>
            </w:pPr>
          </w:p>
        </w:tc>
        <w:tc>
          <w:tcPr>
            <w:tcW w:w="420" w:type="dxa"/>
            <w:vAlign w:val="bottom"/>
            <w:gridSpan w:val="2"/>
            <w:shd w:val="clear" w:color="auto" w:fill="66E0DA"/>
          </w:tcPr>
          <w:p>
            <w:pPr>
              <w:jc w:val="right"/>
              <w:spacing w:after="0" w:line="132" w:lineRule="exact"/>
              <w:rPr>
                <w:sz w:val="20"/>
                <w:szCs w:val="20"/>
                <w:color w:val="auto"/>
              </w:rPr>
            </w:pPr>
            <w:r>
              <w:rPr>
                <w:rFonts w:ascii="Arial" w:cs="Arial" w:eastAsia="Arial" w:hAnsi="Arial"/>
                <w:sz w:val="12"/>
                <w:szCs w:val="12"/>
                <w:color w:val="auto"/>
              </w:rPr>
              <w:t>6.7%</w:t>
            </w:r>
          </w:p>
        </w:tc>
        <w:tc>
          <w:tcPr>
            <w:tcW w:w="560" w:type="dxa"/>
            <w:vAlign w:val="bottom"/>
            <w:tcBorders>
              <w:right w:val="single" w:sz="8" w:color="CCEEFF"/>
            </w:tcBorders>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4,851</w:t>
            </w:r>
          </w:p>
        </w:tc>
        <w:tc>
          <w:tcPr>
            <w:tcW w:w="640" w:type="dxa"/>
            <w:vAlign w:val="bottom"/>
            <w:gridSpan w:val="3"/>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4,264</w:t>
            </w:r>
          </w:p>
        </w:tc>
        <w:tc>
          <w:tcPr>
            <w:tcW w:w="54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4,375</w:t>
            </w:r>
          </w:p>
        </w:tc>
        <w:tc>
          <w:tcPr>
            <w:tcW w:w="680" w:type="dxa"/>
            <w:vAlign w:val="bottom"/>
            <w:gridSpan w:val="2"/>
            <w:shd w:val="clear" w:color="auto" w:fill="CCEEFF"/>
          </w:tcPr>
          <w:p>
            <w:pPr>
              <w:jc w:val="right"/>
              <w:ind w:right="79"/>
              <w:spacing w:after="0" w:line="132" w:lineRule="exact"/>
              <w:rPr>
                <w:sz w:val="20"/>
                <w:szCs w:val="20"/>
                <w:color w:val="auto"/>
              </w:rPr>
            </w:pPr>
            <w:r>
              <w:rPr>
                <w:rFonts w:ascii="Arial" w:cs="Arial" w:eastAsia="Arial" w:hAnsi="Arial"/>
                <w:sz w:val="12"/>
                <w:szCs w:val="12"/>
                <w:color w:val="auto"/>
              </w:rPr>
              <w:t>2.6%</w:t>
            </w:r>
          </w:p>
        </w:tc>
        <w:tc>
          <w:tcPr>
            <w:tcW w:w="560" w:type="dxa"/>
            <w:vAlign w:val="bottom"/>
            <w:gridSpan w:val="2"/>
            <w:shd w:val="clear" w:color="auto" w:fill="F17DC6"/>
          </w:tcPr>
          <w:p>
            <w:pPr>
              <w:jc w:val="right"/>
              <w:spacing w:after="0" w:line="132" w:lineRule="exact"/>
              <w:rPr>
                <w:sz w:val="20"/>
                <w:szCs w:val="20"/>
                <w:color w:val="auto"/>
              </w:rPr>
            </w:pPr>
            <w:r>
              <w:rPr>
                <w:rFonts w:ascii="Arial" w:cs="Arial" w:eastAsia="Arial" w:hAnsi="Arial"/>
                <w:sz w:val="12"/>
                <w:szCs w:val="12"/>
                <w:color w:val="auto"/>
              </w:rPr>
              <w:t>-9.8%</w:t>
            </w:r>
          </w:p>
        </w:tc>
        <w:tc>
          <w:tcPr>
            <w:tcW w:w="780" w:type="dxa"/>
            <w:vAlign w:val="bottom"/>
            <w:gridSpan w:val="3"/>
            <w:shd w:val="clear" w:color="auto" w:fill="CCEEFF"/>
          </w:tcPr>
          <w:p>
            <w:pPr>
              <w:jc w:val="right"/>
              <w:ind w:right="79"/>
              <w:spacing w:after="0" w:line="132" w:lineRule="exact"/>
              <w:rPr>
                <w:sz w:val="20"/>
                <w:szCs w:val="20"/>
                <w:color w:val="auto"/>
              </w:rPr>
            </w:pPr>
            <w:r>
              <w:rPr>
                <w:rFonts w:ascii="Arial" w:cs="Arial" w:eastAsia="Arial" w:hAnsi="Arial"/>
                <w:sz w:val="12"/>
                <w:szCs w:val="12"/>
                <w:color w:val="auto"/>
              </w:rPr>
              <w:t>45.3%</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54.7%</w:t>
            </w:r>
          </w:p>
        </w:tc>
        <w:tc>
          <w:tcPr>
            <w:tcW w:w="0" w:type="dxa"/>
            <w:vAlign w:val="bottom"/>
          </w:tcPr>
          <w:p>
            <w:pPr>
              <w:spacing w:after="0"/>
              <w:rPr>
                <w:sz w:val="1"/>
                <w:szCs w:val="1"/>
                <w:color w:val="auto"/>
              </w:rPr>
            </w:pPr>
          </w:p>
        </w:tc>
      </w:tr>
      <w:tr>
        <w:trPr>
          <w:trHeight w:val="117"/>
        </w:trPr>
        <w:tc>
          <w:tcPr>
            <w:tcW w:w="920" w:type="dxa"/>
            <w:vAlign w:val="bottom"/>
          </w:tcPr>
          <w:p>
            <w:pPr>
              <w:ind w:left="260"/>
              <w:spacing w:after="0" w:line="117" w:lineRule="exact"/>
              <w:rPr>
                <w:sz w:val="20"/>
                <w:szCs w:val="20"/>
                <w:color w:val="auto"/>
              </w:rPr>
            </w:pPr>
            <w:r>
              <w:rPr>
                <w:rFonts w:ascii="Arial" w:cs="Arial" w:eastAsia="Arial" w:hAnsi="Arial"/>
                <w:sz w:val="12"/>
                <w:szCs w:val="12"/>
                <w:color w:val="auto"/>
              </w:rPr>
              <w:t>Middle-</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shd w:val="clear" w:color="auto" w:fill="F17DC6"/>
          </w:tcPr>
          <w:p>
            <w:pPr>
              <w:spacing w:after="0"/>
              <w:rPr>
                <w:sz w:val="10"/>
                <w:szCs w:val="10"/>
                <w:color w:val="auto"/>
              </w:rPr>
            </w:pPr>
          </w:p>
        </w:tc>
        <w:tc>
          <w:tcPr>
            <w:tcW w:w="140" w:type="dxa"/>
            <w:vAlign w:val="bottom"/>
            <w:shd w:val="clear" w:color="auto" w:fill="F17DC6"/>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shd w:val="clear" w:color="auto" w:fill="66E0DA"/>
          </w:tcPr>
          <w:p>
            <w:pPr>
              <w:spacing w:after="0"/>
              <w:rPr>
                <w:sz w:val="10"/>
                <w:szCs w:val="10"/>
                <w:color w:val="auto"/>
              </w:rPr>
            </w:pPr>
          </w:p>
        </w:tc>
        <w:tc>
          <w:tcPr>
            <w:tcW w:w="320" w:type="dxa"/>
            <w:vAlign w:val="bottom"/>
            <w:shd w:val="clear" w:color="auto" w:fill="66E0DA"/>
          </w:tcPr>
          <w:p>
            <w:pPr>
              <w:spacing w:after="0"/>
              <w:rPr>
                <w:sz w:val="10"/>
                <w:szCs w:val="10"/>
                <w:color w:val="auto"/>
              </w:rPr>
            </w:pPr>
          </w:p>
        </w:tc>
        <w:tc>
          <w:tcPr>
            <w:tcW w:w="240" w:type="dxa"/>
            <w:vAlign w:val="bottom"/>
            <w:shd w:val="clear" w:color="auto" w:fill="66E0DA"/>
          </w:tcPr>
          <w:p>
            <w:pPr>
              <w:spacing w:after="0"/>
              <w:rPr>
                <w:sz w:val="10"/>
                <w:szCs w:val="10"/>
                <w:color w:val="auto"/>
              </w:rPr>
            </w:pPr>
          </w:p>
        </w:tc>
        <w:tc>
          <w:tcPr>
            <w:tcW w:w="160" w:type="dxa"/>
            <w:vAlign w:val="bottom"/>
            <w:shd w:val="clear" w:color="auto" w:fill="66E0DA"/>
          </w:tcPr>
          <w:p>
            <w:pPr>
              <w:spacing w:after="0"/>
              <w:rPr>
                <w:sz w:val="10"/>
                <w:szCs w:val="10"/>
                <w:color w:val="auto"/>
              </w:rPr>
            </w:pPr>
          </w:p>
        </w:tc>
        <w:tc>
          <w:tcPr>
            <w:tcW w:w="280" w:type="dxa"/>
            <w:vAlign w:val="bottom"/>
            <w:shd w:val="clear" w:color="auto" w:fill="66E0DA"/>
          </w:tcPr>
          <w:p>
            <w:pPr>
              <w:spacing w:after="0"/>
              <w:rPr>
                <w:sz w:val="10"/>
                <w:szCs w:val="10"/>
                <w:color w:val="auto"/>
              </w:rPr>
            </w:pPr>
          </w:p>
        </w:tc>
        <w:tc>
          <w:tcPr>
            <w:tcW w:w="140" w:type="dxa"/>
            <w:vAlign w:val="bottom"/>
            <w:shd w:val="clear" w:color="auto" w:fill="66E0DA"/>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920" w:type="dxa"/>
            <w:vAlign w:val="bottom"/>
          </w:tcPr>
          <w:p>
            <w:pPr>
              <w:ind w:left="260"/>
              <w:spacing w:after="0"/>
              <w:rPr>
                <w:sz w:val="20"/>
                <w:szCs w:val="20"/>
                <w:color w:val="auto"/>
              </w:rPr>
            </w:pPr>
            <w:r>
              <w:rPr>
                <w:rFonts w:ascii="Arial" w:cs="Arial" w:eastAsia="Arial" w:hAnsi="Arial"/>
                <w:sz w:val="12"/>
                <w:szCs w:val="12"/>
                <w:color w:val="auto"/>
              </w:rPr>
              <w:t>Market</w:t>
            </w: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13,997</w:t>
            </w: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13,288</w:t>
            </w: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13,791</w:t>
            </w: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8,313</w:t>
            </w: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8,074</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9,503</w:t>
            </w:r>
          </w:p>
        </w:tc>
        <w:tc>
          <w:tcPr>
            <w:tcW w:w="560" w:type="dxa"/>
            <w:vAlign w:val="bottom"/>
            <w:gridSpan w:val="3"/>
          </w:tcPr>
          <w:p>
            <w:pPr>
              <w:jc w:val="right"/>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2"/>
                <w:szCs w:val="12"/>
                <w:color w:val="auto"/>
              </w:rPr>
            </w:pPr>
          </w:p>
        </w:tc>
        <w:tc>
          <w:tcPr>
            <w:tcW w:w="580" w:type="dxa"/>
            <w:vAlign w:val="bottom"/>
            <w:gridSpan w:val="2"/>
            <w:shd w:val="clear" w:color="auto" w:fill="F17DC6"/>
          </w:tcPr>
          <w:p>
            <w:pPr>
              <w:jc w:val="right"/>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2"/>
                <w:szCs w:val="12"/>
                <w:color w:val="auto"/>
              </w:rPr>
            </w:pPr>
          </w:p>
        </w:tc>
        <w:tc>
          <w:tcPr>
            <w:tcW w:w="100" w:type="dxa"/>
            <w:vAlign w:val="bottom"/>
            <w:shd w:val="clear" w:color="auto" w:fill="66E0DA"/>
          </w:tcPr>
          <w:p>
            <w:pPr>
              <w:spacing w:after="0"/>
              <w:rPr>
                <w:sz w:val="12"/>
                <w:szCs w:val="12"/>
                <w:color w:val="auto"/>
              </w:rPr>
            </w:pPr>
          </w:p>
        </w:tc>
        <w:tc>
          <w:tcPr>
            <w:tcW w:w="560" w:type="dxa"/>
            <w:vAlign w:val="bottom"/>
            <w:gridSpan w:val="2"/>
            <w:shd w:val="clear" w:color="auto" w:fill="66E0DA"/>
          </w:tcPr>
          <w:p>
            <w:pPr>
              <w:jc w:val="right"/>
              <w:ind w:right="59"/>
              <w:spacing w:after="0"/>
              <w:rPr>
                <w:sz w:val="20"/>
                <w:szCs w:val="20"/>
                <w:color w:val="auto"/>
              </w:rPr>
            </w:pPr>
            <w:r>
              <w:rPr>
                <w:rFonts w:ascii="Arial" w:cs="Arial" w:eastAsia="Arial" w:hAnsi="Arial"/>
                <w:sz w:val="12"/>
                <w:szCs w:val="12"/>
                <w:color w:val="auto"/>
              </w:rPr>
              <w:t>17.7%</w:t>
            </w:r>
          </w:p>
        </w:tc>
        <w:tc>
          <w:tcPr>
            <w:tcW w:w="160" w:type="dxa"/>
            <w:vAlign w:val="bottom"/>
            <w:shd w:val="clear" w:color="auto" w:fill="66E0DA"/>
          </w:tcPr>
          <w:p>
            <w:pPr>
              <w:spacing w:after="0"/>
              <w:rPr>
                <w:sz w:val="12"/>
                <w:szCs w:val="12"/>
                <w:color w:val="auto"/>
              </w:rPr>
            </w:pPr>
          </w:p>
        </w:tc>
        <w:tc>
          <w:tcPr>
            <w:tcW w:w="420" w:type="dxa"/>
            <w:vAlign w:val="bottom"/>
            <w:gridSpan w:val="2"/>
            <w:shd w:val="clear" w:color="auto" w:fill="66E0DA"/>
          </w:tcPr>
          <w:p>
            <w:pPr>
              <w:jc w:val="right"/>
              <w:spacing w:after="0"/>
              <w:rPr>
                <w:sz w:val="20"/>
                <w:szCs w:val="20"/>
                <w:color w:val="auto"/>
              </w:rPr>
            </w:pPr>
            <w:r>
              <w:rPr>
                <w:rFonts w:ascii="Arial" w:cs="Arial" w:eastAsia="Arial" w:hAnsi="Arial"/>
                <w:sz w:val="12"/>
                <w:szCs w:val="12"/>
                <w:color w:val="auto"/>
              </w:rPr>
              <w:t>14.3%</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2,642</w:t>
            </w:r>
          </w:p>
        </w:tc>
        <w:tc>
          <w:tcPr>
            <w:tcW w:w="640" w:type="dxa"/>
            <w:vAlign w:val="bottom"/>
            <w:gridSpan w:val="3"/>
          </w:tcPr>
          <w:p>
            <w:pPr>
              <w:jc w:val="right"/>
              <w:ind w:right="100"/>
              <w:spacing w:after="0"/>
              <w:rPr>
                <w:sz w:val="20"/>
                <w:szCs w:val="20"/>
                <w:color w:val="auto"/>
              </w:rPr>
            </w:pPr>
            <w:r>
              <w:rPr>
                <w:rFonts w:ascii="Arial" w:cs="Arial" w:eastAsia="Arial" w:hAnsi="Arial"/>
                <w:sz w:val="12"/>
                <w:szCs w:val="12"/>
                <w:color w:val="auto"/>
              </w:rPr>
              <w:t>2,539</w:t>
            </w: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2,798</w:t>
            </w:r>
          </w:p>
        </w:tc>
        <w:tc>
          <w:tcPr>
            <w:tcW w:w="680" w:type="dxa"/>
            <w:vAlign w:val="bottom"/>
            <w:gridSpan w:val="2"/>
          </w:tcPr>
          <w:p>
            <w:pPr>
              <w:jc w:val="right"/>
              <w:ind w:right="79"/>
              <w:spacing w:after="0"/>
              <w:rPr>
                <w:sz w:val="20"/>
                <w:szCs w:val="20"/>
                <w:color w:val="auto"/>
              </w:rPr>
            </w:pPr>
            <w:r>
              <w:rPr>
                <w:rFonts w:ascii="Arial" w:cs="Arial" w:eastAsia="Arial" w:hAnsi="Arial"/>
                <w:sz w:val="12"/>
                <w:szCs w:val="12"/>
                <w:color w:val="auto"/>
              </w:rPr>
              <w:t>10.2%</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5.9%</w:t>
            </w:r>
          </w:p>
        </w:tc>
        <w:tc>
          <w:tcPr>
            <w:tcW w:w="780" w:type="dxa"/>
            <w:vAlign w:val="bottom"/>
            <w:gridSpan w:val="3"/>
          </w:tcPr>
          <w:p>
            <w:pPr>
              <w:jc w:val="right"/>
              <w:ind w:right="79"/>
              <w:spacing w:after="0"/>
              <w:rPr>
                <w:sz w:val="20"/>
                <w:szCs w:val="20"/>
                <w:color w:val="auto"/>
              </w:rPr>
            </w:pPr>
            <w:r>
              <w:rPr>
                <w:rFonts w:ascii="Arial" w:cs="Arial" w:eastAsia="Arial" w:hAnsi="Arial"/>
                <w:sz w:val="12"/>
                <w:szCs w:val="12"/>
                <w:color w:val="auto"/>
              </w:rPr>
              <w:t>54.7%</w:t>
            </w:r>
          </w:p>
        </w:tc>
        <w:tc>
          <w:tcPr>
            <w:tcW w:w="12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45.3%</w:t>
            </w:r>
          </w:p>
        </w:tc>
        <w:tc>
          <w:tcPr>
            <w:tcW w:w="0" w:type="dxa"/>
            <w:vAlign w:val="bottom"/>
          </w:tcPr>
          <w:p>
            <w:pPr>
              <w:spacing w:after="0"/>
              <w:rPr>
                <w:sz w:val="1"/>
                <w:szCs w:val="1"/>
                <w:color w:val="auto"/>
              </w:rPr>
            </w:pPr>
          </w:p>
        </w:tc>
      </w:tr>
      <w:tr>
        <w:trPr>
          <w:trHeight w:val="113"/>
        </w:trPr>
        <w:tc>
          <w:tcPr>
            <w:tcW w:w="920" w:type="dxa"/>
            <w:vAlign w:val="bottom"/>
            <w:shd w:val="clear" w:color="auto" w:fill="CCEEFF"/>
          </w:tcPr>
          <w:p>
            <w:pPr>
              <w:ind w:left="140"/>
              <w:spacing w:after="0" w:line="113" w:lineRule="exact"/>
              <w:rPr>
                <w:sz w:val="20"/>
                <w:szCs w:val="20"/>
                <w:color w:val="auto"/>
              </w:rPr>
            </w:pPr>
            <w:r>
              <w:rPr>
                <w:rFonts w:ascii="Arial" w:cs="Arial" w:eastAsia="Arial" w:hAnsi="Arial"/>
                <w:sz w:val="12"/>
                <w:szCs w:val="12"/>
                <w:b w:val="1"/>
                <w:bCs w:val="1"/>
                <w:color w:val="auto"/>
              </w:rPr>
              <w:t>Retail</w:t>
            </w: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920" w:type="dxa"/>
            <w:vAlign w:val="bottom"/>
            <w:shd w:val="clear" w:color="auto" w:fill="CCEEFF"/>
          </w:tcPr>
          <w:p>
            <w:pPr>
              <w:ind w:left="140"/>
              <w:spacing w:after="0"/>
              <w:rPr>
                <w:sz w:val="20"/>
                <w:szCs w:val="20"/>
                <w:color w:val="auto"/>
              </w:rPr>
            </w:pPr>
            <w:r>
              <w:rPr>
                <w:rFonts w:ascii="Arial" w:cs="Arial" w:eastAsia="Arial" w:hAnsi="Arial"/>
                <w:sz w:val="12"/>
                <w:szCs w:val="12"/>
                <w:b w:val="1"/>
                <w:bCs w:val="1"/>
                <w:color w:val="auto"/>
              </w:rPr>
              <w:t>Banking</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49,855</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55,100</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54,880</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38,421</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39,876</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40,423</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-0.4%</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10.1%</w:t>
            </w: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39"/>
              <w:spacing w:after="0"/>
              <w:rPr>
                <w:sz w:val="20"/>
                <w:szCs w:val="20"/>
                <w:color w:val="auto"/>
              </w:rPr>
            </w:pPr>
            <w:r>
              <w:rPr>
                <w:rFonts w:ascii="Arial" w:cs="Arial" w:eastAsia="Arial" w:hAnsi="Arial"/>
                <w:sz w:val="12"/>
                <w:szCs w:val="12"/>
                <w:b w:val="1"/>
                <w:bCs w:val="1"/>
                <w:color w:val="auto"/>
              </w:rPr>
              <w:t>1.4%</w:t>
            </w: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5.2%</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1,882</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2,002</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1,962</w:t>
            </w:r>
          </w:p>
        </w:tc>
        <w:tc>
          <w:tcPr>
            <w:tcW w:w="68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b w:val="1"/>
                <w:bCs w:val="1"/>
                <w:color w:val="auto"/>
              </w:rPr>
              <w:t>-2.0%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4.2%</w:t>
            </w:r>
          </w:p>
        </w:tc>
        <w:tc>
          <w:tcPr>
            <w:tcW w:w="780" w:type="dxa"/>
            <w:vAlign w:val="bottom"/>
            <w:gridSpan w:val="3"/>
            <w:shd w:val="clear" w:color="auto" w:fill="CCEEFF"/>
          </w:tcPr>
          <w:p>
            <w:pPr>
              <w:jc w:val="right"/>
              <w:ind w:right="59"/>
              <w:spacing w:after="0"/>
              <w:rPr>
                <w:sz w:val="20"/>
                <w:szCs w:val="20"/>
                <w:color w:val="auto"/>
              </w:rPr>
            </w:pPr>
            <w:r>
              <w:rPr>
                <w:rFonts w:ascii="Arial" w:cs="Arial" w:eastAsia="Arial" w:hAnsi="Arial"/>
                <w:sz w:val="12"/>
                <w:szCs w:val="12"/>
                <w:b w:val="1"/>
                <w:bCs w:val="1"/>
                <w:color w:val="auto"/>
              </w:rPr>
              <w:t>87.3%</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12.7%</w:t>
            </w:r>
          </w:p>
        </w:tc>
        <w:tc>
          <w:tcPr>
            <w:tcW w:w="0" w:type="dxa"/>
            <w:vAlign w:val="bottom"/>
          </w:tcPr>
          <w:p>
            <w:pPr>
              <w:spacing w:after="0"/>
              <w:rPr>
                <w:sz w:val="1"/>
                <w:szCs w:val="1"/>
                <w:color w:val="auto"/>
              </w:rPr>
            </w:pPr>
          </w:p>
        </w:tc>
      </w:tr>
      <w:tr>
        <w:trPr>
          <w:trHeight w:val="117"/>
        </w:trPr>
        <w:tc>
          <w:tcPr>
            <w:tcW w:w="920" w:type="dxa"/>
            <w:vAlign w:val="bottom"/>
          </w:tcPr>
          <w:p>
            <w:pPr>
              <w:ind w:left="260"/>
              <w:spacing w:after="0" w:line="117" w:lineRule="exact"/>
              <w:rPr>
                <w:sz w:val="20"/>
                <w:szCs w:val="20"/>
                <w:color w:val="auto"/>
              </w:rPr>
            </w:pPr>
            <w:r>
              <w:rPr>
                <w:rFonts w:ascii="Arial" w:cs="Arial" w:eastAsia="Arial" w:hAnsi="Arial"/>
                <w:sz w:val="12"/>
                <w:szCs w:val="12"/>
                <w:color w:val="auto"/>
              </w:rPr>
              <w:t>SME -</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shd w:val="clear" w:color="auto" w:fill="F17DC6"/>
          </w:tcPr>
          <w:p>
            <w:pPr>
              <w:spacing w:after="0"/>
              <w:rPr>
                <w:sz w:val="10"/>
                <w:szCs w:val="10"/>
                <w:color w:val="auto"/>
              </w:rPr>
            </w:pPr>
          </w:p>
        </w:tc>
        <w:tc>
          <w:tcPr>
            <w:tcW w:w="340" w:type="dxa"/>
            <w:vAlign w:val="bottom"/>
            <w:shd w:val="clear" w:color="auto" w:fill="F17DC6"/>
          </w:tcPr>
          <w:p>
            <w:pPr>
              <w:spacing w:after="0"/>
              <w:rPr>
                <w:sz w:val="10"/>
                <w:szCs w:val="10"/>
                <w:color w:val="auto"/>
              </w:rPr>
            </w:pPr>
          </w:p>
        </w:tc>
        <w:tc>
          <w:tcPr>
            <w:tcW w:w="120" w:type="dxa"/>
            <w:vAlign w:val="bottom"/>
            <w:shd w:val="clear" w:color="auto" w:fill="F17DC6"/>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920" w:type="dxa"/>
            <w:vAlign w:val="bottom"/>
          </w:tcPr>
          <w:p>
            <w:pPr>
              <w:ind w:left="260"/>
              <w:spacing w:after="0"/>
              <w:rPr>
                <w:sz w:val="20"/>
                <w:szCs w:val="20"/>
                <w:color w:val="auto"/>
              </w:rPr>
            </w:pPr>
            <w:r>
              <w:rPr>
                <w:rFonts w:ascii="Arial" w:cs="Arial" w:eastAsia="Arial" w:hAnsi="Arial"/>
                <w:sz w:val="12"/>
                <w:szCs w:val="12"/>
                <w:color w:val="auto"/>
              </w:rPr>
              <w:t>Business</w:t>
            </w: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7,545</w:t>
            </w: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8,284</w:t>
            </w: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8,076</w:t>
            </w: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2,105</w:t>
            </w: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1,871</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2,199</w:t>
            </w:r>
          </w:p>
        </w:tc>
        <w:tc>
          <w:tcPr>
            <w:tcW w:w="560" w:type="dxa"/>
            <w:vAlign w:val="bottom"/>
            <w:gridSpan w:val="3"/>
            <w:shd w:val="clear" w:color="auto" w:fill="F17DC6"/>
          </w:tcPr>
          <w:p>
            <w:pPr>
              <w:jc w:val="right"/>
              <w:spacing w:after="0"/>
              <w:rPr>
                <w:sz w:val="20"/>
                <w:szCs w:val="20"/>
                <w:color w:val="auto"/>
              </w:rPr>
            </w:pPr>
            <w:r>
              <w:rPr>
                <w:rFonts w:ascii="Arial" w:cs="Arial" w:eastAsia="Arial" w:hAnsi="Arial"/>
                <w:sz w:val="12"/>
                <w:szCs w:val="12"/>
                <w:color w:val="auto"/>
              </w:rPr>
              <w:t>-2.5%</w:t>
            </w:r>
          </w:p>
        </w:tc>
        <w:tc>
          <w:tcPr>
            <w:tcW w:w="680" w:type="dxa"/>
            <w:vAlign w:val="bottom"/>
            <w:gridSpan w:val="3"/>
          </w:tcPr>
          <w:p>
            <w:pPr>
              <w:jc w:val="right"/>
              <w:spacing w:after="0"/>
              <w:rPr>
                <w:sz w:val="20"/>
                <w:szCs w:val="20"/>
                <w:color w:val="auto"/>
              </w:rPr>
            </w:pPr>
            <w:r>
              <w:rPr>
                <w:rFonts w:ascii="Arial" w:cs="Arial" w:eastAsia="Arial" w:hAnsi="Arial"/>
                <w:sz w:val="12"/>
                <w:szCs w:val="12"/>
                <w:color w:val="auto"/>
              </w:rPr>
              <w:t>7.0%</w:t>
            </w:r>
          </w:p>
        </w:tc>
        <w:tc>
          <w:tcPr>
            <w:tcW w:w="100" w:type="dxa"/>
            <w:vAlign w:val="bottom"/>
          </w:tcPr>
          <w:p>
            <w:pPr>
              <w:spacing w:after="0"/>
              <w:rPr>
                <w:sz w:val="12"/>
                <w:szCs w:val="12"/>
                <w:color w:val="auto"/>
              </w:rPr>
            </w:pPr>
          </w:p>
        </w:tc>
        <w:tc>
          <w:tcPr>
            <w:tcW w:w="660" w:type="dxa"/>
            <w:vAlign w:val="bottom"/>
            <w:gridSpan w:val="3"/>
          </w:tcPr>
          <w:p>
            <w:pPr>
              <w:jc w:val="right"/>
              <w:ind w:right="59"/>
              <w:spacing w:after="0"/>
              <w:rPr>
                <w:sz w:val="20"/>
                <w:szCs w:val="20"/>
                <w:color w:val="auto"/>
              </w:rPr>
            </w:pPr>
            <w:r>
              <w:rPr>
                <w:rFonts w:ascii="Arial" w:cs="Arial" w:eastAsia="Arial" w:hAnsi="Arial"/>
                <w:sz w:val="12"/>
                <w:szCs w:val="12"/>
                <w:color w:val="auto"/>
              </w:rPr>
              <w:t>17.6%</w:t>
            </w:r>
          </w:p>
        </w:tc>
        <w:tc>
          <w:tcPr>
            <w:tcW w:w="16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4.5%</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694</w:t>
            </w:r>
          </w:p>
        </w:tc>
        <w:tc>
          <w:tcPr>
            <w:tcW w:w="640" w:type="dxa"/>
            <w:vAlign w:val="bottom"/>
            <w:gridSpan w:val="3"/>
          </w:tcPr>
          <w:p>
            <w:pPr>
              <w:jc w:val="right"/>
              <w:ind w:right="100"/>
              <w:spacing w:after="0"/>
              <w:rPr>
                <w:sz w:val="20"/>
                <w:szCs w:val="20"/>
                <w:color w:val="auto"/>
              </w:rPr>
            </w:pPr>
            <w:r>
              <w:rPr>
                <w:rFonts w:ascii="Arial" w:cs="Arial" w:eastAsia="Arial" w:hAnsi="Arial"/>
                <w:sz w:val="12"/>
                <w:szCs w:val="12"/>
                <w:color w:val="auto"/>
              </w:rPr>
              <w:t>783</w:t>
            </w: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815</w:t>
            </w:r>
          </w:p>
        </w:tc>
        <w:tc>
          <w:tcPr>
            <w:tcW w:w="680" w:type="dxa"/>
            <w:vAlign w:val="bottom"/>
            <w:gridSpan w:val="2"/>
          </w:tcPr>
          <w:p>
            <w:pPr>
              <w:jc w:val="right"/>
              <w:ind w:right="79"/>
              <w:spacing w:after="0"/>
              <w:rPr>
                <w:sz w:val="20"/>
                <w:szCs w:val="20"/>
                <w:color w:val="auto"/>
              </w:rPr>
            </w:pPr>
            <w:r>
              <w:rPr>
                <w:rFonts w:ascii="Arial" w:cs="Arial" w:eastAsia="Arial" w:hAnsi="Arial"/>
                <w:sz w:val="12"/>
                <w:szCs w:val="12"/>
                <w:color w:val="auto"/>
              </w:rPr>
              <w:t>4.1%</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17.4%</w:t>
            </w:r>
          </w:p>
        </w:tc>
        <w:tc>
          <w:tcPr>
            <w:tcW w:w="780" w:type="dxa"/>
            <w:vAlign w:val="bottom"/>
            <w:gridSpan w:val="3"/>
          </w:tcPr>
          <w:p>
            <w:pPr>
              <w:jc w:val="right"/>
              <w:ind w:right="79"/>
              <w:spacing w:after="0"/>
              <w:rPr>
                <w:sz w:val="20"/>
                <w:szCs w:val="20"/>
                <w:color w:val="auto"/>
              </w:rPr>
            </w:pPr>
            <w:r>
              <w:rPr>
                <w:rFonts w:ascii="Arial" w:cs="Arial" w:eastAsia="Arial" w:hAnsi="Arial"/>
                <w:sz w:val="12"/>
                <w:szCs w:val="12"/>
                <w:color w:val="auto"/>
              </w:rPr>
              <w:t>70.8%</w:t>
            </w:r>
          </w:p>
        </w:tc>
        <w:tc>
          <w:tcPr>
            <w:tcW w:w="12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29.2%</w:t>
            </w:r>
          </w:p>
        </w:tc>
        <w:tc>
          <w:tcPr>
            <w:tcW w:w="0" w:type="dxa"/>
            <w:vAlign w:val="bottom"/>
          </w:tcPr>
          <w:p>
            <w:pPr>
              <w:spacing w:after="0"/>
              <w:rPr>
                <w:sz w:val="1"/>
                <w:szCs w:val="1"/>
                <w:color w:val="auto"/>
              </w:rPr>
            </w:pPr>
          </w:p>
        </w:tc>
      </w:tr>
      <w:tr>
        <w:trPr>
          <w:trHeight w:val="117"/>
        </w:trPr>
        <w:tc>
          <w:tcPr>
            <w:tcW w:w="920" w:type="dxa"/>
            <w:vAlign w:val="bottom"/>
            <w:shd w:val="clear" w:color="auto" w:fill="CCEEFF"/>
          </w:tcPr>
          <w:p>
            <w:pPr>
              <w:ind w:left="260"/>
              <w:spacing w:after="0" w:line="117" w:lineRule="exact"/>
              <w:rPr>
                <w:sz w:val="20"/>
                <w:szCs w:val="20"/>
                <w:color w:val="auto"/>
              </w:rPr>
            </w:pPr>
            <w:r>
              <w:rPr>
                <w:rFonts w:ascii="Arial" w:cs="Arial" w:eastAsia="Arial" w:hAnsi="Arial"/>
                <w:sz w:val="12"/>
                <w:szCs w:val="12"/>
                <w:color w:val="auto"/>
              </w:rPr>
              <w:t>SME -</w:t>
            </w: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66E0DA"/>
          </w:tcPr>
          <w:p>
            <w:pPr>
              <w:spacing w:after="0"/>
              <w:rPr>
                <w:sz w:val="10"/>
                <w:szCs w:val="10"/>
                <w:color w:val="auto"/>
              </w:rPr>
            </w:pPr>
          </w:p>
        </w:tc>
        <w:tc>
          <w:tcPr>
            <w:tcW w:w="140" w:type="dxa"/>
            <w:vAlign w:val="bottom"/>
            <w:shd w:val="clear" w:color="auto" w:fill="66E0DA"/>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66E0DA"/>
          </w:tcPr>
          <w:p>
            <w:pPr>
              <w:spacing w:after="0"/>
              <w:rPr>
                <w:sz w:val="10"/>
                <w:szCs w:val="10"/>
                <w:color w:val="auto"/>
              </w:rPr>
            </w:pPr>
          </w:p>
        </w:tc>
        <w:tc>
          <w:tcPr>
            <w:tcW w:w="280" w:type="dxa"/>
            <w:vAlign w:val="bottom"/>
            <w:shd w:val="clear" w:color="auto" w:fill="66E0DA"/>
          </w:tcPr>
          <w:p>
            <w:pPr>
              <w:spacing w:after="0"/>
              <w:rPr>
                <w:sz w:val="10"/>
                <w:szCs w:val="10"/>
                <w:color w:val="auto"/>
              </w:rPr>
            </w:pPr>
          </w:p>
        </w:tc>
        <w:tc>
          <w:tcPr>
            <w:tcW w:w="140" w:type="dxa"/>
            <w:vAlign w:val="bottom"/>
            <w:shd w:val="clear" w:color="auto" w:fill="66E0DA"/>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920" w:type="dxa"/>
            <w:vAlign w:val="bottom"/>
            <w:shd w:val="clear" w:color="auto" w:fill="CCEEFF"/>
          </w:tcPr>
          <w:p>
            <w:pPr>
              <w:ind w:left="260"/>
              <w:spacing w:after="0" w:line="132" w:lineRule="exact"/>
              <w:rPr>
                <w:sz w:val="20"/>
                <w:szCs w:val="20"/>
                <w:color w:val="auto"/>
              </w:rPr>
            </w:pPr>
            <w:r>
              <w:rPr>
                <w:rFonts w:ascii="Arial" w:cs="Arial" w:eastAsia="Arial" w:hAnsi="Arial"/>
                <w:sz w:val="12"/>
                <w:szCs w:val="12"/>
                <w:color w:val="auto"/>
              </w:rPr>
              <w:t>Pyme</w:t>
            </w:r>
          </w:p>
        </w:tc>
        <w:tc>
          <w:tcPr>
            <w:tcW w:w="58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15,862</w:t>
            </w:r>
          </w:p>
        </w:tc>
        <w:tc>
          <w:tcPr>
            <w:tcW w:w="60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19,463</w:t>
            </w:r>
          </w:p>
        </w:tc>
        <w:tc>
          <w:tcPr>
            <w:tcW w:w="58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19,441</w:t>
            </w:r>
          </w:p>
        </w:tc>
        <w:tc>
          <w:tcPr>
            <w:tcW w:w="56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9,868</w:t>
            </w:r>
          </w:p>
        </w:tc>
        <w:tc>
          <w:tcPr>
            <w:tcW w:w="54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10,653</w:t>
            </w:r>
          </w:p>
        </w:tc>
        <w:tc>
          <w:tcPr>
            <w:tcW w:w="56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10,861</w:t>
            </w:r>
          </w:p>
        </w:tc>
        <w:tc>
          <w:tcPr>
            <w:tcW w:w="560" w:type="dxa"/>
            <w:vAlign w:val="bottom"/>
            <w:gridSpan w:val="3"/>
            <w:shd w:val="clear" w:color="auto" w:fill="CCEEFF"/>
          </w:tcPr>
          <w:p>
            <w:pPr>
              <w:jc w:val="right"/>
              <w:spacing w:after="0" w:line="132" w:lineRule="exact"/>
              <w:rPr>
                <w:sz w:val="20"/>
                <w:szCs w:val="20"/>
                <w:color w:val="auto"/>
              </w:rPr>
            </w:pPr>
            <w:r>
              <w:rPr>
                <w:rFonts w:ascii="Arial" w:cs="Arial" w:eastAsia="Arial" w:hAnsi="Arial"/>
                <w:sz w:val="12"/>
                <w:szCs w:val="12"/>
                <w:color w:val="auto"/>
              </w:rPr>
              <w:t>-0.1%</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66E0DA"/>
          </w:tcPr>
          <w:p>
            <w:pPr>
              <w:jc w:val="right"/>
              <w:spacing w:after="0" w:line="132" w:lineRule="exact"/>
              <w:rPr>
                <w:sz w:val="20"/>
                <w:szCs w:val="20"/>
                <w:color w:val="auto"/>
              </w:rPr>
            </w:pPr>
            <w:r>
              <w:rPr>
                <w:rFonts w:ascii="Arial" w:cs="Arial" w:eastAsia="Arial" w:hAnsi="Arial"/>
                <w:sz w:val="12"/>
                <w:szCs w:val="12"/>
                <w:color w:val="auto"/>
              </w:rPr>
              <w:t>22.6%</w:t>
            </w: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59"/>
              <w:spacing w:after="0" w:line="132" w:lineRule="exact"/>
              <w:rPr>
                <w:sz w:val="20"/>
                <w:szCs w:val="20"/>
                <w:color w:val="auto"/>
              </w:rPr>
            </w:pPr>
            <w:r>
              <w:rPr>
                <w:rFonts w:ascii="Arial" w:cs="Arial" w:eastAsia="Arial" w:hAnsi="Arial"/>
                <w:sz w:val="12"/>
                <w:szCs w:val="12"/>
                <w:color w:val="auto"/>
              </w:rPr>
              <w:t>2.0%</w:t>
            </w:r>
          </w:p>
        </w:tc>
        <w:tc>
          <w:tcPr>
            <w:tcW w:w="160" w:type="dxa"/>
            <w:vAlign w:val="bottom"/>
            <w:shd w:val="clear" w:color="auto" w:fill="66E0DA"/>
          </w:tcPr>
          <w:p>
            <w:pPr>
              <w:spacing w:after="0"/>
              <w:rPr>
                <w:sz w:val="12"/>
                <w:szCs w:val="12"/>
                <w:color w:val="auto"/>
              </w:rPr>
            </w:pPr>
          </w:p>
        </w:tc>
        <w:tc>
          <w:tcPr>
            <w:tcW w:w="420" w:type="dxa"/>
            <w:vAlign w:val="bottom"/>
            <w:gridSpan w:val="2"/>
            <w:shd w:val="clear" w:color="auto" w:fill="66E0DA"/>
          </w:tcPr>
          <w:p>
            <w:pPr>
              <w:jc w:val="right"/>
              <w:spacing w:after="0" w:line="132" w:lineRule="exact"/>
              <w:rPr>
                <w:sz w:val="20"/>
                <w:szCs w:val="20"/>
                <w:color w:val="auto"/>
              </w:rPr>
            </w:pPr>
            <w:r>
              <w:rPr>
                <w:rFonts w:ascii="Arial" w:cs="Arial" w:eastAsia="Arial" w:hAnsi="Arial"/>
                <w:sz w:val="12"/>
                <w:szCs w:val="12"/>
                <w:color w:val="auto"/>
              </w:rPr>
              <w:t>10.1%</w:t>
            </w:r>
          </w:p>
        </w:tc>
        <w:tc>
          <w:tcPr>
            <w:tcW w:w="560" w:type="dxa"/>
            <w:vAlign w:val="bottom"/>
            <w:tcBorders>
              <w:right w:val="single" w:sz="8" w:color="CCEEFF"/>
            </w:tcBorders>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56</w:t>
            </w:r>
          </w:p>
        </w:tc>
        <w:tc>
          <w:tcPr>
            <w:tcW w:w="640" w:type="dxa"/>
            <w:vAlign w:val="bottom"/>
            <w:gridSpan w:val="3"/>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48</w:t>
            </w:r>
          </w:p>
        </w:tc>
        <w:tc>
          <w:tcPr>
            <w:tcW w:w="54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45</w:t>
            </w:r>
          </w:p>
        </w:tc>
        <w:tc>
          <w:tcPr>
            <w:tcW w:w="680" w:type="dxa"/>
            <w:vAlign w:val="bottom"/>
            <w:gridSpan w:val="2"/>
            <w:shd w:val="clear" w:color="auto" w:fill="CCEEFF"/>
          </w:tcPr>
          <w:p>
            <w:pPr>
              <w:jc w:val="right"/>
              <w:ind w:right="79"/>
              <w:spacing w:after="0" w:line="132" w:lineRule="exact"/>
              <w:rPr>
                <w:sz w:val="20"/>
                <w:szCs w:val="20"/>
                <w:color w:val="auto"/>
              </w:rPr>
            </w:pPr>
            <w:r>
              <w:rPr>
                <w:rFonts w:ascii="Arial" w:cs="Arial" w:eastAsia="Arial" w:hAnsi="Arial"/>
                <w:sz w:val="12"/>
                <w:szCs w:val="12"/>
                <w:color w:val="auto"/>
              </w:rPr>
              <w:t>-5.5%</w:t>
            </w:r>
          </w:p>
        </w:tc>
        <w:tc>
          <w:tcPr>
            <w:tcW w:w="56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-19.4%</w:t>
            </w:r>
          </w:p>
        </w:tc>
        <w:tc>
          <w:tcPr>
            <w:tcW w:w="780" w:type="dxa"/>
            <w:vAlign w:val="bottom"/>
            <w:gridSpan w:val="3"/>
            <w:shd w:val="clear" w:color="auto" w:fill="CCEEFF"/>
          </w:tcPr>
          <w:p>
            <w:pPr>
              <w:jc w:val="right"/>
              <w:ind w:right="79"/>
              <w:spacing w:after="0" w:line="132" w:lineRule="exact"/>
              <w:rPr>
                <w:sz w:val="20"/>
                <w:szCs w:val="20"/>
                <w:color w:val="auto"/>
              </w:rPr>
            </w:pPr>
            <w:r>
              <w:rPr>
                <w:rFonts w:ascii="Arial" w:cs="Arial" w:eastAsia="Arial" w:hAnsi="Arial"/>
                <w:sz w:val="12"/>
                <w:szCs w:val="12"/>
                <w:color w:val="auto"/>
              </w:rPr>
              <w:t>99.1%</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0.9%</w:t>
            </w:r>
          </w:p>
        </w:tc>
        <w:tc>
          <w:tcPr>
            <w:tcW w:w="0" w:type="dxa"/>
            <w:vAlign w:val="bottom"/>
          </w:tcPr>
          <w:p>
            <w:pPr>
              <w:spacing w:after="0"/>
              <w:rPr>
                <w:sz w:val="1"/>
                <w:szCs w:val="1"/>
                <w:color w:val="auto"/>
              </w:rPr>
            </w:pPr>
          </w:p>
        </w:tc>
      </w:tr>
      <w:tr>
        <w:trPr>
          <w:trHeight w:val="131"/>
        </w:trPr>
        <w:tc>
          <w:tcPr>
            <w:tcW w:w="920" w:type="dxa"/>
            <w:vAlign w:val="bottom"/>
          </w:tcPr>
          <w:p>
            <w:pPr>
              <w:ind w:left="260"/>
              <w:spacing w:after="0" w:line="132" w:lineRule="exact"/>
              <w:rPr>
                <w:sz w:val="20"/>
                <w:szCs w:val="20"/>
                <w:color w:val="auto"/>
              </w:rPr>
            </w:pPr>
            <w:r>
              <w:rPr>
                <w:rFonts w:ascii="Arial" w:cs="Arial" w:eastAsia="Arial" w:hAnsi="Arial"/>
                <w:sz w:val="12"/>
                <w:szCs w:val="12"/>
                <w:color w:val="auto"/>
              </w:rPr>
              <w:t>Mortgage</w:t>
            </w:r>
          </w:p>
        </w:tc>
        <w:tc>
          <w:tcPr>
            <w:tcW w:w="58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14,673</w:t>
            </w:r>
          </w:p>
        </w:tc>
        <w:tc>
          <w:tcPr>
            <w:tcW w:w="60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15,722</w:t>
            </w:r>
          </w:p>
        </w:tc>
        <w:tc>
          <w:tcPr>
            <w:tcW w:w="58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15,960</w:t>
            </w:r>
          </w:p>
        </w:tc>
        <w:tc>
          <w:tcPr>
            <w:tcW w:w="56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14,673</w:t>
            </w:r>
          </w:p>
        </w:tc>
        <w:tc>
          <w:tcPr>
            <w:tcW w:w="54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15,722</w:t>
            </w:r>
          </w:p>
        </w:tc>
        <w:tc>
          <w:tcPr>
            <w:tcW w:w="56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15,960</w:t>
            </w:r>
          </w:p>
        </w:tc>
        <w:tc>
          <w:tcPr>
            <w:tcW w:w="560" w:type="dxa"/>
            <w:vAlign w:val="bottom"/>
            <w:gridSpan w:val="3"/>
          </w:tcPr>
          <w:p>
            <w:pPr>
              <w:jc w:val="right"/>
              <w:spacing w:after="0" w:line="132" w:lineRule="exact"/>
              <w:rPr>
                <w:sz w:val="20"/>
                <w:szCs w:val="20"/>
                <w:color w:val="auto"/>
              </w:rPr>
            </w:pPr>
            <w:r>
              <w:rPr>
                <w:rFonts w:ascii="Arial" w:cs="Arial" w:eastAsia="Arial" w:hAnsi="Arial"/>
                <w:sz w:val="12"/>
                <w:szCs w:val="12"/>
                <w:color w:val="auto"/>
              </w:rPr>
              <w:t>1.5%</w:t>
            </w:r>
          </w:p>
        </w:tc>
        <w:tc>
          <w:tcPr>
            <w:tcW w:w="100" w:type="dxa"/>
            <w:vAlign w:val="bottom"/>
          </w:tcPr>
          <w:p>
            <w:pPr>
              <w:spacing w:after="0"/>
              <w:rPr>
                <w:sz w:val="11"/>
                <w:szCs w:val="11"/>
                <w:color w:val="auto"/>
              </w:rPr>
            </w:pPr>
          </w:p>
        </w:tc>
        <w:tc>
          <w:tcPr>
            <w:tcW w:w="580" w:type="dxa"/>
            <w:vAlign w:val="bottom"/>
            <w:gridSpan w:val="2"/>
            <w:shd w:val="clear" w:color="auto" w:fill="66E0DA"/>
          </w:tcPr>
          <w:p>
            <w:pPr>
              <w:jc w:val="right"/>
              <w:spacing w:after="0" w:line="132" w:lineRule="exact"/>
              <w:rPr>
                <w:sz w:val="20"/>
                <w:szCs w:val="20"/>
                <w:color w:val="auto"/>
              </w:rPr>
            </w:pPr>
            <w:r>
              <w:rPr>
                <w:rFonts w:ascii="Arial" w:cs="Arial" w:eastAsia="Arial" w:hAnsi="Arial"/>
                <w:sz w:val="12"/>
                <w:szCs w:val="12"/>
                <w:color w:val="auto"/>
              </w:rPr>
              <w:t>8.8%</w:t>
            </w:r>
          </w:p>
        </w:tc>
        <w:tc>
          <w:tcPr>
            <w:tcW w:w="100" w:type="dxa"/>
            <w:vAlign w:val="bottom"/>
          </w:tcPr>
          <w:p>
            <w:pPr>
              <w:spacing w:after="0"/>
              <w:rPr>
                <w:sz w:val="11"/>
                <w:szCs w:val="11"/>
                <w:color w:val="auto"/>
              </w:rPr>
            </w:pPr>
          </w:p>
        </w:tc>
        <w:tc>
          <w:tcPr>
            <w:tcW w:w="660" w:type="dxa"/>
            <w:vAlign w:val="bottom"/>
            <w:gridSpan w:val="3"/>
          </w:tcPr>
          <w:p>
            <w:pPr>
              <w:jc w:val="right"/>
              <w:ind w:right="59"/>
              <w:spacing w:after="0" w:line="132" w:lineRule="exact"/>
              <w:rPr>
                <w:sz w:val="20"/>
                <w:szCs w:val="20"/>
                <w:color w:val="auto"/>
              </w:rPr>
            </w:pPr>
            <w:r>
              <w:rPr>
                <w:rFonts w:ascii="Arial" w:cs="Arial" w:eastAsia="Arial" w:hAnsi="Arial"/>
                <w:sz w:val="12"/>
                <w:szCs w:val="12"/>
                <w:color w:val="auto"/>
              </w:rPr>
              <w:t>1.5%</w:t>
            </w:r>
          </w:p>
        </w:tc>
        <w:tc>
          <w:tcPr>
            <w:tcW w:w="160" w:type="dxa"/>
            <w:vAlign w:val="bottom"/>
            <w:shd w:val="clear" w:color="auto" w:fill="66E0DA"/>
          </w:tcPr>
          <w:p>
            <w:pPr>
              <w:spacing w:after="0"/>
              <w:rPr>
                <w:sz w:val="11"/>
                <w:szCs w:val="11"/>
                <w:color w:val="auto"/>
              </w:rPr>
            </w:pPr>
          </w:p>
        </w:tc>
        <w:tc>
          <w:tcPr>
            <w:tcW w:w="420" w:type="dxa"/>
            <w:vAlign w:val="bottom"/>
            <w:gridSpan w:val="2"/>
            <w:shd w:val="clear" w:color="auto" w:fill="66E0DA"/>
          </w:tcPr>
          <w:p>
            <w:pPr>
              <w:jc w:val="right"/>
              <w:spacing w:after="0" w:line="132" w:lineRule="exact"/>
              <w:rPr>
                <w:sz w:val="20"/>
                <w:szCs w:val="20"/>
                <w:color w:val="auto"/>
              </w:rPr>
            </w:pPr>
            <w:r>
              <w:rPr>
                <w:rFonts w:ascii="Arial" w:cs="Arial" w:eastAsia="Arial" w:hAnsi="Arial"/>
                <w:sz w:val="12"/>
                <w:szCs w:val="12"/>
                <w:color w:val="auto"/>
              </w:rPr>
              <w:t>8.8%</w:t>
            </w:r>
          </w:p>
        </w:tc>
        <w:tc>
          <w:tcPr>
            <w:tcW w:w="56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603</w:t>
            </w:r>
          </w:p>
        </w:tc>
        <w:tc>
          <w:tcPr>
            <w:tcW w:w="640" w:type="dxa"/>
            <w:vAlign w:val="bottom"/>
            <w:gridSpan w:val="3"/>
          </w:tcPr>
          <w:p>
            <w:pPr>
              <w:jc w:val="right"/>
              <w:ind w:right="100"/>
              <w:spacing w:after="0" w:line="132" w:lineRule="exact"/>
              <w:rPr>
                <w:sz w:val="20"/>
                <w:szCs w:val="20"/>
                <w:color w:val="auto"/>
              </w:rPr>
            </w:pPr>
            <w:r>
              <w:rPr>
                <w:rFonts w:ascii="Arial" w:cs="Arial" w:eastAsia="Arial" w:hAnsi="Arial"/>
                <w:sz w:val="12"/>
                <w:szCs w:val="12"/>
                <w:color w:val="auto"/>
              </w:rPr>
              <w:t>566</w:t>
            </w:r>
          </w:p>
        </w:tc>
        <w:tc>
          <w:tcPr>
            <w:tcW w:w="54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532</w:t>
            </w:r>
          </w:p>
        </w:tc>
        <w:tc>
          <w:tcPr>
            <w:tcW w:w="680" w:type="dxa"/>
            <w:vAlign w:val="bottom"/>
            <w:gridSpan w:val="2"/>
          </w:tcPr>
          <w:p>
            <w:pPr>
              <w:jc w:val="right"/>
              <w:ind w:right="79"/>
              <w:spacing w:after="0" w:line="132" w:lineRule="exact"/>
              <w:rPr>
                <w:sz w:val="20"/>
                <w:szCs w:val="20"/>
                <w:color w:val="auto"/>
              </w:rPr>
            </w:pPr>
            <w:r>
              <w:rPr>
                <w:rFonts w:ascii="Arial" w:cs="Arial" w:eastAsia="Arial" w:hAnsi="Arial"/>
                <w:sz w:val="12"/>
                <w:szCs w:val="12"/>
                <w:color w:val="auto"/>
              </w:rPr>
              <w:t>-6.0%</w:t>
            </w:r>
          </w:p>
        </w:tc>
        <w:tc>
          <w:tcPr>
            <w:tcW w:w="56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-11.8%</w:t>
            </w:r>
          </w:p>
        </w:tc>
        <w:tc>
          <w:tcPr>
            <w:tcW w:w="780" w:type="dxa"/>
            <w:vAlign w:val="bottom"/>
            <w:gridSpan w:val="3"/>
          </w:tcPr>
          <w:p>
            <w:pPr>
              <w:jc w:val="right"/>
              <w:ind w:right="79"/>
              <w:spacing w:after="0" w:line="132" w:lineRule="exact"/>
              <w:rPr>
                <w:sz w:val="20"/>
                <w:szCs w:val="20"/>
                <w:color w:val="auto"/>
              </w:rPr>
            </w:pPr>
            <w:r>
              <w:rPr>
                <w:rFonts w:ascii="Arial" w:cs="Arial" w:eastAsia="Arial" w:hAnsi="Arial"/>
                <w:sz w:val="12"/>
                <w:szCs w:val="12"/>
                <w:color w:val="auto"/>
              </w:rPr>
              <w:t>88.0%</w:t>
            </w:r>
          </w:p>
        </w:tc>
        <w:tc>
          <w:tcPr>
            <w:tcW w:w="120" w:type="dxa"/>
            <w:vAlign w:val="bottom"/>
          </w:tcPr>
          <w:p>
            <w:pPr>
              <w:spacing w:after="0"/>
              <w:rPr>
                <w:sz w:val="11"/>
                <w:szCs w:val="11"/>
                <w:color w:val="auto"/>
              </w:rPr>
            </w:pPr>
          </w:p>
        </w:tc>
        <w:tc>
          <w:tcPr>
            <w:tcW w:w="44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12.0%</w:t>
            </w:r>
          </w:p>
        </w:tc>
        <w:tc>
          <w:tcPr>
            <w:tcW w:w="0" w:type="dxa"/>
            <w:vAlign w:val="bottom"/>
          </w:tcPr>
          <w:p>
            <w:pPr>
              <w:spacing w:after="0"/>
              <w:rPr>
                <w:sz w:val="1"/>
                <w:szCs w:val="1"/>
                <w:color w:val="auto"/>
              </w:rPr>
            </w:pPr>
          </w:p>
        </w:tc>
      </w:tr>
      <w:tr>
        <w:trPr>
          <w:trHeight w:val="131"/>
        </w:trPr>
        <w:tc>
          <w:tcPr>
            <w:tcW w:w="920" w:type="dxa"/>
            <w:vAlign w:val="bottom"/>
            <w:shd w:val="clear" w:color="auto" w:fill="CCEEFF"/>
          </w:tcPr>
          <w:p>
            <w:pPr>
              <w:ind w:left="260"/>
              <w:spacing w:after="0" w:line="132" w:lineRule="exact"/>
              <w:rPr>
                <w:sz w:val="20"/>
                <w:szCs w:val="20"/>
                <w:color w:val="auto"/>
              </w:rPr>
            </w:pPr>
            <w:r>
              <w:rPr>
                <w:rFonts w:ascii="Arial" w:cs="Arial" w:eastAsia="Arial" w:hAnsi="Arial"/>
                <w:sz w:val="12"/>
                <w:szCs w:val="12"/>
                <w:color w:val="auto"/>
              </w:rPr>
              <w:t>Consumer</w:t>
            </w:r>
          </w:p>
        </w:tc>
        <w:tc>
          <w:tcPr>
            <w:tcW w:w="58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7,717</w:t>
            </w:r>
          </w:p>
        </w:tc>
        <w:tc>
          <w:tcPr>
            <w:tcW w:w="60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8,491</w:t>
            </w:r>
          </w:p>
        </w:tc>
        <w:tc>
          <w:tcPr>
            <w:tcW w:w="58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8,469</w:t>
            </w:r>
          </w:p>
        </w:tc>
        <w:tc>
          <w:tcPr>
            <w:tcW w:w="56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7,717</w:t>
            </w:r>
          </w:p>
        </w:tc>
        <w:tc>
          <w:tcPr>
            <w:tcW w:w="54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8,491</w:t>
            </w:r>
          </w:p>
        </w:tc>
        <w:tc>
          <w:tcPr>
            <w:tcW w:w="56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8,469</w:t>
            </w:r>
          </w:p>
        </w:tc>
        <w:tc>
          <w:tcPr>
            <w:tcW w:w="560" w:type="dxa"/>
            <w:vAlign w:val="bottom"/>
            <w:gridSpan w:val="3"/>
            <w:shd w:val="clear" w:color="auto" w:fill="CCEEFF"/>
          </w:tcPr>
          <w:p>
            <w:pPr>
              <w:jc w:val="right"/>
              <w:spacing w:after="0" w:line="132" w:lineRule="exact"/>
              <w:rPr>
                <w:sz w:val="20"/>
                <w:szCs w:val="20"/>
                <w:color w:val="auto"/>
              </w:rPr>
            </w:pPr>
            <w:r>
              <w:rPr>
                <w:rFonts w:ascii="Arial" w:cs="Arial" w:eastAsia="Arial" w:hAnsi="Arial"/>
                <w:sz w:val="12"/>
                <w:szCs w:val="12"/>
                <w:color w:val="auto"/>
              </w:rPr>
              <w:t>-0.3%</w:t>
            </w:r>
          </w:p>
        </w:tc>
        <w:tc>
          <w:tcPr>
            <w:tcW w:w="680" w:type="dxa"/>
            <w:vAlign w:val="bottom"/>
            <w:gridSpan w:val="3"/>
            <w:shd w:val="clear" w:color="auto" w:fill="CCEEFF"/>
          </w:tcPr>
          <w:p>
            <w:pPr>
              <w:jc w:val="right"/>
              <w:spacing w:after="0" w:line="132" w:lineRule="exact"/>
              <w:rPr>
                <w:sz w:val="20"/>
                <w:szCs w:val="20"/>
                <w:color w:val="auto"/>
              </w:rPr>
            </w:pPr>
            <w:r>
              <w:rPr>
                <w:rFonts w:ascii="Arial" w:cs="Arial" w:eastAsia="Arial" w:hAnsi="Arial"/>
                <w:sz w:val="12"/>
                <w:szCs w:val="12"/>
                <w:color w:val="auto"/>
              </w:rPr>
              <w:t>9.7%</w:t>
            </w:r>
          </w:p>
        </w:tc>
        <w:tc>
          <w:tcPr>
            <w:tcW w:w="10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59"/>
              <w:spacing w:after="0" w:line="132" w:lineRule="exact"/>
              <w:rPr>
                <w:sz w:val="20"/>
                <w:szCs w:val="20"/>
                <w:color w:val="auto"/>
              </w:rPr>
            </w:pPr>
            <w:r>
              <w:rPr>
                <w:rFonts w:ascii="Arial" w:cs="Arial" w:eastAsia="Arial" w:hAnsi="Arial"/>
                <w:sz w:val="12"/>
                <w:szCs w:val="12"/>
                <w:color w:val="auto"/>
              </w:rPr>
              <w:t>-0.3%</w:t>
            </w: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9.7%</w:t>
            </w:r>
          </w:p>
        </w:tc>
        <w:tc>
          <w:tcPr>
            <w:tcW w:w="560" w:type="dxa"/>
            <w:vAlign w:val="bottom"/>
            <w:tcBorders>
              <w:right w:val="single" w:sz="8" w:color="CCEEFF"/>
            </w:tcBorders>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366</w:t>
            </w:r>
          </w:p>
        </w:tc>
        <w:tc>
          <w:tcPr>
            <w:tcW w:w="640" w:type="dxa"/>
            <w:vAlign w:val="bottom"/>
            <w:gridSpan w:val="3"/>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415</w:t>
            </w:r>
          </w:p>
        </w:tc>
        <w:tc>
          <w:tcPr>
            <w:tcW w:w="54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375</w:t>
            </w:r>
          </w:p>
        </w:tc>
        <w:tc>
          <w:tcPr>
            <w:tcW w:w="680" w:type="dxa"/>
            <w:vAlign w:val="bottom"/>
            <w:gridSpan w:val="2"/>
            <w:shd w:val="clear" w:color="auto" w:fill="CCEEFF"/>
          </w:tcPr>
          <w:p>
            <w:pPr>
              <w:jc w:val="right"/>
              <w:ind w:right="79"/>
              <w:spacing w:after="0" w:line="132" w:lineRule="exact"/>
              <w:rPr>
                <w:sz w:val="20"/>
                <w:szCs w:val="20"/>
                <w:color w:val="auto"/>
              </w:rPr>
            </w:pPr>
            <w:r>
              <w:rPr>
                <w:rFonts w:ascii="Arial" w:cs="Arial" w:eastAsia="Arial" w:hAnsi="Arial"/>
                <w:sz w:val="12"/>
                <w:szCs w:val="12"/>
                <w:color w:val="auto"/>
              </w:rPr>
              <w:t>-9.7%</w:t>
            </w:r>
          </w:p>
        </w:tc>
        <w:tc>
          <w:tcPr>
            <w:tcW w:w="56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2.4%</w:t>
            </w:r>
          </w:p>
        </w:tc>
        <w:tc>
          <w:tcPr>
            <w:tcW w:w="780" w:type="dxa"/>
            <w:vAlign w:val="bottom"/>
            <w:gridSpan w:val="3"/>
            <w:shd w:val="clear" w:color="auto" w:fill="CCEEFF"/>
          </w:tcPr>
          <w:p>
            <w:pPr>
              <w:jc w:val="right"/>
              <w:ind w:right="79"/>
              <w:spacing w:after="0" w:line="132" w:lineRule="exact"/>
              <w:rPr>
                <w:sz w:val="20"/>
                <w:szCs w:val="20"/>
                <w:color w:val="auto"/>
              </w:rPr>
            </w:pPr>
            <w:r>
              <w:rPr>
                <w:rFonts w:ascii="Arial" w:cs="Arial" w:eastAsia="Arial" w:hAnsi="Arial"/>
                <w:sz w:val="12"/>
                <w:szCs w:val="12"/>
                <w:color w:val="auto"/>
              </w:rPr>
              <w:t>84.7%</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15.3%</w:t>
            </w:r>
          </w:p>
        </w:tc>
        <w:tc>
          <w:tcPr>
            <w:tcW w:w="0" w:type="dxa"/>
            <w:vAlign w:val="bottom"/>
          </w:tcPr>
          <w:p>
            <w:pPr>
              <w:spacing w:after="0"/>
              <w:rPr>
                <w:sz w:val="1"/>
                <w:szCs w:val="1"/>
                <w:color w:val="auto"/>
              </w:rPr>
            </w:pPr>
          </w:p>
        </w:tc>
      </w:tr>
      <w:tr>
        <w:trPr>
          <w:trHeight w:val="117"/>
        </w:trPr>
        <w:tc>
          <w:tcPr>
            <w:tcW w:w="920" w:type="dxa"/>
            <w:vAlign w:val="bottom"/>
          </w:tcPr>
          <w:p>
            <w:pPr>
              <w:ind w:left="260"/>
              <w:spacing w:after="0" w:line="117" w:lineRule="exact"/>
              <w:rPr>
                <w:sz w:val="20"/>
                <w:szCs w:val="20"/>
                <w:color w:val="auto"/>
              </w:rPr>
            </w:pPr>
            <w:r>
              <w:rPr>
                <w:rFonts w:ascii="Arial" w:cs="Arial" w:eastAsia="Arial" w:hAnsi="Arial"/>
                <w:sz w:val="12"/>
                <w:szCs w:val="12"/>
                <w:color w:val="auto"/>
              </w:rPr>
              <w:t>Credit</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shd w:val="clear" w:color="auto" w:fill="F17DC6"/>
          </w:tcPr>
          <w:p>
            <w:pPr>
              <w:spacing w:after="0"/>
              <w:rPr>
                <w:sz w:val="10"/>
                <w:szCs w:val="10"/>
                <w:color w:val="auto"/>
              </w:rPr>
            </w:pPr>
          </w:p>
        </w:tc>
        <w:tc>
          <w:tcPr>
            <w:tcW w:w="340" w:type="dxa"/>
            <w:vAlign w:val="bottom"/>
            <w:shd w:val="clear" w:color="auto" w:fill="F17DC6"/>
          </w:tcPr>
          <w:p>
            <w:pPr>
              <w:spacing w:after="0"/>
              <w:rPr>
                <w:sz w:val="10"/>
                <w:szCs w:val="10"/>
                <w:color w:val="auto"/>
              </w:rPr>
            </w:pPr>
          </w:p>
        </w:tc>
        <w:tc>
          <w:tcPr>
            <w:tcW w:w="120" w:type="dxa"/>
            <w:vAlign w:val="bottom"/>
            <w:shd w:val="clear" w:color="auto" w:fill="F17DC6"/>
          </w:tcPr>
          <w:p>
            <w:pPr>
              <w:spacing w:after="0"/>
              <w:rPr>
                <w:sz w:val="10"/>
                <w:szCs w:val="10"/>
                <w:color w:val="auto"/>
              </w:rPr>
            </w:pPr>
          </w:p>
        </w:tc>
        <w:tc>
          <w:tcPr>
            <w:tcW w:w="100" w:type="dxa"/>
            <w:vAlign w:val="bottom"/>
            <w:shd w:val="clear" w:color="auto" w:fill="F17DC6"/>
          </w:tcPr>
          <w:p>
            <w:pPr>
              <w:spacing w:after="0"/>
              <w:rPr>
                <w:sz w:val="10"/>
                <w:szCs w:val="10"/>
                <w:color w:val="auto"/>
              </w:rPr>
            </w:pPr>
          </w:p>
        </w:tc>
        <w:tc>
          <w:tcPr>
            <w:tcW w:w="440" w:type="dxa"/>
            <w:vAlign w:val="bottom"/>
            <w:shd w:val="clear" w:color="auto" w:fill="F17DC6"/>
          </w:tcPr>
          <w:p>
            <w:pPr>
              <w:spacing w:after="0"/>
              <w:rPr>
                <w:sz w:val="10"/>
                <w:szCs w:val="10"/>
                <w:color w:val="auto"/>
              </w:rPr>
            </w:pPr>
          </w:p>
        </w:tc>
        <w:tc>
          <w:tcPr>
            <w:tcW w:w="140" w:type="dxa"/>
            <w:vAlign w:val="bottom"/>
            <w:shd w:val="clear" w:color="auto" w:fill="F17DC6"/>
          </w:tcPr>
          <w:p>
            <w:pPr>
              <w:spacing w:after="0"/>
              <w:rPr>
                <w:sz w:val="10"/>
                <w:szCs w:val="10"/>
                <w:color w:val="auto"/>
              </w:rPr>
            </w:pPr>
          </w:p>
        </w:tc>
        <w:tc>
          <w:tcPr>
            <w:tcW w:w="100" w:type="dxa"/>
            <w:vAlign w:val="bottom"/>
            <w:shd w:val="clear" w:color="auto" w:fill="F17DC6"/>
          </w:tcPr>
          <w:p>
            <w:pPr>
              <w:spacing w:after="0"/>
              <w:rPr>
                <w:sz w:val="10"/>
                <w:szCs w:val="10"/>
                <w:color w:val="auto"/>
              </w:rPr>
            </w:pPr>
          </w:p>
        </w:tc>
        <w:tc>
          <w:tcPr>
            <w:tcW w:w="100" w:type="dxa"/>
            <w:vAlign w:val="bottom"/>
            <w:shd w:val="clear" w:color="auto" w:fill="F17DC6"/>
          </w:tcPr>
          <w:p>
            <w:pPr>
              <w:spacing w:after="0"/>
              <w:rPr>
                <w:sz w:val="10"/>
                <w:szCs w:val="10"/>
                <w:color w:val="auto"/>
              </w:rPr>
            </w:pPr>
          </w:p>
        </w:tc>
        <w:tc>
          <w:tcPr>
            <w:tcW w:w="320" w:type="dxa"/>
            <w:vAlign w:val="bottom"/>
            <w:shd w:val="clear" w:color="auto" w:fill="F17DC6"/>
          </w:tcPr>
          <w:p>
            <w:pPr>
              <w:spacing w:after="0"/>
              <w:rPr>
                <w:sz w:val="10"/>
                <w:szCs w:val="10"/>
                <w:color w:val="auto"/>
              </w:rPr>
            </w:pPr>
          </w:p>
        </w:tc>
        <w:tc>
          <w:tcPr>
            <w:tcW w:w="240" w:type="dxa"/>
            <w:vAlign w:val="bottom"/>
            <w:shd w:val="clear" w:color="auto" w:fill="F17DC6"/>
          </w:tcPr>
          <w:p>
            <w:pPr>
              <w:spacing w:after="0"/>
              <w:rPr>
                <w:sz w:val="10"/>
                <w:szCs w:val="10"/>
                <w:color w:val="auto"/>
              </w:rPr>
            </w:pPr>
          </w:p>
        </w:tc>
        <w:tc>
          <w:tcPr>
            <w:tcW w:w="160" w:type="dxa"/>
            <w:vAlign w:val="bottom"/>
            <w:shd w:val="clear" w:color="auto" w:fill="F17DC6"/>
          </w:tcPr>
          <w:p>
            <w:pPr>
              <w:spacing w:after="0"/>
              <w:rPr>
                <w:sz w:val="10"/>
                <w:szCs w:val="10"/>
                <w:color w:val="auto"/>
              </w:rPr>
            </w:pPr>
          </w:p>
        </w:tc>
        <w:tc>
          <w:tcPr>
            <w:tcW w:w="280" w:type="dxa"/>
            <w:vAlign w:val="bottom"/>
            <w:shd w:val="clear" w:color="auto" w:fill="F17DC6"/>
          </w:tcPr>
          <w:p>
            <w:pPr>
              <w:spacing w:after="0"/>
              <w:rPr>
                <w:sz w:val="10"/>
                <w:szCs w:val="10"/>
                <w:color w:val="auto"/>
              </w:rPr>
            </w:pPr>
          </w:p>
        </w:tc>
        <w:tc>
          <w:tcPr>
            <w:tcW w:w="140" w:type="dxa"/>
            <w:vAlign w:val="bottom"/>
            <w:shd w:val="clear" w:color="auto" w:fill="F17DC6"/>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920" w:type="dxa"/>
            <w:vAlign w:val="bottom"/>
          </w:tcPr>
          <w:p>
            <w:pPr>
              <w:ind w:left="260"/>
              <w:spacing w:after="0"/>
              <w:rPr>
                <w:sz w:val="20"/>
                <w:szCs w:val="20"/>
                <w:color w:val="auto"/>
              </w:rPr>
            </w:pPr>
            <w:r>
              <w:rPr>
                <w:rFonts w:ascii="Arial" w:cs="Arial" w:eastAsia="Arial" w:hAnsi="Arial"/>
                <w:sz w:val="12"/>
                <w:szCs w:val="12"/>
                <w:color w:val="auto"/>
              </w:rPr>
              <w:t>Card</w:t>
            </w: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4,058</w:t>
            </w: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3,139</w:t>
            </w: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2,933</w:t>
            </w: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4,058</w:t>
            </w: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3,139</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2,933</w:t>
            </w:r>
          </w:p>
        </w:tc>
        <w:tc>
          <w:tcPr>
            <w:tcW w:w="560" w:type="dxa"/>
            <w:vAlign w:val="bottom"/>
            <w:gridSpan w:val="3"/>
            <w:shd w:val="clear" w:color="auto" w:fill="F17DC6"/>
          </w:tcPr>
          <w:p>
            <w:pPr>
              <w:jc w:val="right"/>
              <w:spacing w:after="0"/>
              <w:rPr>
                <w:sz w:val="20"/>
                <w:szCs w:val="20"/>
                <w:color w:val="auto"/>
              </w:rPr>
            </w:pPr>
            <w:r>
              <w:rPr>
                <w:rFonts w:ascii="Arial" w:cs="Arial" w:eastAsia="Arial" w:hAnsi="Arial"/>
                <w:sz w:val="12"/>
                <w:szCs w:val="12"/>
                <w:color w:val="auto"/>
              </w:rPr>
              <w:t>-6.6%</w:t>
            </w:r>
          </w:p>
        </w:tc>
        <w:tc>
          <w:tcPr>
            <w:tcW w:w="680" w:type="dxa"/>
            <w:vAlign w:val="bottom"/>
            <w:gridSpan w:val="3"/>
            <w:shd w:val="clear" w:color="auto" w:fill="F17DC6"/>
          </w:tcPr>
          <w:p>
            <w:pPr>
              <w:jc w:val="right"/>
              <w:spacing w:after="0"/>
              <w:rPr>
                <w:sz w:val="20"/>
                <w:szCs w:val="20"/>
                <w:color w:val="auto"/>
              </w:rPr>
            </w:pPr>
            <w:r>
              <w:rPr>
                <w:rFonts w:ascii="Arial" w:cs="Arial" w:eastAsia="Arial" w:hAnsi="Arial"/>
                <w:sz w:val="12"/>
                <w:szCs w:val="12"/>
                <w:color w:val="auto"/>
              </w:rPr>
              <w:t>-27.7%</w:t>
            </w:r>
          </w:p>
        </w:tc>
        <w:tc>
          <w:tcPr>
            <w:tcW w:w="100" w:type="dxa"/>
            <w:vAlign w:val="bottom"/>
            <w:shd w:val="clear" w:color="auto" w:fill="F17DC6"/>
          </w:tcPr>
          <w:p>
            <w:pPr>
              <w:spacing w:after="0"/>
              <w:rPr>
                <w:sz w:val="12"/>
                <w:szCs w:val="12"/>
                <w:color w:val="auto"/>
              </w:rPr>
            </w:pPr>
          </w:p>
        </w:tc>
        <w:tc>
          <w:tcPr>
            <w:tcW w:w="660" w:type="dxa"/>
            <w:vAlign w:val="bottom"/>
            <w:gridSpan w:val="3"/>
            <w:shd w:val="clear" w:color="auto" w:fill="F17DC6"/>
          </w:tcPr>
          <w:p>
            <w:pPr>
              <w:jc w:val="right"/>
              <w:ind w:right="59"/>
              <w:spacing w:after="0"/>
              <w:rPr>
                <w:sz w:val="20"/>
                <w:szCs w:val="20"/>
                <w:color w:val="auto"/>
              </w:rPr>
            </w:pPr>
            <w:r>
              <w:rPr>
                <w:rFonts w:ascii="Arial" w:cs="Arial" w:eastAsia="Arial" w:hAnsi="Arial"/>
                <w:sz w:val="12"/>
                <w:szCs w:val="12"/>
                <w:color w:val="auto"/>
              </w:rPr>
              <w:t>-6.6%</w:t>
            </w:r>
          </w:p>
        </w:tc>
        <w:tc>
          <w:tcPr>
            <w:tcW w:w="160" w:type="dxa"/>
            <w:vAlign w:val="bottom"/>
            <w:shd w:val="clear" w:color="auto" w:fill="F17DC6"/>
          </w:tcPr>
          <w:p>
            <w:pPr>
              <w:spacing w:after="0"/>
              <w:rPr>
                <w:sz w:val="12"/>
                <w:szCs w:val="12"/>
                <w:color w:val="auto"/>
              </w:rPr>
            </w:pPr>
          </w:p>
        </w:tc>
        <w:tc>
          <w:tcPr>
            <w:tcW w:w="420" w:type="dxa"/>
            <w:vAlign w:val="bottom"/>
            <w:gridSpan w:val="2"/>
            <w:shd w:val="clear" w:color="auto" w:fill="F17DC6"/>
          </w:tcPr>
          <w:p>
            <w:pPr>
              <w:jc w:val="right"/>
              <w:spacing w:after="0"/>
              <w:rPr>
                <w:sz w:val="20"/>
                <w:szCs w:val="20"/>
                <w:color w:val="auto"/>
              </w:rPr>
            </w:pPr>
            <w:r>
              <w:rPr>
                <w:rFonts w:ascii="Arial" w:cs="Arial" w:eastAsia="Arial" w:hAnsi="Arial"/>
                <w:sz w:val="12"/>
                <w:szCs w:val="12"/>
                <w:color w:val="auto"/>
                <w:w w:val="94"/>
              </w:rPr>
              <w:t>-27.7%</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163</w:t>
            </w:r>
          </w:p>
        </w:tc>
        <w:tc>
          <w:tcPr>
            <w:tcW w:w="640" w:type="dxa"/>
            <w:vAlign w:val="bottom"/>
            <w:gridSpan w:val="3"/>
          </w:tcPr>
          <w:p>
            <w:pPr>
              <w:jc w:val="right"/>
              <w:ind w:right="100"/>
              <w:spacing w:after="0"/>
              <w:rPr>
                <w:sz w:val="20"/>
                <w:szCs w:val="20"/>
                <w:color w:val="auto"/>
              </w:rPr>
            </w:pPr>
            <w:r>
              <w:rPr>
                <w:rFonts w:ascii="Arial" w:cs="Arial" w:eastAsia="Arial" w:hAnsi="Arial"/>
                <w:sz w:val="12"/>
                <w:szCs w:val="12"/>
                <w:color w:val="auto"/>
              </w:rPr>
              <w:t>190</w:t>
            </w: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195</w:t>
            </w:r>
          </w:p>
        </w:tc>
        <w:tc>
          <w:tcPr>
            <w:tcW w:w="680" w:type="dxa"/>
            <w:vAlign w:val="bottom"/>
            <w:gridSpan w:val="2"/>
          </w:tcPr>
          <w:p>
            <w:pPr>
              <w:jc w:val="right"/>
              <w:ind w:right="79"/>
              <w:spacing w:after="0"/>
              <w:rPr>
                <w:sz w:val="20"/>
                <w:szCs w:val="20"/>
                <w:color w:val="auto"/>
              </w:rPr>
            </w:pPr>
            <w:r>
              <w:rPr>
                <w:rFonts w:ascii="Arial" w:cs="Arial" w:eastAsia="Arial" w:hAnsi="Arial"/>
                <w:sz w:val="12"/>
                <w:szCs w:val="12"/>
                <w:color w:val="auto"/>
              </w:rPr>
              <w:t>2.8%</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19.8%</w:t>
            </w:r>
          </w:p>
        </w:tc>
        <w:tc>
          <w:tcPr>
            <w:tcW w:w="780" w:type="dxa"/>
            <w:vAlign w:val="bottom"/>
            <w:gridSpan w:val="3"/>
          </w:tcPr>
          <w:p>
            <w:pPr>
              <w:jc w:val="right"/>
              <w:ind w:right="79"/>
              <w:spacing w:after="0"/>
              <w:rPr>
                <w:sz w:val="20"/>
                <w:szCs w:val="20"/>
                <w:color w:val="auto"/>
              </w:rPr>
            </w:pPr>
            <w:r>
              <w:rPr>
                <w:rFonts w:ascii="Arial" w:cs="Arial" w:eastAsia="Arial" w:hAnsi="Arial"/>
                <w:sz w:val="12"/>
                <w:szCs w:val="12"/>
                <w:color w:val="auto"/>
              </w:rPr>
              <w:t>78.6%</w:t>
            </w:r>
          </w:p>
        </w:tc>
        <w:tc>
          <w:tcPr>
            <w:tcW w:w="12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21.4%</w:t>
            </w:r>
          </w:p>
        </w:tc>
        <w:tc>
          <w:tcPr>
            <w:tcW w:w="0" w:type="dxa"/>
            <w:vAlign w:val="bottom"/>
          </w:tcPr>
          <w:p>
            <w:pPr>
              <w:spacing w:after="0"/>
              <w:rPr>
                <w:sz w:val="1"/>
                <w:szCs w:val="1"/>
                <w:color w:val="auto"/>
              </w:rPr>
            </w:pPr>
          </w:p>
        </w:tc>
      </w:tr>
      <w:tr>
        <w:trPr>
          <w:trHeight w:val="131"/>
        </w:trPr>
        <w:tc>
          <w:tcPr>
            <w:tcW w:w="920" w:type="dxa"/>
            <w:vAlign w:val="bottom"/>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Mibanco</w:t>
            </w:r>
          </w:p>
        </w:tc>
        <w:tc>
          <w:tcPr>
            <w:tcW w:w="58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b w:val="1"/>
                <w:bCs w:val="1"/>
                <w:color w:val="auto"/>
              </w:rPr>
              <w:t>11,085</w:t>
            </w:r>
          </w:p>
        </w:tc>
        <w:tc>
          <w:tcPr>
            <w:tcW w:w="60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b w:val="1"/>
                <w:bCs w:val="1"/>
                <w:color w:val="auto"/>
              </w:rPr>
              <w:t>12,551</w:t>
            </w:r>
          </w:p>
        </w:tc>
        <w:tc>
          <w:tcPr>
            <w:tcW w:w="58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b w:val="1"/>
                <w:bCs w:val="1"/>
                <w:color w:val="auto"/>
              </w:rPr>
              <w:t>12,614</w:t>
            </w:r>
          </w:p>
        </w:tc>
        <w:tc>
          <w:tcPr>
            <w:tcW w:w="56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b w:val="1"/>
                <w:bCs w:val="1"/>
                <w:color w:val="auto"/>
              </w:rPr>
              <w:t>9,221</w:t>
            </w:r>
          </w:p>
        </w:tc>
        <w:tc>
          <w:tcPr>
            <w:tcW w:w="54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b w:val="1"/>
                <w:bCs w:val="1"/>
                <w:color w:val="auto"/>
              </w:rPr>
              <w:t>9,760</w:t>
            </w:r>
          </w:p>
        </w:tc>
        <w:tc>
          <w:tcPr>
            <w:tcW w:w="56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b w:val="1"/>
                <w:bCs w:val="1"/>
                <w:color w:val="auto"/>
              </w:rPr>
              <w:t>9,960</w:t>
            </w:r>
          </w:p>
        </w:tc>
        <w:tc>
          <w:tcPr>
            <w:tcW w:w="560" w:type="dxa"/>
            <w:vAlign w:val="bottom"/>
            <w:gridSpan w:val="3"/>
            <w:shd w:val="clear" w:color="auto" w:fill="CCEEFF"/>
          </w:tcPr>
          <w:p>
            <w:pPr>
              <w:jc w:val="right"/>
              <w:spacing w:after="0" w:line="132" w:lineRule="exact"/>
              <w:rPr>
                <w:sz w:val="20"/>
                <w:szCs w:val="20"/>
                <w:color w:val="auto"/>
              </w:rPr>
            </w:pPr>
            <w:r>
              <w:rPr>
                <w:rFonts w:ascii="Arial" w:cs="Arial" w:eastAsia="Arial" w:hAnsi="Arial"/>
                <w:sz w:val="12"/>
                <w:szCs w:val="12"/>
                <w:b w:val="1"/>
                <w:bCs w:val="1"/>
                <w:color w:val="auto"/>
              </w:rPr>
              <w:t>0.5%</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66E0DA"/>
          </w:tcPr>
          <w:p>
            <w:pPr>
              <w:jc w:val="right"/>
              <w:spacing w:after="0" w:line="132" w:lineRule="exact"/>
              <w:rPr>
                <w:sz w:val="20"/>
                <w:szCs w:val="20"/>
                <w:color w:val="auto"/>
              </w:rPr>
            </w:pPr>
            <w:r>
              <w:rPr>
                <w:rFonts w:ascii="Arial" w:cs="Arial" w:eastAsia="Arial" w:hAnsi="Arial"/>
                <w:sz w:val="12"/>
                <w:szCs w:val="12"/>
                <w:b w:val="1"/>
                <w:bCs w:val="1"/>
                <w:color w:val="auto"/>
              </w:rPr>
              <w:t>13.8%</w:t>
            </w:r>
          </w:p>
        </w:tc>
        <w:tc>
          <w:tcPr>
            <w:tcW w:w="10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39"/>
              <w:spacing w:after="0" w:line="132" w:lineRule="exact"/>
              <w:rPr>
                <w:sz w:val="20"/>
                <w:szCs w:val="20"/>
                <w:color w:val="auto"/>
              </w:rPr>
            </w:pPr>
            <w:r>
              <w:rPr>
                <w:rFonts w:ascii="Arial" w:cs="Arial" w:eastAsia="Arial" w:hAnsi="Arial"/>
                <w:sz w:val="12"/>
                <w:szCs w:val="12"/>
                <w:b w:val="1"/>
                <w:bCs w:val="1"/>
                <w:color w:val="auto"/>
              </w:rPr>
              <w:t>2.0%</w:t>
            </w:r>
          </w:p>
        </w:tc>
        <w:tc>
          <w:tcPr>
            <w:tcW w:w="160" w:type="dxa"/>
            <w:vAlign w:val="bottom"/>
            <w:shd w:val="clear" w:color="auto" w:fill="66E0DA"/>
          </w:tcPr>
          <w:p>
            <w:pPr>
              <w:spacing w:after="0"/>
              <w:rPr>
                <w:sz w:val="11"/>
                <w:szCs w:val="11"/>
                <w:color w:val="auto"/>
              </w:rPr>
            </w:pPr>
          </w:p>
        </w:tc>
        <w:tc>
          <w:tcPr>
            <w:tcW w:w="420" w:type="dxa"/>
            <w:vAlign w:val="bottom"/>
            <w:gridSpan w:val="2"/>
            <w:shd w:val="clear" w:color="auto" w:fill="66E0DA"/>
          </w:tcPr>
          <w:p>
            <w:pPr>
              <w:jc w:val="right"/>
              <w:spacing w:after="0" w:line="132" w:lineRule="exact"/>
              <w:rPr>
                <w:sz w:val="20"/>
                <w:szCs w:val="20"/>
                <w:color w:val="auto"/>
              </w:rPr>
            </w:pPr>
            <w:r>
              <w:rPr>
                <w:rFonts w:ascii="Arial" w:cs="Arial" w:eastAsia="Arial" w:hAnsi="Arial"/>
                <w:sz w:val="12"/>
                <w:szCs w:val="12"/>
                <w:b w:val="1"/>
                <w:bCs w:val="1"/>
                <w:color w:val="auto"/>
              </w:rPr>
              <w:t>8.0%</w:t>
            </w:r>
          </w:p>
        </w:tc>
        <w:tc>
          <w:tcPr>
            <w:tcW w:w="560" w:type="dxa"/>
            <w:vAlign w:val="bottom"/>
            <w:tcBorders>
              <w:right w:val="single" w:sz="8" w:color="CCEEFF"/>
            </w:tcBorders>
            <w:gridSpan w:val="2"/>
            <w:shd w:val="clear" w:color="auto" w:fill="CCEEFF"/>
          </w:tcPr>
          <w:p>
            <w:pPr>
              <w:jc w:val="right"/>
              <w:spacing w:after="0" w:line="132" w:lineRule="exact"/>
              <w:rPr>
                <w:sz w:val="20"/>
                <w:szCs w:val="20"/>
                <w:color w:val="auto"/>
              </w:rPr>
            </w:pPr>
            <w:r>
              <w:rPr>
                <w:rFonts w:ascii="Arial" w:cs="Arial" w:eastAsia="Arial" w:hAnsi="Arial"/>
                <w:sz w:val="12"/>
                <w:szCs w:val="12"/>
                <w:b w:val="1"/>
                <w:bCs w:val="1"/>
                <w:color w:val="auto"/>
              </w:rPr>
              <w:t>143</w:t>
            </w:r>
          </w:p>
        </w:tc>
        <w:tc>
          <w:tcPr>
            <w:tcW w:w="640" w:type="dxa"/>
            <w:vAlign w:val="bottom"/>
            <w:gridSpan w:val="3"/>
            <w:shd w:val="clear" w:color="auto" w:fill="CCEEFF"/>
          </w:tcPr>
          <w:p>
            <w:pPr>
              <w:jc w:val="right"/>
              <w:ind w:right="100"/>
              <w:spacing w:after="0" w:line="132" w:lineRule="exact"/>
              <w:rPr>
                <w:sz w:val="20"/>
                <w:szCs w:val="20"/>
                <w:color w:val="auto"/>
              </w:rPr>
            </w:pPr>
            <w:r>
              <w:rPr>
                <w:rFonts w:ascii="Arial" w:cs="Arial" w:eastAsia="Arial" w:hAnsi="Arial"/>
                <w:sz w:val="12"/>
                <w:szCs w:val="12"/>
                <w:b w:val="1"/>
                <w:bCs w:val="1"/>
                <w:color w:val="auto"/>
              </w:rPr>
              <w:t>124</w:t>
            </w:r>
          </w:p>
        </w:tc>
        <w:tc>
          <w:tcPr>
            <w:tcW w:w="54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b w:val="1"/>
                <w:bCs w:val="1"/>
                <w:color w:val="auto"/>
              </w:rPr>
              <w:t>115</w:t>
            </w:r>
          </w:p>
        </w:tc>
        <w:tc>
          <w:tcPr>
            <w:tcW w:w="680" w:type="dxa"/>
            <w:vAlign w:val="bottom"/>
            <w:gridSpan w:val="2"/>
            <w:shd w:val="clear" w:color="auto" w:fill="CCEEFF"/>
          </w:tcPr>
          <w:p>
            <w:pPr>
              <w:jc w:val="right"/>
              <w:ind w:right="59"/>
              <w:spacing w:after="0" w:line="132" w:lineRule="exact"/>
              <w:rPr>
                <w:sz w:val="20"/>
                <w:szCs w:val="20"/>
                <w:color w:val="auto"/>
              </w:rPr>
            </w:pPr>
            <w:r>
              <w:rPr>
                <w:rFonts w:ascii="Arial" w:cs="Arial" w:eastAsia="Arial" w:hAnsi="Arial"/>
                <w:sz w:val="12"/>
                <w:szCs w:val="12"/>
                <w:b w:val="1"/>
                <w:bCs w:val="1"/>
                <w:color w:val="auto"/>
              </w:rPr>
              <w:t>-7.2%</w:t>
            </w:r>
          </w:p>
        </w:tc>
        <w:tc>
          <w:tcPr>
            <w:tcW w:w="56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b w:val="1"/>
                <w:bCs w:val="1"/>
                <w:color w:val="auto"/>
              </w:rPr>
              <w:t>-19.8%</w:t>
            </w:r>
          </w:p>
        </w:tc>
        <w:tc>
          <w:tcPr>
            <w:tcW w:w="780" w:type="dxa"/>
            <w:vAlign w:val="bottom"/>
            <w:gridSpan w:val="3"/>
            <w:shd w:val="clear" w:color="auto" w:fill="CCEEFF"/>
          </w:tcPr>
          <w:p>
            <w:pPr>
              <w:jc w:val="right"/>
              <w:ind w:right="59"/>
              <w:spacing w:after="0" w:line="132" w:lineRule="exact"/>
              <w:rPr>
                <w:sz w:val="20"/>
                <w:szCs w:val="20"/>
                <w:color w:val="auto"/>
              </w:rPr>
            </w:pPr>
            <w:r>
              <w:rPr>
                <w:rFonts w:ascii="Arial" w:cs="Arial" w:eastAsia="Arial" w:hAnsi="Arial"/>
                <w:sz w:val="12"/>
                <w:szCs w:val="12"/>
                <w:b w:val="1"/>
                <w:bCs w:val="1"/>
                <w:color w:val="auto"/>
              </w:rPr>
              <w:t>96.4%</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b w:val="1"/>
                <w:bCs w:val="1"/>
                <w:color w:val="auto"/>
              </w:rPr>
              <w:t>3.6%</w:t>
            </w:r>
          </w:p>
        </w:tc>
        <w:tc>
          <w:tcPr>
            <w:tcW w:w="0" w:type="dxa"/>
            <w:vAlign w:val="bottom"/>
          </w:tcPr>
          <w:p>
            <w:pPr>
              <w:spacing w:after="0"/>
              <w:rPr>
                <w:sz w:val="1"/>
                <w:szCs w:val="1"/>
                <w:color w:val="auto"/>
              </w:rPr>
            </w:pPr>
          </w:p>
        </w:tc>
      </w:tr>
      <w:tr>
        <w:trPr>
          <w:trHeight w:val="113"/>
        </w:trPr>
        <w:tc>
          <w:tcPr>
            <w:tcW w:w="920" w:type="dxa"/>
            <w:vAlign w:val="bottom"/>
          </w:tcPr>
          <w:p>
            <w:pPr>
              <w:spacing w:after="0" w:line="113" w:lineRule="exact"/>
              <w:rPr>
                <w:sz w:val="20"/>
                <w:szCs w:val="20"/>
                <w:color w:val="auto"/>
              </w:rPr>
            </w:pPr>
            <w:r>
              <w:rPr>
                <w:rFonts w:ascii="Arial" w:cs="Arial" w:eastAsia="Arial" w:hAnsi="Arial"/>
                <w:sz w:val="12"/>
                <w:szCs w:val="12"/>
                <w:b w:val="1"/>
                <w:bCs w:val="1"/>
                <w:color w:val="auto"/>
              </w:rPr>
              <w:t>Mibanco</w:t>
            </w: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20"/>
                <w:szCs w:val="20"/>
                <w:color w:val="auto"/>
              </w:rPr>
            </w:pPr>
            <w:r>
              <w:rPr>
                <w:rFonts w:ascii="Arial" w:cs="Arial" w:eastAsia="Arial" w:hAnsi="Arial"/>
                <w:sz w:val="12"/>
                <w:szCs w:val="12"/>
                <w:b w:val="1"/>
                <w:bCs w:val="1"/>
                <w:color w:val="auto"/>
              </w:rPr>
              <w:t>Colombia</w:t>
            </w:r>
          </w:p>
        </w:tc>
        <w:tc>
          <w:tcPr>
            <w:tcW w:w="5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c>
          <w:tcPr>
            <w:tcW w:w="560" w:type="dxa"/>
            <w:vAlign w:val="bottom"/>
            <w:gridSpan w:val="3"/>
          </w:tcPr>
          <w:p>
            <w:pPr>
              <w:jc w:val="right"/>
              <w:ind w:right="59"/>
              <w:spacing w:after="0"/>
              <w:rPr>
                <w:sz w:val="20"/>
                <w:szCs w:val="20"/>
                <w:color w:val="auto"/>
              </w:rPr>
            </w:pPr>
            <w:r>
              <w:rPr>
                <w:rFonts w:ascii="Arial" w:cs="Arial" w:eastAsia="Arial" w:hAnsi="Arial"/>
                <w:sz w:val="12"/>
                <w:szCs w:val="12"/>
                <w:b w:val="1"/>
                <w:bCs w:val="1"/>
                <w:color w:val="auto"/>
              </w:rPr>
              <w:t>-</w:t>
            </w:r>
          </w:p>
        </w:tc>
        <w:tc>
          <w:tcPr>
            <w:tcW w:w="680" w:type="dxa"/>
            <w:vAlign w:val="bottom"/>
            <w:gridSpan w:val="3"/>
          </w:tcPr>
          <w:p>
            <w:pPr>
              <w:jc w:val="right"/>
              <w:ind w:right="79"/>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2"/>
                <w:szCs w:val="12"/>
                <w:color w:val="auto"/>
              </w:rPr>
            </w:pPr>
          </w:p>
        </w:tc>
        <w:tc>
          <w:tcPr>
            <w:tcW w:w="660" w:type="dxa"/>
            <w:vAlign w:val="bottom"/>
            <w:gridSpan w:val="3"/>
          </w:tcPr>
          <w:p>
            <w:pPr>
              <w:jc w:val="right"/>
              <w:ind w:right="159"/>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2"/>
                <w:szCs w:val="12"/>
                <w:color w:val="auto"/>
              </w:rPr>
            </w:pPr>
          </w:p>
        </w:tc>
        <w:tc>
          <w:tcPr>
            <w:tcW w:w="420" w:type="dxa"/>
            <w:vAlign w:val="bottom"/>
            <w:gridSpan w:val="2"/>
          </w:tcPr>
          <w:p>
            <w:pPr>
              <w:jc w:val="right"/>
              <w:ind w:right="79"/>
              <w:spacing w:after="0"/>
              <w:rPr>
                <w:sz w:val="20"/>
                <w:szCs w:val="20"/>
                <w:color w:val="auto"/>
              </w:rPr>
            </w:pPr>
            <w:r>
              <w:rPr>
                <w:rFonts w:ascii="Arial" w:cs="Arial" w:eastAsia="Arial" w:hAnsi="Arial"/>
                <w:sz w:val="12"/>
                <w:szCs w:val="12"/>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2"/>
                <w:szCs w:val="12"/>
                <w:b w:val="1"/>
                <w:bCs w:val="1"/>
                <w:color w:val="auto"/>
              </w:rPr>
              <w:t>221</w:t>
            </w:r>
          </w:p>
        </w:tc>
        <w:tc>
          <w:tcPr>
            <w:tcW w:w="64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252</w:t>
            </w:r>
          </w:p>
        </w:tc>
        <w:tc>
          <w:tcPr>
            <w:tcW w:w="5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256</w:t>
            </w:r>
          </w:p>
        </w:tc>
        <w:tc>
          <w:tcPr>
            <w:tcW w:w="680" w:type="dxa"/>
            <w:vAlign w:val="bottom"/>
            <w:gridSpan w:val="2"/>
          </w:tcPr>
          <w:p>
            <w:pPr>
              <w:jc w:val="right"/>
              <w:ind w:right="59"/>
              <w:spacing w:after="0"/>
              <w:rPr>
                <w:sz w:val="20"/>
                <w:szCs w:val="20"/>
                <w:color w:val="auto"/>
              </w:rPr>
            </w:pPr>
            <w:r>
              <w:rPr>
                <w:rFonts w:ascii="Arial" w:cs="Arial" w:eastAsia="Arial" w:hAnsi="Arial"/>
                <w:sz w:val="12"/>
                <w:szCs w:val="12"/>
                <w:b w:val="1"/>
                <w:bCs w:val="1"/>
                <w:color w:val="auto"/>
              </w:rPr>
              <w:t>1.7%</w:t>
            </w:r>
          </w:p>
        </w:tc>
        <w:tc>
          <w:tcPr>
            <w:tcW w:w="560" w:type="dxa"/>
            <w:vAlign w:val="bottom"/>
            <w:gridSpan w:val="2"/>
          </w:tcPr>
          <w:p>
            <w:pPr>
              <w:jc w:val="right"/>
              <w:spacing w:after="0"/>
              <w:rPr>
                <w:sz w:val="20"/>
                <w:szCs w:val="20"/>
                <w:color w:val="auto"/>
              </w:rPr>
            </w:pPr>
            <w:r>
              <w:rPr>
                <w:rFonts w:ascii="Arial" w:cs="Arial" w:eastAsia="Arial" w:hAnsi="Arial"/>
                <w:sz w:val="12"/>
                <w:szCs w:val="12"/>
                <w:b w:val="1"/>
                <w:bCs w:val="1"/>
                <w:color w:val="auto"/>
              </w:rPr>
              <w:t>15.6%</w:t>
            </w:r>
          </w:p>
        </w:tc>
        <w:tc>
          <w:tcPr>
            <w:tcW w:w="780" w:type="dxa"/>
            <w:vAlign w:val="bottom"/>
            <w:gridSpan w:val="3"/>
          </w:tcPr>
          <w:p>
            <w:pPr>
              <w:jc w:val="right"/>
              <w:ind w:right="179"/>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Arial" w:cs="Arial" w:eastAsia="Arial" w:hAnsi="Arial"/>
                <w:sz w:val="12"/>
                <w:szCs w:val="12"/>
                <w:b w:val="1"/>
                <w:bCs w:val="1"/>
                <w:color w:val="auto"/>
              </w:rPr>
              <w:t>100.0%</w:t>
            </w:r>
          </w:p>
        </w:tc>
        <w:tc>
          <w:tcPr>
            <w:tcW w:w="0" w:type="dxa"/>
            <w:vAlign w:val="bottom"/>
          </w:tcPr>
          <w:p>
            <w:pPr>
              <w:spacing w:after="0"/>
              <w:rPr>
                <w:sz w:val="1"/>
                <w:szCs w:val="1"/>
                <w:color w:val="auto"/>
              </w:rPr>
            </w:pPr>
          </w:p>
        </w:tc>
      </w:tr>
      <w:tr>
        <w:trPr>
          <w:trHeight w:val="131"/>
        </w:trPr>
        <w:tc>
          <w:tcPr>
            <w:tcW w:w="920" w:type="dxa"/>
            <w:vAlign w:val="bottom"/>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Bolivia</w:t>
            </w:r>
          </w:p>
        </w:tc>
        <w:tc>
          <w:tcPr>
            <w:tcW w:w="58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b w:val="1"/>
                <w:bCs w:val="1"/>
                <w:color w:val="auto"/>
              </w:rPr>
              <w:t>-</w:t>
            </w:r>
          </w:p>
        </w:tc>
        <w:tc>
          <w:tcPr>
            <w:tcW w:w="60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b w:val="1"/>
                <w:bCs w:val="1"/>
                <w:color w:val="auto"/>
              </w:rPr>
              <w:t>-</w:t>
            </w:r>
          </w:p>
        </w:tc>
        <w:tc>
          <w:tcPr>
            <w:tcW w:w="58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b w:val="1"/>
                <w:bCs w:val="1"/>
                <w:color w:val="auto"/>
              </w:rPr>
              <w:t>-</w:t>
            </w:r>
          </w:p>
        </w:tc>
        <w:tc>
          <w:tcPr>
            <w:tcW w:w="56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b w:val="1"/>
                <w:bCs w:val="1"/>
                <w:color w:val="auto"/>
              </w:rPr>
              <w:t>-</w:t>
            </w:r>
          </w:p>
        </w:tc>
        <w:tc>
          <w:tcPr>
            <w:tcW w:w="54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b w:val="1"/>
                <w:bCs w:val="1"/>
                <w:color w:val="auto"/>
              </w:rPr>
              <w:t>-</w:t>
            </w:r>
          </w:p>
        </w:tc>
        <w:tc>
          <w:tcPr>
            <w:tcW w:w="56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b w:val="1"/>
                <w:bCs w:val="1"/>
                <w:color w:val="auto"/>
              </w:rPr>
              <w:t>-</w:t>
            </w:r>
          </w:p>
        </w:tc>
        <w:tc>
          <w:tcPr>
            <w:tcW w:w="560" w:type="dxa"/>
            <w:vAlign w:val="bottom"/>
            <w:gridSpan w:val="3"/>
            <w:shd w:val="clear" w:color="auto" w:fill="CCEEFF"/>
          </w:tcPr>
          <w:p>
            <w:pPr>
              <w:jc w:val="right"/>
              <w:ind w:right="59"/>
              <w:spacing w:after="0" w:line="132" w:lineRule="exact"/>
              <w:rPr>
                <w:sz w:val="20"/>
                <w:szCs w:val="20"/>
                <w:color w:val="auto"/>
              </w:rPr>
            </w:pPr>
            <w:r>
              <w:rPr>
                <w:rFonts w:ascii="Arial" w:cs="Arial" w:eastAsia="Arial" w:hAnsi="Arial"/>
                <w:sz w:val="12"/>
                <w:szCs w:val="12"/>
                <w:b w:val="1"/>
                <w:bCs w:val="1"/>
                <w:color w:val="auto"/>
              </w:rPr>
              <w:t>-</w:t>
            </w:r>
          </w:p>
        </w:tc>
        <w:tc>
          <w:tcPr>
            <w:tcW w:w="680" w:type="dxa"/>
            <w:vAlign w:val="bottom"/>
            <w:gridSpan w:val="3"/>
            <w:shd w:val="clear" w:color="auto" w:fill="CCEEFF"/>
          </w:tcPr>
          <w:p>
            <w:pPr>
              <w:jc w:val="right"/>
              <w:ind w:right="79"/>
              <w:spacing w:after="0" w:line="132" w:lineRule="exact"/>
              <w:rPr>
                <w:sz w:val="20"/>
                <w:szCs w:val="20"/>
                <w:color w:val="auto"/>
              </w:rPr>
            </w:pPr>
            <w:r>
              <w:rPr>
                <w:rFonts w:ascii="Arial" w:cs="Arial" w:eastAsia="Arial" w:hAnsi="Arial"/>
                <w:sz w:val="12"/>
                <w:szCs w:val="12"/>
                <w:b w:val="1"/>
                <w:bCs w:val="1"/>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159"/>
              <w:spacing w:after="0" w:line="132" w:lineRule="exact"/>
              <w:rPr>
                <w:sz w:val="20"/>
                <w:szCs w:val="20"/>
                <w:color w:val="auto"/>
              </w:rPr>
            </w:pPr>
            <w:r>
              <w:rPr>
                <w:rFonts w:ascii="Arial" w:cs="Arial" w:eastAsia="Arial" w:hAnsi="Arial"/>
                <w:sz w:val="12"/>
                <w:szCs w:val="12"/>
                <w:b w:val="1"/>
                <w:bCs w:val="1"/>
                <w:color w:val="auto"/>
              </w:rPr>
              <w:t>-</w:t>
            </w: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79"/>
              <w:spacing w:after="0" w:line="132" w:lineRule="exact"/>
              <w:rPr>
                <w:sz w:val="20"/>
                <w:szCs w:val="20"/>
                <w:color w:val="auto"/>
              </w:rPr>
            </w:pPr>
            <w:r>
              <w:rPr>
                <w:rFonts w:ascii="Arial" w:cs="Arial" w:eastAsia="Arial" w:hAnsi="Arial"/>
                <w:sz w:val="12"/>
                <w:szCs w:val="12"/>
                <w:b w:val="1"/>
                <w:bCs w:val="1"/>
                <w:color w:val="auto"/>
              </w:rPr>
              <w:t>-</w:t>
            </w:r>
          </w:p>
        </w:tc>
        <w:tc>
          <w:tcPr>
            <w:tcW w:w="560" w:type="dxa"/>
            <w:vAlign w:val="bottom"/>
            <w:tcBorders>
              <w:right w:val="single" w:sz="8" w:color="CCEEFF"/>
            </w:tcBorders>
            <w:gridSpan w:val="2"/>
            <w:shd w:val="clear" w:color="auto" w:fill="CCEEFF"/>
          </w:tcPr>
          <w:p>
            <w:pPr>
              <w:jc w:val="right"/>
              <w:spacing w:after="0" w:line="132" w:lineRule="exact"/>
              <w:rPr>
                <w:sz w:val="20"/>
                <w:szCs w:val="20"/>
                <w:color w:val="auto"/>
              </w:rPr>
            </w:pPr>
            <w:r>
              <w:rPr>
                <w:rFonts w:ascii="Arial" w:cs="Arial" w:eastAsia="Arial" w:hAnsi="Arial"/>
                <w:sz w:val="12"/>
                <w:szCs w:val="12"/>
                <w:b w:val="1"/>
                <w:bCs w:val="1"/>
                <w:color w:val="auto"/>
              </w:rPr>
              <w:t>2,292</w:t>
            </w:r>
          </w:p>
        </w:tc>
        <w:tc>
          <w:tcPr>
            <w:tcW w:w="640" w:type="dxa"/>
            <w:vAlign w:val="bottom"/>
            <w:gridSpan w:val="3"/>
            <w:shd w:val="clear" w:color="auto" w:fill="CCEEFF"/>
          </w:tcPr>
          <w:p>
            <w:pPr>
              <w:jc w:val="right"/>
              <w:ind w:right="100"/>
              <w:spacing w:after="0" w:line="132" w:lineRule="exact"/>
              <w:rPr>
                <w:sz w:val="20"/>
                <w:szCs w:val="20"/>
                <w:color w:val="auto"/>
              </w:rPr>
            </w:pPr>
            <w:r>
              <w:rPr>
                <w:rFonts w:ascii="Arial" w:cs="Arial" w:eastAsia="Arial" w:hAnsi="Arial"/>
                <w:sz w:val="12"/>
                <w:szCs w:val="12"/>
                <w:b w:val="1"/>
                <w:bCs w:val="1"/>
                <w:color w:val="auto"/>
              </w:rPr>
              <w:t>2,289</w:t>
            </w:r>
          </w:p>
        </w:tc>
        <w:tc>
          <w:tcPr>
            <w:tcW w:w="54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b w:val="1"/>
                <w:bCs w:val="1"/>
                <w:color w:val="auto"/>
              </w:rPr>
              <w:t>2,302</w:t>
            </w:r>
          </w:p>
        </w:tc>
        <w:tc>
          <w:tcPr>
            <w:tcW w:w="680" w:type="dxa"/>
            <w:vAlign w:val="bottom"/>
            <w:gridSpan w:val="2"/>
            <w:shd w:val="clear" w:color="auto" w:fill="CCEEFF"/>
          </w:tcPr>
          <w:p>
            <w:pPr>
              <w:jc w:val="right"/>
              <w:ind w:right="59"/>
              <w:spacing w:after="0" w:line="132" w:lineRule="exact"/>
              <w:rPr>
                <w:sz w:val="20"/>
                <w:szCs w:val="20"/>
                <w:color w:val="auto"/>
              </w:rPr>
            </w:pPr>
            <w:r>
              <w:rPr>
                <w:rFonts w:ascii="Arial" w:cs="Arial" w:eastAsia="Arial" w:hAnsi="Arial"/>
                <w:sz w:val="12"/>
                <w:szCs w:val="12"/>
                <w:b w:val="1"/>
                <w:bCs w:val="1"/>
                <w:color w:val="auto"/>
              </w:rPr>
              <w:t>0.6%</w:t>
            </w:r>
          </w:p>
        </w:tc>
        <w:tc>
          <w:tcPr>
            <w:tcW w:w="56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b w:val="1"/>
                <w:bCs w:val="1"/>
                <w:color w:val="auto"/>
              </w:rPr>
              <w:t>0.5%</w:t>
            </w:r>
          </w:p>
        </w:tc>
        <w:tc>
          <w:tcPr>
            <w:tcW w:w="780" w:type="dxa"/>
            <w:vAlign w:val="bottom"/>
            <w:gridSpan w:val="3"/>
            <w:shd w:val="clear" w:color="auto" w:fill="CCEEFF"/>
          </w:tcPr>
          <w:p>
            <w:pPr>
              <w:jc w:val="right"/>
              <w:ind w:right="179"/>
              <w:spacing w:after="0" w:line="132" w:lineRule="exact"/>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b w:val="1"/>
                <w:bCs w:val="1"/>
                <w:color w:val="auto"/>
              </w:rPr>
              <w:t>100.0%</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20"/>
                <w:szCs w:val="20"/>
                <w:color w:val="auto"/>
              </w:rPr>
            </w:pPr>
            <w:r>
              <w:rPr>
                <w:rFonts w:ascii="Arial" w:cs="Arial" w:eastAsia="Arial" w:hAnsi="Arial"/>
                <w:sz w:val="12"/>
                <w:szCs w:val="12"/>
                <w:b w:val="1"/>
                <w:bCs w:val="1"/>
                <w:color w:val="auto"/>
              </w:rPr>
              <w:t>ASB</w:t>
            </w:r>
          </w:p>
        </w:tc>
        <w:tc>
          <w:tcPr>
            <w:tcW w:w="5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c>
          <w:tcPr>
            <w:tcW w:w="560" w:type="dxa"/>
            <w:vAlign w:val="bottom"/>
            <w:gridSpan w:val="3"/>
          </w:tcPr>
          <w:p>
            <w:pPr>
              <w:jc w:val="right"/>
              <w:ind w:right="59"/>
              <w:spacing w:after="0"/>
              <w:rPr>
                <w:sz w:val="20"/>
                <w:szCs w:val="20"/>
                <w:color w:val="auto"/>
              </w:rPr>
            </w:pPr>
            <w:r>
              <w:rPr>
                <w:rFonts w:ascii="Arial" w:cs="Arial" w:eastAsia="Arial" w:hAnsi="Arial"/>
                <w:sz w:val="12"/>
                <w:szCs w:val="12"/>
                <w:b w:val="1"/>
                <w:bCs w:val="1"/>
                <w:color w:val="auto"/>
              </w:rPr>
              <w:t>-</w:t>
            </w:r>
          </w:p>
        </w:tc>
        <w:tc>
          <w:tcPr>
            <w:tcW w:w="680" w:type="dxa"/>
            <w:vAlign w:val="bottom"/>
            <w:gridSpan w:val="3"/>
          </w:tcPr>
          <w:p>
            <w:pPr>
              <w:jc w:val="right"/>
              <w:ind w:right="79"/>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2"/>
                <w:szCs w:val="12"/>
                <w:color w:val="auto"/>
              </w:rPr>
            </w:pPr>
          </w:p>
        </w:tc>
        <w:tc>
          <w:tcPr>
            <w:tcW w:w="660" w:type="dxa"/>
            <w:vAlign w:val="bottom"/>
            <w:gridSpan w:val="3"/>
          </w:tcPr>
          <w:p>
            <w:pPr>
              <w:jc w:val="right"/>
              <w:ind w:right="159"/>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2"/>
                <w:szCs w:val="12"/>
                <w:color w:val="auto"/>
              </w:rPr>
            </w:pPr>
          </w:p>
        </w:tc>
        <w:tc>
          <w:tcPr>
            <w:tcW w:w="420" w:type="dxa"/>
            <w:vAlign w:val="bottom"/>
            <w:gridSpan w:val="2"/>
          </w:tcPr>
          <w:p>
            <w:pPr>
              <w:jc w:val="right"/>
              <w:ind w:right="79"/>
              <w:spacing w:after="0"/>
              <w:rPr>
                <w:sz w:val="20"/>
                <w:szCs w:val="20"/>
                <w:color w:val="auto"/>
              </w:rPr>
            </w:pPr>
            <w:r>
              <w:rPr>
                <w:rFonts w:ascii="Arial" w:cs="Arial" w:eastAsia="Arial" w:hAnsi="Arial"/>
                <w:sz w:val="12"/>
                <w:szCs w:val="12"/>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2"/>
                <w:szCs w:val="12"/>
                <w:b w:val="1"/>
                <w:bCs w:val="1"/>
                <w:color w:val="auto"/>
              </w:rPr>
              <w:t>686</w:t>
            </w:r>
          </w:p>
        </w:tc>
        <w:tc>
          <w:tcPr>
            <w:tcW w:w="64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626</w:t>
            </w:r>
          </w:p>
        </w:tc>
        <w:tc>
          <w:tcPr>
            <w:tcW w:w="5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519</w:t>
            </w:r>
          </w:p>
        </w:tc>
        <w:tc>
          <w:tcPr>
            <w:tcW w:w="680" w:type="dxa"/>
            <w:vAlign w:val="bottom"/>
            <w:gridSpan w:val="2"/>
            <w:shd w:val="clear" w:color="auto" w:fill="F17DC6"/>
          </w:tcPr>
          <w:p>
            <w:pPr>
              <w:jc w:val="right"/>
              <w:ind w:right="59"/>
              <w:spacing w:after="0"/>
              <w:rPr>
                <w:sz w:val="20"/>
                <w:szCs w:val="20"/>
                <w:color w:val="auto"/>
              </w:rPr>
            </w:pPr>
            <w:r>
              <w:rPr>
                <w:rFonts w:ascii="Arial" w:cs="Arial" w:eastAsia="Arial" w:hAnsi="Arial"/>
                <w:sz w:val="12"/>
                <w:szCs w:val="12"/>
                <w:b w:val="1"/>
                <w:bCs w:val="1"/>
                <w:color w:val="auto"/>
              </w:rPr>
              <w:t>-17.0%</w:t>
            </w:r>
          </w:p>
        </w:tc>
        <w:tc>
          <w:tcPr>
            <w:tcW w:w="560" w:type="dxa"/>
            <w:vAlign w:val="bottom"/>
            <w:gridSpan w:val="2"/>
            <w:shd w:val="clear" w:color="auto" w:fill="F17DC6"/>
          </w:tcPr>
          <w:p>
            <w:pPr>
              <w:jc w:val="right"/>
              <w:spacing w:after="0"/>
              <w:rPr>
                <w:sz w:val="20"/>
                <w:szCs w:val="20"/>
                <w:color w:val="auto"/>
              </w:rPr>
            </w:pPr>
            <w:r>
              <w:rPr>
                <w:rFonts w:ascii="Arial" w:cs="Arial" w:eastAsia="Arial" w:hAnsi="Arial"/>
                <w:sz w:val="12"/>
                <w:szCs w:val="12"/>
                <w:b w:val="1"/>
                <w:bCs w:val="1"/>
                <w:color w:val="auto"/>
              </w:rPr>
              <w:t>-24.3%</w:t>
            </w:r>
          </w:p>
        </w:tc>
        <w:tc>
          <w:tcPr>
            <w:tcW w:w="780" w:type="dxa"/>
            <w:vAlign w:val="bottom"/>
            <w:gridSpan w:val="3"/>
          </w:tcPr>
          <w:p>
            <w:pPr>
              <w:jc w:val="right"/>
              <w:ind w:right="179"/>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Arial" w:cs="Arial" w:eastAsia="Arial" w:hAnsi="Arial"/>
                <w:sz w:val="12"/>
                <w:szCs w:val="12"/>
                <w:b w:val="1"/>
                <w:bCs w:val="1"/>
                <w:color w:val="auto"/>
              </w:rPr>
              <w:t>100.0%</w:t>
            </w:r>
          </w:p>
        </w:tc>
        <w:tc>
          <w:tcPr>
            <w:tcW w:w="0" w:type="dxa"/>
            <w:vAlign w:val="bottom"/>
          </w:tcPr>
          <w:p>
            <w:pPr>
              <w:spacing w:after="0"/>
              <w:rPr>
                <w:sz w:val="1"/>
                <w:szCs w:val="1"/>
                <w:color w:val="auto"/>
              </w:rPr>
            </w:pPr>
          </w:p>
        </w:tc>
      </w:tr>
      <w:tr>
        <w:trPr>
          <w:trHeight w:val="20"/>
        </w:trPr>
        <w:tc>
          <w:tcPr>
            <w:tcW w:w="92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Total loans</w:t>
            </w: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3"/>
              </w:rPr>
              <w:t>%</w:t>
            </w:r>
          </w:p>
        </w:tc>
        <w:tc>
          <w:tcPr>
            <w:tcW w:w="1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3"/>
              </w:rPr>
              <w:t>%</w:t>
            </w:r>
          </w:p>
        </w:tc>
        <w:tc>
          <w:tcPr>
            <w:tcW w:w="10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2"/>
                <w:szCs w:val="12"/>
                <w:b w:val="1"/>
                <w:bCs w:val="1"/>
                <w:color w:val="auto"/>
              </w:rPr>
              <w:t>%</w:t>
            </w: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3"/>
              </w:rPr>
              <w:t>%</w:t>
            </w:r>
          </w:p>
        </w:tc>
        <w:tc>
          <w:tcPr>
            <w:tcW w:w="10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2"/>
                <w:szCs w:val="12"/>
                <w:b w:val="1"/>
                <w:bCs w:val="1"/>
                <w:color w:val="auto"/>
                <w:w w:val="93"/>
              </w:rPr>
              <w:t>%</w:t>
            </w:r>
          </w:p>
        </w:tc>
        <w:tc>
          <w:tcPr>
            <w:tcW w:w="4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3"/>
              </w:rPr>
              <w:t>%</w:t>
            </w:r>
          </w:p>
        </w:tc>
        <w:tc>
          <w:tcPr>
            <w:tcW w:w="1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2"/>
                <w:szCs w:val="12"/>
                <w:b w:val="1"/>
                <w:bCs w:val="1"/>
                <w:color w:val="auto"/>
                <w:w w:val="93"/>
              </w:rPr>
              <w:t>%</w:t>
            </w: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3"/>
              </w:rPr>
              <w:t>%</w:t>
            </w:r>
          </w:p>
        </w:tc>
        <w:tc>
          <w:tcPr>
            <w:tcW w:w="0" w:type="dxa"/>
            <w:vAlign w:val="bottom"/>
          </w:tcPr>
          <w:p>
            <w:pPr>
              <w:spacing w:after="0" w:line="20" w:lineRule="exact"/>
              <w:rPr>
                <w:sz w:val="1"/>
                <w:szCs w:val="1"/>
                <w:color w:val="auto"/>
              </w:rPr>
            </w:pPr>
          </w:p>
        </w:tc>
      </w:tr>
      <w:tr>
        <w:trPr>
          <w:trHeight w:val="164"/>
        </w:trPr>
        <w:tc>
          <w:tcPr>
            <w:tcW w:w="920" w:type="dxa"/>
            <w:vAlign w:val="bottom"/>
            <w:vMerge w:val="continue"/>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89,141</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93,511</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96,056</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69,336</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69,701</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74,162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2.7</w:t>
            </w:r>
          </w:p>
        </w:tc>
        <w:tc>
          <w:tcPr>
            <w:tcW w:w="120" w:type="dxa"/>
            <w:vAlign w:val="bottom"/>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7.8</w:t>
            </w:r>
          </w:p>
        </w:tc>
        <w:tc>
          <w:tcPr>
            <w:tcW w:w="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2"/>
                <w:szCs w:val="12"/>
                <w:b w:val="1"/>
                <w:bCs w:val="1"/>
                <w:color w:val="auto"/>
                <w:w w:val="71"/>
              </w:rPr>
              <w:t>6.4</w:t>
            </w:r>
          </w:p>
        </w:tc>
        <w:tc>
          <w:tcPr>
            <w:tcW w:w="2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7.0</w:t>
            </w:r>
          </w:p>
        </w:tc>
        <w:tc>
          <w:tcPr>
            <w:tcW w:w="140" w:type="dxa"/>
            <w:vAlign w:val="bottom"/>
            <w:vMerge w:val="continue"/>
            <w:shd w:val="clear" w:color="auto" w:fill="CCEEFF"/>
          </w:tcPr>
          <w:p>
            <w:pPr>
              <w:spacing w:after="0"/>
              <w:rPr>
                <w:sz w:val="14"/>
                <w:szCs w:val="14"/>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12,717</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12,095</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12,328</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1.9</w:t>
            </w:r>
          </w:p>
        </w:tc>
        <w:tc>
          <w:tcPr>
            <w:tcW w:w="240" w:type="dxa"/>
            <w:vAlign w:val="bottom"/>
            <w:vMerge w:val="continue"/>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-3.1</w:t>
            </w:r>
          </w:p>
        </w:tc>
        <w:tc>
          <w:tcPr>
            <w:tcW w:w="120" w:type="dxa"/>
            <w:vAlign w:val="bottom"/>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65.6</w:t>
            </w:r>
          </w:p>
        </w:tc>
        <w:tc>
          <w:tcPr>
            <w:tcW w:w="2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34.4</w:t>
            </w:r>
          </w:p>
        </w:tc>
        <w:tc>
          <w:tcPr>
            <w:tcW w:w="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Largest contraction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-123190</wp:posOffset>
            </wp:positionV>
            <wp:extent cx="316865" cy="2247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6865" cy="224790"/>
                    </a:xfrm>
                    <a:prstGeom prst="rect">
                      <a:avLst/>
                    </a:prstGeom>
                    <a:noFill/>
                  </pic:spPr>
                </pic:pic>
              </a:graphicData>
            </a:graphic>
          </wp:anchor>
        </w:drawing>
      </w:r>
    </w:p>
    <w:p>
      <w:pPr>
        <w:ind w:left="780"/>
        <w:spacing w:after="0"/>
        <w:rPr>
          <w:sz w:val="20"/>
          <w:szCs w:val="20"/>
          <w:color w:val="auto"/>
        </w:rPr>
      </w:pPr>
      <w:r>
        <w:rPr>
          <w:rFonts w:ascii="Arial" w:cs="Arial" w:eastAsia="Arial" w:hAnsi="Arial"/>
          <w:sz w:val="18"/>
          <w:szCs w:val="18"/>
          <w:color w:val="auto"/>
        </w:rPr>
        <w:t>Highest growth in volumes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For consolidation purposes, loans generated in FC are converted to LC.</w:t>
      </w:r>
    </w:p>
    <w:p>
      <w:pPr>
        <w:spacing w:after="0" w:line="15" w:lineRule="exact"/>
        <w:rPr>
          <w:sz w:val="20"/>
          <w:szCs w:val="20"/>
          <w:color w:val="auto"/>
        </w:rPr>
      </w:pPr>
    </w:p>
    <w:p>
      <w:pPr>
        <w:ind w:left="260" w:hanging="255"/>
        <w:spacing w:after="0"/>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Structural Portfolio excludes the average daily balances from loans offered through de Reactiva Peru y FAE-Mype Government Programs.</w:t>
      </w:r>
    </w:p>
    <w:p>
      <w:pPr>
        <w:spacing w:after="0" w:line="26" w:lineRule="exact"/>
        <w:rPr>
          <w:rFonts w:ascii="Arial" w:cs="Arial" w:eastAsia="Arial" w:hAnsi="Arial"/>
          <w:sz w:val="16"/>
          <w:szCs w:val="16"/>
          <w:color w:val="auto"/>
        </w:rPr>
      </w:pPr>
    </w:p>
    <w:p>
      <w:pPr>
        <w:ind w:left="260" w:hanging="255"/>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Figures differ from previously reported.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YoY evolution of the dollarization level by Credicorp segment </w:t>
      </w:r>
      <w:r>
        <w:rPr>
          <w:rFonts w:ascii="Arial" w:cs="Arial" w:eastAsia="Arial" w:hAnsi="Arial"/>
          <w:sz w:val="29"/>
          <w:szCs w:val="29"/>
          <w:b w:val="1"/>
          <w:bCs w:val="1"/>
          <w:color w:val="auto"/>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89535</wp:posOffset>
            </wp:positionV>
            <wp:extent cx="6452235" cy="23844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52235" cy="238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60" w:hanging="255"/>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Average daily balances.</w:t>
      </w:r>
    </w:p>
    <w:p>
      <w:pPr>
        <w:spacing w:after="0" w:line="14" w:lineRule="exact"/>
        <w:rPr>
          <w:rFonts w:ascii="Arial" w:cs="Arial" w:eastAsia="Arial" w:hAnsi="Arial"/>
          <w:sz w:val="18"/>
          <w:szCs w:val="18"/>
          <w:color w:val="auto"/>
        </w:rPr>
      </w:pPr>
    </w:p>
    <w:p>
      <w:pPr>
        <w:ind w:firstLine="5"/>
        <w:spacing w:after="0" w:line="243" w:lineRule="auto"/>
        <w:tabs>
          <w:tab w:leader="none" w:pos="25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FC share of Credicorp’s loan portfolio is calculated including BCP Bolivia and ASB, however the chart shows only the loan books of BCP Stand-alone and Mibanco.</w:t>
      </w:r>
    </w:p>
    <w:p>
      <w:pPr>
        <w:ind w:firstLine="5"/>
        <w:spacing w:after="0" w:line="243" w:lineRule="auto"/>
        <w:tabs>
          <w:tab w:leader="none" w:pos="2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year with the historic maximum level of dollarization for Wholesale Banking was 2012, for Mibanco was 2016, for Credit Card was in 2021 and for the rest of segments was</w:t>
      </w:r>
    </w:p>
    <w:p>
      <w:pPr>
        <w:spacing w:after="0"/>
        <w:rPr>
          <w:rFonts w:ascii="Arial" w:cs="Arial" w:eastAsia="Arial" w:hAnsi="Arial"/>
          <w:sz w:val="18"/>
          <w:szCs w:val="18"/>
          <w:color w:val="auto"/>
        </w:rPr>
      </w:pPr>
      <w:r>
        <w:rPr>
          <w:rFonts w:ascii="Arial" w:cs="Arial" w:eastAsia="Arial" w:hAnsi="Arial"/>
          <w:sz w:val="18"/>
          <w:szCs w:val="18"/>
          <w:color w:val="auto"/>
        </w:rPr>
        <w:t>2009.</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Portfolio dollarization levels were pressured upward by the exchange rate effect (depreciation in LC) and by amortizations of government loans. In particular, dollarization in the Credit Card segment increased throughout the pandemic and reached a record high this quarter in a context of diminishing loan balances in LC in this segment.</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9" w:right="339" w:bottom="999"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438785</wp:posOffset>
            </wp:positionV>
            <wp:extent cx="7136130" cy="7444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7444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2. Funding Sources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Funding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13335</wp:posOffset>
            </wp:positionV>
            <wp:extent cx="6252210" cy="24923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52210" cy="249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gridSpan w:val="2"/>
          </w:tcPr>
          <w:p>
            <w:pPr>
              <w:spacing w:after="0"/>
              <w:rPr>
                <w:sz w:val="20"/>
                <w:szCs w:val="20"/>
                <w:color w:val="auto"/>
              </w:rPr>
            </w:pPr>
            <w:r>
              <w:rPr>
                <w:rFonts w:ascii="Arial" w:cs="Arial" w:eastAsia="Arial" w:hAnsi="Arial"/>
                <w:sz w:val="18"/>
                <w:szCs w:val="18"/>
                <w:color w:val="auto"/>
              </w:rPr>
              <w:t>The level of total funding increased +1.4% QoQ. If we control for the</w:t>
            </w:r>
          </w:p>
        </w:tc>
        <w:tc>
          <w:tcPr>
            <w:tcW w:w="5620" w:type="dxa"/>
            <w:vAlign w:val="bottom"/>
          </w:tcPr>
          <w:p>
            <w:pPr>
              <w:ind w:left="340"/>
              <w:spacing w:after="0"/>
              <w:rPr>
                <w:sz w:val="20"/>
                <w:szCs w:val="20"/>
                <w:color w:val="auto"/>
              </w:rPr>
            </w:pPr>
            <w:r>
              <w:rPr>
                <w:rFonts w:ascii="Arial" w:cs="Arial" w:eastAsia="Arial" w:hAnsi="Arial"/>
                <w:sz w:val="18"/>
                <w:szCs w:val="18"/>
                <w:color w:val="auto"/>
                <w:w w:val="96"/>
              </w:rPr>
              <w:t>(iii)  On-going reduction in the share of BCRP Instruments (10.4% vs</w:t>
            </w:r>
          </w:p>
        </w:tc>
        <w:tc>
          <w:tcPr>
            <w:tcW w:w="0" w:type="dxa"/>
            <w:vAlign w:val="bottom"/>
          </w:tcPr>
          <w:p>
            <w:pPr>
              <w:spacing w:after="0"/>
              <w:rPr>
                <w:sz w:val="1"/>
                <w:szCs w:val="1"/>
                <w:color w:val="auto"/>
              </w:rPr>
            </w:pPr>
          </w:p>
        </w:tc>
      </w:tr>
      <w:tr>
        <w:trPr>
          <w:trHeight w:val="210"/>
        </w:trPr>
        <w:tc>
          <w:tcPr>
            <w:tcW w:w="5620" w:type="dxa"/>
            <w:vAlign w:val="bottom"/>
            <w:gridSpan w:val="2"/>
          </w:tcPr>
          <w:p>
            <w:pPr>
              <w:spacing w:after="0"/>
              <w:rPr>
                <w:sz w:val="20"/>
                <w:szCs w:val="20"/>
                <w:color w:val="auto"/>
              </w:rPr>
            </w:pPr>
            <w:r>
              <w:rPr>
                <w:rFonts w:ascii="Arial" w:cs="Arial" w:eastAsia="Arial" w:hAnsi="Arial"/>
                <w:sz w:val="18"/>
                <w:szCs w:val="18"/>
                <w:color w:val="auto"/>
              </w:rPr>
              <w:t>exchange rate effect, the level falls -1.9%. In terms of structure, the</w:t>
            </w:r>
          </w:p>
        </w:tc>
        <w:tc>
          <w:tcPr>
            <w:tcW w:w="5620" w:type="dxa"/>
            <w:vAlign w:val="bottom"/>
          </w:tcPr>
          <w:p>
            <w:pPr>
              <w:ind w:left="780"/>
              <w:spacing w:after="0"/>
              <w:rPr>
                <w:sz w:val="20"/>
                <w:szCs w:val="20"/>
                <w:color w:val="auto"/>
              </w:rPr>
            </w:pPr>
            <w:r>
              <w:rPr>
                <w:rFonts w:ascii="Arial" w:cs="Arial" w:eastAsia="Arial" w:hAnsi="Arial"/>
                <w:sz w:val="18"/>
                <w:szCs w:val="18"/>
                <w:color w:val="auto"/>
                <w:w w:val="97"/>
              </w:rPr>
              <w:t>11.9% in 2Q21). This decrease was driven by amortizations of</w:t>
            </w:r>
          </w:p>
        </w:tc>
        <w:tc>
          <w:tcPr>
            <w:tcW w:w="0" w:type="dxa"/>
            <w:vAlign w:val="bottom"/>
          </w:tcPr>
          <w:p>
            <w:pPr>
              <w:spacing w:after="0"/>
              <w:rPr>
                <w:sz w:val="1"/>
                <w:szCs w:val="1"/>
                <w:color w:val="auto"/>
              </w:rPr>
            </w:pP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color w:val="auto"/>
              </w:rPr>
              <w:t>following dynamics were of interest:</w:t>
            </w:r>
          </w:p>
        </w:tc>
        <w:tc>
          <w:tcPr>
            <w:tcW w:w="5620" w:type="dxa"/>
            <w:vAlign w:val="bottom"/>
          </w:tcPr>
          <w:p>
            <w:pPr>
              <w:ind w:left="780"/>
              <w:spacing w:after="0"/>
              <w:rPr>
                <w:sz w:val="20"/>
                <w:szCs w:val="20"/>
                <w:color w:val="auto"/>
              </w:rPr>
            </w:pPr>
            <w:r>
              <w:rPr>
                <w:rFonts w:ascii="Arial" w:cs="Arial" w:eastAsia="Arial" w:hAnsi="Arial"/>
                <w:sz w:val="18"/>
                <w:szCs w:val="18"/>
                <w:color w:val="auto"/>
                <w:w w:val="97"/>
              </w:rPr>
              <w:t>government program loans at BCP Stand-alone and Mibanco.</w:t>
            </w:r>
          </w:p>
        </w:tc>
        <w:tc>
          <w:tcPr>
            <w:tcW w:w="0" w:type="dxa"/>
            <w:vAlign w:val="bottom"/>
          </w:tcPr>
          <w:p>
            <w:pPr>
              <w:spacing w:after="0"/>
              <w:rPr>
                <w:sz w:val="1"/>
                <w:szCs w:val="1"/>
                <w:color w:val="auto"/>
              </w:rPr>
            </w:pPr>
          </w:p>
        </w:tc>
      </w:tr>
      <w:tr>
        <w:trPr>
          <w:trHeight w:val="408"/>
        </w:trPr>
        <w:tc>
          <w:tcPr>
            <w:tcW w:w="320" w:type="dxa"/>
            <w:vAlign w:val="bottom"/>
          </w:tcPr>
          <w:p>
            <w:pPr>
              <w:spacing w:after="0"/>
              <w:rPr>
                <w:sz w:val="20"/>
                <w:szCs w:val="20"/>
                <w:color w:val="auto"/>
              </w:rPr>
            </w:pPr>
            <w:r>
              <w:rPr>
                <w:rFonts w:ascii="Arial" w:cs="Arial" w:eastAsia="Arial" w:hAnsi="Arial"/>
                <w:sz w:val="18"/>
                <w:szCs w:val="18"/>
                <w:color w:val="auto"/>
              </w:rPr>
              <w:t>(i)</w:t>
            </w:r>
          </w:p>
        </w:tc>
        <w:tc>
          <w:tcPr>
            <w:tcW w:w="5300" w:type="dxa"/>
            <w:vAlign w:val="bottom"/>
          </w:tcPr>
          <w:p>
            <w:pPr>
              <w:ind w:left="120"/>
              <w:spacing w:after="0"/>
              <w:rPr>
                <w:sz w:val="20"/>
                <w:szCs w:val="20"/>
                <w:color w:val="auto"/>
              </w:rPr>
            </w:pPr>
            <w:r>
              <w:rPr>
                <w:rFonts w:ascii="Arial" w:cs="Arial" w:eastAsia="Arial" w:hAnsi="Arial"/>
                <w:sz w:val="18"/>
                <w:szCs w:val="18"/>
                <w:color w:val="auto"/>
                <w:w w:val="98"/>
              </w:rPr>
              <w:t xml:space="preserve">On-going growth in the share of </w:t>
            </w:r>
            <w:r>
              <w:rPr>
                <w:rFonts w:ascii="Arial" w:cs="Arial" w:eastAsia="Arial" w:hAnsi="Arial"/>
                <w:sz w:val="18"/>
                <w:szCs w:val="18"/>
                <w:b w:val="1"/>
                <w:bCs w:val="1"/>
                <w:color w:val="auto"/>
                <w:w w:val="98"/>
              </w:rPr>
              <w:t>Deposits</w:t>
            </w:r>
            <w:r>
              <w:rPr>
                <w:rFonts w:ascii="Arial" w:cs="Arial" w:eastAsia="Arial" w:hAnsi="Arial"/>
                <w:sz w:val="18"/>
                <w:szCs w:val="18"/>
                <w:color w:val="auto"/>
                <w:w w:val="98"/>
              </w:rPr>
              <w:t xml:space="preserve"> in the funding structure</w:t>
            </w:r>
          </w:p>
        </w:tc>
        <w:tc>
          <w:tcPr>
            <w:tcW w:w="5620" w:type="dxa"/>
            <w:vAlign w:val="bottom"/>
          </w:tcPr>
          <w:p>
            <w:pPr>
              <w:ind w:left="780"/>
              <w:spacing w:after="0"/>
              <w:rPr>
                <w:sz w:val="20"/>
                <w:szCs w:val="20"/>
                <w:color w:val="auto"/>
              </w:rPr>
            </w:pPr>
            <w:r>
              <w:rPr>
                <w:rFonts w:ascii="Arial" w:cs="Arial" w:eastAsia="Arial" w:hAnsi="Arial"/>
                <w:sz w:val="18"/>
                <w:szCs w:val="18"/>
                <w:color w:val="auto"/>
                <w:w w:val="90"/>
              </w:rPr>
              <w:t>In the YoY analysis, total funding increased +6.9%. If we control for</w:t>
            </w:r>
          </w:p>
        </w:tc>
        <w:tc>
          <w:tcPr>
            <w:tcW w:w="0" w:type="dxa"/>
            <w:vAlign w:val="bottom"/>
          </w:tcPr>
          <w:p>
            <w:pPr>
              <w:spacing w:after="0"/>
              <w:rPr>
                <w:sz w:val="1"/>
                <w:szCs w:val="1"/>
                <w:color w:val="auto"/>
              </w:rPr>
            </w:pPr>
          </w:p>
        </w:tc>
      </w:tr>
      <w:tr>
        <w:trPr>
          <w:trHeight w:val="204"/>
        </w:trPr>
        <w:tc>
          <w:tcPr>
            <w:tcW w:w="320" w:type="dxa"/>
            <w:vAlign w:val="bottom"/>
          </w:tcPr>
          <w:p>
            <w:pPr>
              <w:spacing w:after="0"/>
              <w:rPr>
                <w:sz w:val="17"/>
                <w:szCs w:val="17"/>
                <w:color w:val="auto"/>
              </w:rPr>
            </w:pPr>
          </w:p>
        </w:tc>
        <w:tc>
          <w:tcPr>
            <w:tcW w:w="5300" w:type="dxa"/>
            <w:vAlign w:val="bottom"/>
          </w:tcPr>
          <w:p>
            <w:pPr>
              <w:ind w:left="120"/>
              <w:spacing w:after="0" w:line="204" w:lineRule="exact"/>
              <w:rPr>
                <w:sz w:val="20"/>
                <w:szCs w:val="20"/>
                <w:color w:val="auto"/>
              </w:rPr>
            </w:pPr>
            <w:r>
              <w:rPr>
                <w:rFonts w:ascii="Arial" w:cs="Arial" w:eastAsia="Arial" w:hAnsi="Arial"/>
                <w:sz w:val="18"/>
                <w:szCs w:val="18"/>
                <w:color w:val="auto"/>
              </w:rPr>
              <w:t>(76.4% vs 75.7% in 2Q21); this level is close to that seen pre-</w:t>
            </w:r>
          </w:p>
        </w:tc>
        <w:tc>
          <w:tcPr>
            <w:tcW w:w="5620" w:type="dxa"/>
            <w:vAlign w:val="bottom"/>
          </w:tcPr>
          <w:p>
            <w:pPr>
              <w:ind w:left="780"/>
              <w:spacing w:after="0" w:line="204" w:lineRule="exact"/>
              <w:rPr>
                <w:sz w:val="20"/>
                <w:szCs w:val="20"/>
                <w:color w:val="auto"/>
              </w:rPr>
            </w:pPr>
            <w:r>
              <w:rPr>
                <w:rFonts w:ascii="Arial" w:cs="Arial" w:eastAsia="Arial" w:hAnsi="Arial"/>
                <w:sz w:val="18"/>
                <w:szCs w:val="18"/>
                <w:color w:val="auto"/>
                <w:w w:val="91"/>
              </w:rPr>
              <w:t>the exchange rate effect, the level increases +0.2%. Growth in the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pandemic. Growth in LC deposits and the depreciation of the Sol</w:t>
            </w:r>
          </w:p>
        </w:tc>
        <w:tc>
          <w:tcPr>
            <w:tcW w:w="5620" w:type="dxa"/>
            <w:vAlign w:val="bottom"/>
          </w:tcPr>
          <w:p>
            <w:pPr>
              <w:ind w:left="780"/>
              <w:spacing w:after="0"/>
              <w:rPr>
                <w:sz w:val="20"/>
                <w:szCs w:val="20"/>
                <w:color w:val="auto"/>
              </w:rPr>
            </w:pPr>
            <w:r>
              <w:rPr>
                <w:rFonts w:ascii="Arial" w:cs="Arial" w:eastAsia="Arial" w:hAnsi="Arial"/>
                <w:sz w:val="18"/>
                <w:szCs w:val="18"/>
                <w:color w:val="auto"/>
                <w:w w:val="98"/>
              </w:rPr>
              <w:t xml:space="preserve">share of </w:t>
            </w:r>
            <w:r>
              <w:rPr>
                <w:rFonts w:ascii="Arial" w:cs="Arial" w:eastAsia="Arial" w:hAnsi="Arial"/>
                <w:sz w:val="18"/>
                <w:szCs w:val="18"/>
                <w:b w:val="1"/>
                <w:bCs w:val="1"/>
                <w:color w:val="auto"/>
                <w:w w:val="98"/>
              </w:rPr>
              <w:t>deposits</w:t>
            </w:r>
            <w:r>
              <w:rPr>
                <w:rFonts w:ascii="Arial" w:cs="Arial" w:eastAsia="Arial" w:hAnsi="Arial"/>
                <w:sz w:val="18"/>
                <w:szCs w:val="18"/>
                <w:color w:val="auto"/>
                <w:w w:val="98"/>
              </w:rPr>
              <w:t xml:space="preserve"> (76.4% vs 73.5%), which was driven by an</w:t>
            </w:r>
          </w:p>
        </w:tc>
        <w:tc>
          <w:tcPr>
            <w:tcW w:w="0" w:type="dxa"/>
            <w:vAlign w:val="bottom"/>
          </w:tcPr>
          <w:p>
            <w:pPr>
              <w:spacing w:after="0"/>
              <w:rPr>
                <w:sz w:val="1"/>
                <w:szCs w:val="1"/>
                <w:color w:val="auto"/>
              </w:rPr>
            </w:pPr>
          </w:p>
        </w:tc>
      </w:tr>
      <w:tr>
        <w:trPr>
          <w:trHeight w:val="204"/>
        </w:trPr>
        <w:tc>
          <w:tcPr>
            <w:tcW w:w="320" w:type="dxa"/>
            <w:vAlign w:val="bottom"/>
          </w:tcPr>
          <w:p>
            <w:pPr>
              <w:spacing w:after="0"/>
              <w:rPr>
                <w:sz w:val="17"/>
                <w:szCs w:val="17"/>
                <w:color w:val="auto"/>
              </w:rPr>
            </w:pPr>
          </w:p>
        </w:tc>
        <w:tc>
          <w:tcPr>
            <w:tcW w:w="5300" w:type="dxa"/>
            <w:vAlign w:val="bottom"/>
          </w:tcPr>
          <w:p>
            <w:pPr>
              <w:ind w:left="120"/>
              <w:spacing w:after="0" w:line="204" w:lineRule="exact"/>
              <w:rPr>
                <w:sz w:val="20"/>
                <w:szCs w:val="20"/>
                <w:color w:val="auto"/>
              </w:rPr>
            </w:pPr>
            <w:r>
              <w:rPr>
                <w:rFonts w:ascii="Arial" w:cs="Arial" w:eastAsia="Arial" w:hAnsi="Arial"/>
                <w:sz w:val="18"/>
                <w:szCs w:val="18"/>
                <w:color w:val="auto"/>
              </w:rPr>
              <w:t>contributed to this result.</w:t>
            </w:r>
          </w:p>
        </w:tc>
        <w:tc>
          <w:tcPr>
            <w:tcW w:w="5620" w:type="dxa"/>
            <w:vAlign w:val="bottom"/>
          </w:tcPr>
          <w:p>
            <w:pPr>
              <w:ind w:left="780"/>
              <w:spacing w:after="0" w:line="204" w:lineRule="exact"/>
              <w:rPr>
                <w:sz w:val="20"/>
                <w:szCs w:val="20"/>
                <w:color w:val="auto"/>
              </w:rPr>
            </w:pPr>
            <w:r>
              <w:rPr>
                <w:rFonts w:ascii="Arial" w:cs="Arial" w:eastAsia="Arial" w:hAnsi="Arial"/>
                <w:sz w:val="18"/>
                <w:szCs w:val="18"/>
                <w:color w:val="auto"/>
                <w:w w:val="96"/>
              </w:rPr>
              <w:t>increase  in  personal  liquidity  via  government  facilities,  was</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300" w:type="dxa"/>
            <w:vAlign w:val="bottom"/>
            <w:vMerge w:val="restart"/>
          </w:tcPr>
          <w:p>
            <w:pPr>
              <w:ind w:left="120"/>
              <w:spacing w:after="0"/>
              <w:rPr>
                <w:sz w:val="20"/>
                <w:szCs w:val="20"/>
                <w:color w:val="auto"/>
              </w:rPr>
            </w:pPr>
            <w:r>
              <w:rPr>
                <w:rFonts w:ascii="Arial" w:cs="Arial" w:eastAsia="Arial" w:hAnsi="Arial"/>
                <w:sz w:val="18"/>
                <w:szCs w:val="18"/>
                <w:color w:val="auto"/>
                <w:w w:val="98"/>
              </w:rPr>
              <w:t xml:space="preserve">The increase in the share of </w:t>
            </w:r>
            <w:r>
              <w:rPr>
                <w:rFonts w:ascii="Arial" w:cs="Arial" w:eastAsia="Arial" w:hAnsi="Arial"/>
                <w:sz w:val="18"/>
                <w:szCs w:val="18"/>
                <w:b w:val="1"/>
                <w:bCs w:val="1"/>
                <w:color w:val="auto"/>
                <w:w w:val="98"/>
              </w:rPr>
              <w:t>Due to banks and correspondents</w:t>
            </w:r>
            <w:r>
              <w:rPr>
                <w:rFonts w:ascii="Arial" w:cs="Arial" w:eastAsia="Arial" w:hAnsi="Arial"/>
                <w:sz w:val="18"/>
                <w:szCs w:val="18"/>
                <w:color w:val="auto"/>
                <w:w w:val="98"/>
              </w:rPr>
              <w:t>,</w:t>
            </w:r>
          </w:p>
        </w:tc>
        <w:tc>
          <w:tcPr>
            <w:tcW w:w="5620" w:type="dxa"/>
            <w:vAlign w:val="bottom"/>
          </w:tcPr>
          <w:p>
            <w:pPr>
              <w:ind w:left="780"/>
              <w:spacing w:after="0"/>
              <w:rPr>
                <w:sz w:val="20"/>
                <w:szCs w:val="20"/>
                <w:color w:val="auto"/>
              </w:rPr>
            </w:pPr>
            <w:r>
              <w:rPr>
                <w:rFonts w:ascii="Arial" w:cs="Arial" w:eastAsia="Arial" w:hAnsi="Arial"/>
                <w:sz w:val="18"/>
                <w:szCs w:val="18"/>
                <w:color w:val="auto"/>
              </w:rPr>
              <w:t xml:space="preserve">noteworthy. This was offset by a drop in </w:t>
            </w:r>
            <w:r>
              <w:rPr>
                <w:rFonts w:ascii="Arial" w:cs="Arial" w:eastAsia="Arial" w:hAnsi="Arial"/>
                <w:sz w:val="18"/>
                <w:szCs w:val="18"/>
                <w:b w:val="1"/>
                <w:bCs w:val="1"/>
                <w:color w:val="auto"/>
              </w:rPr>
              <w:t>BCRP Instruments</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20"/>
                <w:szCs w:val="20"/>
                <w:color w:val="auto"/>
              </w:rPr>
            </w:pPr>
            <w:r>
              <w:rPr>
                <w:rFonts w:ascii="Arial" w:cs="Arial" w:eastAsia="Arial" w:hAnsi="Arial"/>
                <w:sz w:val="18"/>
                <w:szCs w:val="18"/>
                <w:color w:val="auto"/>
              </w:rPr>
              <w:t>(ii)</w:t>
            </w:r>
          </w:p>
        </w:tc>
        <w:tc>
          <w:tcPr>
            <w:tcW w:w="5300" w:type="dxa"/>
            <w:vAlign w:val="bottom"/>
            <w:vMerge w:val="continue"/>
          </w:tcPr>
          <w:p>
            <w:pPr>
              <w:spacing w:after="0"/>
              <w:rPr>
                <w:sz w:val="18"/>
                <w:szCs w:val="18"/>
                <w:color w:val="auto"/>
              </w:rPr>
            </w:pPr>
          </w:p>
        </w:tc>
        <w:tc>
          <w:tcPr>
            <w:tcW w:w="5620" w:type="dxa"/>
            <w:vAlign w:val="bottom"/>
          </w:tcPr>
          <w:p>
            <w:pPr>
              <w:ind w:left="780"/>
              <w:spacing w:after="0"/>
              <w:rPr>
                <w:sz w:val="20"/>
                <w:szCs w:val="20"/>
                <w:color w:val="auto"/>
              </w:rPr>
            </w:pPr>
            <w:r>
              <w:rPr>
                <w:rFonts w:ascii="Arial" w:cs="Arial" w:eastAsia="Arial" w:hAnsi="Arial"/>
                <w:sz w:val="18"/>
                <w:szCs w:val="18"/>
                <w:color w:val="auto"/>
                <w:w w:val="97"/>
              </w:rPr>
              <w:t>(10.4% vs  13.6%), which was attributable to  amortizations  of</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which rose from 3.2% in 2Q21 to 3.7% in 3Q21. This growth was</w:t>
            </w:r>
          </w:p>
        </w:tc>
        <w:tc>
          <w:tcPr>
            <w:tcW w:w="5620" w:type="dxa"/>
            <w:vAlign w:val="bottom"/>
          </w:tcPr>
          <w:p>
            <w:pPr>
              <w:ind w:left="780"/>
              <w:spacing w:after="0"/>
              <w:rPr>
                <w:sz w:val="20"/>
                <w:szCs w:val="20"/>
                <w:color w:val="auto"/>
              </w:rPr>
            </w:pPr>
            <w:r>
              <w:rPr>
                <w:rFonts w:ascii="Arial" w:cs="Arial" w:eastAsia="Arial" w:hAnsi="Arial"/>
                <w:sz w:val="18"/>
                <w:szCs w:val="18"/>
                <w:color w:val="auto"/>
              </w:rPr>
              <w:t>government program loans.</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w w:val="96"/>
              </w:rPr>
              <w:t>primarily attributable to new debt obligations at BCP Stand-alone to</w:t>
            </w: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offset outflows of funds from deposits to foreign accounts.</w:t>
            </w:r>
          </w:p>
        </w:tc>
        <w:tc>
          <w:tcPr>
            <w:tcW w:w="5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2.2. Deposits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33"/>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Deposits</w:t>
            </w: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As of</w:t>
            </w:r>
          </w:p>
        </w:tc>
        <w:tc>
          <w:tcPr>
            <w:tcW w:w="12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w w:val="99"/>
              </w:rPr>
              <w:t>% change</w:t>
            </w: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7"/>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Sep 20</w:t>
            </w:r>
          </w:p>
        </w:tc>
        <w:tc>
          <w:tcPr>
            <w:tcW w:w="2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Jun 21</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Sep 21</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w w:val="97"/>
              </w:rPr>
              <w:t>QoQ</w:t>
            </w:r>
          </w:p>
        </w:tc>
        <w:tc>
          <w:tcPr>
            <w:tcW w:w="38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EEFF"/>
            </w:tcBorders>
          </w:tcPr>
          <w:p>
            <w:pPr>
              <w:spacing w:after="0"/>
              <w:rPr>
                <w:sz w:val="18"/>
                <w:szCs w:val="18"/>
                <w:color w:val="auto"/>
              </w:rPr>
            </w:pPr>
          </w:p>
        </w:tc>
      </w:tr>
      <w:tr>
        <w:trPr>
          <w:trHeight w:val="203"/>
        </w:trPr>
        <w:tc>
          <w:tcPr>
            <w:tcW w:w="39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Demand deposits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53,574,151</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59,998,764</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61,112,084</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14.1%</w:t>
            </w:r>
          </w:p>
        </w:tc>
      </w:tr>
      <w:tr>
        <w:trPr>
          <w:trHeight w:val="210"/>
        </w:trPr>
        <w:tc>
          <w:tcPr>
            <w:tcW w:w="4040" w:type="dxa"/>
            <w:vAlign w:val="bottom"/>
            <w:gridSpan w:val="2"/>
          </w:tcPr>
          <w:p>
            <w:pPr>
              <w:spacing w:after="0"/>
              <w:rPr>
                <w:sz w:val="20"/>
                <w:szCs w:val="20"/>
                <w:color w:val="auto"/>
              </w:rPr>
            </w:pPr>
            <w:r>
              <w:rPr>
                <w:rFonts w:ascii="Arial" w:cs="Arial" w:eastAsia="Arial" w:hAnsi="Arial"/>
                <w:sz w:val="18"/>
                <w:szCs w:val="18"/>
                <w:color w:val="auto"/>
              </w:rPr>
              <w:t>Saving deposits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45,999,882</w:t>
            </w:r>
          </w:p>
        </w:tc>
        <w:tc>
          <w:tcPr>
            <w:tcW w:w="1440" w:type="dxa"/>
            <w:vAlign w:val="bottom"/>
            <w:gridSpan w:val="2"/>
          </w:tcPr>
          <w:p>
            <w:pPr>
              <w:ind w:left="440"/>
              <w:spacing w:after="0"/>
              <w:rPr>
                <w:sz w:val="20"/>
                <w:szCs w:val="20"/>
                <w:color w:val="auto"/>
              </w:rPr>
            </w:pPr>
            <w:r>
              <w:rPr>
                <w:rFonts w:ascii="Arial" w:cs="Arial" w:eastAsia="Arial" w:hAnsi="Arial"/>
                <w:sz w:val="18"/>
                <w:szCs w:val="18"/>
                <w:color w:val="auto"/>
              </w:rPr>
              <w:t>52,687,270</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54,365,781</w:t>
            </w:r>
          </w:p>
        </w:tc>
        <w:tc>
          <w:tcPr>
            <w:tcW w:w="840" w:type="dxa"/>
            <w:vAlign w:val="bottom"/>
          </w:tcPr>
          <w:p>
            <w:pPr>
              <w:spacing w:after="0"/>
              <w:rPr>
                <w:sz w:val="18"/>
                <w:szCs w:val="18"/>
                <w:color w:val="auto"/>
              </w:rPr>
            </w:pPr>
          </w:p>
        </w:tc>
        <w:tc>
          <w:tcPr>
            <w:tcW w:w="680" w:type="dxa"/>
            <w:vAlign w:val="bottom"/>
            <w:gridSpan w:val="2"/>
          </w:tcPr>
          <w:p>
            <w:pPr>
              <w:jc w:val="right"/>
              <w:ind w:right="52"/>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18.2%</w:t>
            </w:r>
          </w:p>
        </w:tc>
      </w:tr>
      <w:tr>
        <w:trPr>
          <w:trHeight w:val="21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29,785,440</w:t>
            </w:r>
          </w:p>
        </w:tc>
        <w:tc>
          <w:tcPr>
            <w:tcW w:w="1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30,302,103</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31,601,351</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0"/>
        </w:trPr>
        <w:tc>
          <w:tcPr>
            <w:tcW w:w="4040" w:type="dxa"/>
            <w:vAlign w:val="bottom"/>
            <w:gridSpan w:val="2"/>
          </w:tcPr>
          <w:p>
            <w:pPr>
              <w:spacing w:after="0"/>
              <w:rPr>
                <w:sz w:val="20"/>
                <w:szCs w:val="20"/>
                <w:color w:val="auto"/>
              </w:rPr>
            </w:pPr>
            <w:r>
              <w:rPr>
                <w:rFonts w:ascii="Arial" w:cs="Arial" w:eastAsia="Arial" w:hAnsi="Arial"/>
                <w:sz w:val="18"/>
                <w:szCs w:val="18"/>
                <w:color w:val="auto"/>
              </w:rPr>
              <w:t>Severance indemnity deposits</w:t>
            </w:r>
          </w:p>
        </w:tc>
        <w:tc>
          <w:tcPr>
            <w:tcW w:w="1220" w:type="dxa"/>
            <w:vAlign w:val="bottom"/>
          </w:tcPr>
          <w:p>
            <w:pPr>
              <w:jc w:val="right"/>
              <w:spacing w:after="0"/>
              <w:rPr>
                <w:sz w:val="20"/>
                <w:szCs w:val="20"/>
                <w:color w:val="auto"/>
              </w:rPr>
            </w:pPr>
            <w:r>
              <w:rPr>
                <w:rFonts w:ascii="Arial" w:cs="Arial" w:eastAsia="Arial" w:hAnsi="Arial"/>
                <w:sz w:val="18"/>
                <w:szCs w:val="18"/>
                <w:color w:val="auto"/>
              </w:rPr>
              <w:t>7,127,617</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5,456,510</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4,681,224</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52"/>
              <w:spacing w:after="0"/>
              <w:rPr>
                <w:sz w:val="20"/>
                <w:szCs w:val="20"/>
                <w:color w:val="auto"/>
              </w:rPr>
            </w:pPr>
            <w:r>
              <w:rPr>
                <w:rFonts w:ascii="Arial" w:cs="Arial" w:eastAsia="Arial" w:hAnsi="Arial"/>
                <w:sz w:val="18"/>
                <w:szCs w:val="18"/>
                <w:color w:val="auto"/>
                <w:w w:val="91"/>
              </w:rPr>
              <w:t>-14.2%</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-34.3%</w:t>
            </w:r>
          </w:p>
        </w:tc>
      </w:tr>
      <w:tr>
        <w:trPr>
          <w:trHeight w:val="223"/>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715,584</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717,156</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787,928</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9.9%</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03"/>
        </w:trPr>
        <w:tc>
          <w:tcPr>
            <w:tcW w:w="404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Total Deposits</w:t>
            </w:r>
          </w:p>
        </w:tc>
        <w:tc>
          <w:tcPr>
            <w:tcW w:w="1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137,202,674</w:t>
            </w:r>
          </w:p>
        </w:tc>
        <w:tc>
          <w:tcPr>
            <w:tcW w:w="200" w:type="dxa"/>
            <w:vAlign w:val="bottom"/>
          </w:tcPr>
          <w:p>
            <w:pPr>
              <w:spacing w:after="0"/>
              <w:rPr>
                <w:sz w:val="17"/>
                <w:szCs w:val="17"/>
                <w:color w:val="auto"/>
              </w:rPr>
            </w:pPr>
          </w:p>
        </w:tc>
        <w:tc>
          <w:tcPr>
            <w:tcW w:w="1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149,161,803</w:t>
            </w:r>
          </w:p>
        </w:tc>
        <w:tc>
          <w:tcPr>
            <w:tcW w:w="220" w:type="dxa"/>
            <w:vAlign w:val="bottom"/>
          </w:tcPr>
          <w:p>
            <w:pPr>
              <w:spacing w:after="0"/>
              <w:rPr>
                <w:sz w:val="17"/>
                <w:szCs w:val="17"/>
                <w:color w:val="auto"/>
              </w:rPr>
            </w:pPr>
          </w:p>
        </w:tc>
        <w:tc>
          <w:tcPr>
            <w:tcW w:w="1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152,548,368</w:t>
            </w: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ind w:left="180"/>
              <w:spacing w:after="0" w:line="203" w:lineRule="exact"/>
              <w:rPr>
                <w:sz w:val="20"/>
                <w:szCs w:val="20"/>
                <w:color w:val="auto"/>
              </w:rPr>
            </w:pPr>
            <w:r>
              <w:rPr>
                <w:rFonts w:ascii="Arial" w:cs="Arial" w:eastAsia="Arial" w:hAnsi="Arial"/>
                <w:sz w:val="18"/>
                <w:szCs w:val="18"/>
                <w:b w:val="1"/>
                <w:bCs w:val="1"/>
                <w:color w:val="auto"/>
                <w:w w:val="71"/>
              </w:rPr>
              <w:t>2.3</w:t>
            </w:r>
          </w:p>
        </w:tc>
        <w:tc>
          <w:tcPr>
            <w:tcW w:w="300" w:type="dxa"/>
            <w:vAlign w:val="bottom"/>
          </w:tcPr>
          <w:p>
            <w:pPr>
              <w:jc w:val="right"/>
              <w:ind w:right="32"/>
              <w:spacing w:after="0" w:line="203" w:lineRule="exact"/>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11.2</w:t>
            </w:r>
          </w:p>
        </w:tc>
        <w:tc>
          <w:tcPr>
            <w:tcW w:w="1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w w:val="87"/>
              </w:rPr>
              <w:t>%</w:t>
            </w: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color w:val="auto"/>
        </w:rPr>
        <w:t xml:space="preserve">Deposits </w:t>
      </w:r>
      <w:r>
        <w:rPr>
          <w:rFonts w:ascii="Arial" w:cs="Arial" w:eastAsia="Arial" w:hAnsi="Arial"/>
          <w:sz w:val="18"/>
          <w:szCs w:val="18"/>
          <w:color w:val="auto"/>
        </w:rPr>
        <w:t>expanded +2.3% QoQ. Notwithstanding, if we control for the exchange rate, we observe a contraction of -1.2%. The main drivers of these movements</w:t>
      </w:r>
      <w:r>
        <w:rPr>
          <w:rFonts w:ascii="Arial" w:cs="Arial" w:eastAsia="Arial" w:hAnsi="Arial"/>
          <w:sz w:val="18"/>
          <w:szCs w:val="18"/>
          <w:b w:val="1"/>
          <w:bCs w:val="1"/>
          <w:color w:val="auto"/>
        </w:rPr>
        <w:t xml:space="preserve"> </w:t>
      </w:r>
      <w:r>
        <w:rPr>
          <w:rFonts w:ascii="Arial" w:cs="Arial" w:eastAsia="Arial" w:hAnsi="Arial"/>
          <w:sz w:val="18"/>
          <w:szCs w:val="18"/>
          <w:color w:val="auto"/>
        </w:rPr>
        <w:t>were:</w:t>
      </w:r>
    </w:p>
    <w:p>
      <w:pPr>
        <w:spacing w:after="0" w:line="170" w:lineRule="exact"/>
        <w:rPr>
          <w:sz w:val="20"/>
          <w:szCs w:val="20"/>
          <w:color w:val="auto"/>
        </w:rPr>
      </w:pPr>
    </w:p>
    <w:p>
      <w:pPr>
        <w:jc w:val="both"/>
        <w:ind w:left="640" w:hanging="320"/>
        <w:spacing w:after="0" w:line="255"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savings deposits</w:t>
      </w:r>
      <w:r>
        <w:rPr>
          <w:rFonts w:ascii="Arial" w:cs="Arial" w:eastAsia="Arial" w:hAnsi="Arial"/>
          <w:sz w:val="18"/>
          <w:szCs w:val="18"/>
          <w:color w:val="auto"/>
        </w:rPr>
        <w:t>, which expanded +3.2% QoQ (0.2% controlling for the exchange rate). This expansion primarily reflects an uptick in deposits in LC (after bi-yearly bonuses were paid) and a depreciation in the exchange rate. These effects offset the drop in FC deposits (expressed in US Dollars), which were affected by fund transfers abroad.</w:t>
      </w:r>
    </w:p>
    <w:p>
      <w:pPr>
        <w:spacing w:after="0" w:line="180" w:lineRule="exact"/>
        <w:rPr>
          <w:rFonts w:ascii="Arial" w:cs="Arial" w:eastAsia="Arial" w:hAnsi="Arial"/>
          <w:sz w:val="18"/>
          <w:szCs w:val="18"/>
          <w:color w:val="auto"/>
        </w:rPr>
      </w:pPr>
    </w:p>
    <w:p>
      <w:pPr>
        <w:ind w:left="640" w:hanging="320"/>
        <w:spacing w:after="0" w:line="26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time deposits</w:t>
      </w:r>
      <w:r>
        <w:rPr>
          <w:rFonts w:ascii="Arial" w:cs="Arial" w:eastAsia="Arial" w:hAnsi="Arial"/>
          <w:sz w:val="18"/>
          <w:szCs w:val="18"/>
          <w:color w:val="auto"/>
        </w:rPr>
        <w:t xml:space="preserve"> of +4.3% (0.4% controlling for the exchange rate), which was driven by a depreciation in local currency and by growth in the deposits in FC (expressed in US Dollars). These effects offset the decrease in time deposits in LC.</w:t>
      </w:r>
    </w:p>
    <w:p>
      <w:pPr>
        <w:spacing w:after="0" w:line="169" w:lineRule="exact"/>
        <w:rPr>
          <w:rFonts w:ascii="Arial" w:cs="Arial" w:eastAsia="Arial" w:hAnsi="Arial"/>
          <w:sz w:val="18"/>
          <w:szCs w:val="18"/>
          <w:color w:val="auto"/>
        </w:rPr>
      </w:pPr>
    </w:p>
    <w:p>
      <w:pPr>
        <w:ind w:left="640" w:hanging="320"/>
        <w:spacing w:after="0" w:line="331"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The increase in </w:t>
      </w:r>
      <w:r>
        <w:rPr>
          <w:rFonts w:ascii="Arial" w:cs="Arial" w:eastAsia="Arial" w:hAnsi="Arial"/>
          <w:sz w:val="16"/>
          <w:szCs w:val="16"/>
          <w:b w:val="1"/>
          <w:bCs w:val="1"/>
          <w:color w:val="auto"/>
        </w:rPr>
        <w:t>demand deposits,</w:t>
      </w:r>
      <w:r>
        <w:rPr>
          <w:rFonts w:ascii="Arial" w:cs="Arial" w:eastAsia="Arial" w:hAnsi="Arial"/>
          <w:sz w:val="16"/>
          <w:szCs w:val="16"/>
          <w:color w:val="auto"/>
        </w:rPr>
        <w:t xml:space="preserve"> which grew +1.9% (-1.9% controlling for the exchange rate). The depreciation of the Sol and the increase in LC balances associated with withdrawals from pension funds largely offset the drop in FC balances (expressed in US Dollars).</w:t>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8" w:name="page19"/>
    <w:bookmarkEnd w:id="18"/>
    <w:p>
      <w:pPr>
        <w:ind w:left="680" w:hanging="439"/>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 significant drop in </w:t>
      </w:r>
      <w:r>
        <w:rPr>
          <w:rFonts w:ascii="Arial" w:cs="Arial" w:eastAsia="Arial" w:hAnsi="Arial"/>
          <w:sz w:val="18"/>
          <w:szCs w:val="18"/>
          <w:b w:val="1"/>
          <w:bCs w:val="1"/>
          <w:color w:val="auto"/>
        </w:rPr>
        <w:t>Severance Indemnity Deposits</w:t>
      </w:r>
      <w:r>
        <w:rPr>
          <w:rFonts w:ascii="Arial" w:cs="Arial" w:eastAsia="Arial" w:hAnsi="Arial"/>
          <w:sz w:val="18"/>
          <w:szCs w:val="18"/>
          <w:color w:val="auto"/>
        </w:rPr>
        <w:t>, after funds were freed up for withdrawal.</w:t>
      </w:r>
    </w:p>
    <w:p>
      <w:pPr>
        <w:spacing w:after="0" w:line="2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YoY terms, total deposits grew +11.2% (+3.9% controlling for the exchange rate). The increase was primarily driven by savings and demand deposits and was attributable to: (i) depreciation in the sol; and (ii) facilities to draw down funds from Pension funds and Severance Indemnity accounts, which clients subsequently transferred to low-cost bank accounts.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2.2.1. Deposits: Dollarization Level</w:t>
      </w:r>
    </w:p>
    <w:p>
      <w:pPr>
        <w:spacing w:after="0" w:line="213"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Total Deposits by Currency</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(measured in quarter-end balances)</w:t>
      </w:r>
    </w:p>
    <w:p>
      <w:pPr>
        <w:spacing w:after="0" w:line="3" w:lineRule="exact"/>
        <w:rPr>
          <w:sz w:val="20"/>
          <w:szCs w:val="20"/>
          <w:color w:val="auto"/>
        </w:rPr>
      </w:pPr>
    </w:p>
    <w:p>
      <w:pPr>
        <w:jc w:val="both"/>
        <w:ind w:left="4720"/>
        <w:spacing w:after="0" w:line="285" w:lineRule="auto"/>
        <w:rPr>
          <w:sz w:val="20"/>
          <w:szCs w:val="20"/>
          <w:color w:val="auto"/>
        </w:rPr>
      </w:pPr>
      <w:r>
        <w:rPr>
          <w:rFonts w:ascii="Arial" w:cs="Arial" w:eastAsia="Arial" w:hAnsi="Arial"/>
          <w:sz w:val="16"/>
          <w:szCs w:val="16"/>
          <w:color w:val="auto"/>
        </w:rPr>
        <w:t>The share of FC deposits within total deposits rose from 50.2% in 2Q21 to 50.7% in 3Q21. This increase was attributable to the exchange rate effect and amply offset the decrease in time deposits in foreign currency expressed in US Dollars. Had the exchange rate remained constant, dollarization would have fallen to 49.0%.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2917825" cy="14674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17825" cy="1467485"/>
                    </a:xfrm>
                    <a:prstGeom prst="rect">
                      <a:avLst/>
                    </a:prstGeom>
                    <a:noFill/>
                  </pic:spPr>
                </pic:pic>
              </a:graphicData>
            </a:graphic>
          </wp:anchor>
        </w:drawing>
      </w:r>
    </w:p>
    <w:p>
      <w:pPr>
        <w:spacing w:after="0" w:line="144" w:lineRule="exact"/>
        <w:rPr>
          <w:sz w:val="20"/>
          <w:szCs w:val="20"/>
          <w:color w:val="auto"/>
        </w:rPr>
      </w:pPr>
    </w:p>
    <w:p>
      <w:pPr>
        <w:jc w:val="both"/>
        <w:ind w:left="4720"/>
        <w:spacing w:after="0" w:line="323" w:lineRule="auto"/>
        <w:rPr>
          <w:sz w:val="20"/>
          <w:szCs w:val="20"/>
          <w:color w:val="auto"/>
        </w:rPr>
      </w:pPr>
      <w:r>
        <w:rPr>
          <w:rFonts w:ascii="Arial" w:cs="Arial" w:eastAsia="Arial" w:hAnsi="Arial"/>
          <w:sz w:val="16"/>
          <w:szCs w:val="16"/>
          <w:color w:val="auto"/>
        </w:rPr>
        <w:t>In the YoY analysis, the dollarization level increased, driven by the 14.9% depreciation in the Sol. If we exclude this effect, dollarization stands at 47.2% in FC.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Deposits by type and currency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(measured in quarter-end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2.3. Other sources of funding</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3"/>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Other funding sources</w:t>
            </w: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As of</w:t>
            </w:r>
          </w:p>
        </w:tc>
        <w:tc>
          <w:tcPr>
            <w:tcW w:w="12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w w:val="99"/>
              </w:rPr>
              <w:t>% change</w:t>
            </w:r>
          </w:p>
        </w:tc>
        <w:tc>
          <w:tcPr>
            <w:tcW w:w="8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Sep 20</w:t>
            </w:r>
          </w:p>
        </w:tc>
        <w:tc>
          <w:tcPr>
            <w:tcW w:w="2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Jun 21</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Sep 21</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w w:val="97"/>
              </w:rPr>
              <w:t>QoQ</w:t>
            </w:r>
          </w:p>
        </w:tc>
        <w:tc>
          <w:tcPr>
            <w:tcW w:w="38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18"/>
                <w:szCs w:val="18"/>
                <w:color w:val="auto"/>
              </w:rPr>
            </w:pPr>
          </w:p>
        </w:tc>
      </w:tr>
      <w:tr>
        <w:trPr>
          <w:trHeight w:val="203"/>
        </w:trPr>
        <w:tc>
          <w:tcPr>
            <w:tcW w:w="39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Due to banks and correspondents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6,601,722</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6,239,161</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7,466,434</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rPr>
              <w:t>19.7%</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13.1%</w:t>
            </w:r>
          </w:p>
        </w:tc>
      </w:tr>
      <w:tr>
        <w:trPr>
          <w:trHeight w:val="210"/>
        </w:trPr>
        <w:tc>
          <w:tcPr>
            <w:tcW w:w="4040" w:type="dxa"/>
            <w:vAlign w:val="bottom"/>
            <w:gridSpan w:val="2"/>
          </w:tcPr>
          <w:p>
            <w:pPr>
              <w:spacing w:after="0"/>
              <w:rPr>
                <w:sz w:val="20"/>
                <w:szCs w:val="20"/>
                <w:color w:val="auto"/>
              </w:rPr>
            </w:pPr>
            <w:r>
              <w:rPr>
                <w:rFonts w:ascii="Arial" w:cs="Arial" w:eastAsia="Arial" w:hAnsi="Arial"/>
                <w:sz w:val="18"/>
                <w:szCs w:val="18"/>
                <w:color w:val="auto"/>
              </w:rPr>
              <w:t>BCRP instruments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25,344,724</w:t>
            </w:r>
          </w:p>
        </w:tc>
        <w:tc>
          <w:tcPr>
            <w:tcW w:w="1440" w:type="dxa"/>
            <w:vAlign w:val="bottom"/>
            <w:gridSpan w:val="2"/>
          </w:tcPr>
          <w:p>
            <w:pPr>
              <w:ind w:left="440"/>
              <w:spacing w:after="0"/>
              <w:rPr>
                <w:sz w:val="20"/>
                <w:szCs w:val="20"/>
                <w:color w:val="auto"/>
              </w:rPr>
            </w:pPr>
            <w:r>
              <w:rPr>
                <w:rFonts w:ascii="Arial" w:cs="Arial" w:eastAsia="Arial" w:hAnsi="Arial"/>
                <w:sz w:val="18"/>
                <w:szCs w:val="18"/>
                <w:color w:val="auto"/>
              </w:rPr>
              <w:t>23,329,990</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20,746,109</w:t>
            </w:r>
          </w:p>
        </w:tc>
        <w:tc>
          <w:tcPr>
            <w:tcW w:w="840" w:type="dxa"/>
            <w:vAlign w:val="bottom"/>
          </w:tcPr>
          <w:p>
            <w:pPr>
              <w:spacing w:after="0"/>
              <w:rPr>
                <w:sz w:val="18"/>
                <w:szCs w:val="18"/>
                <w:color w:val="auto"/>
              </w:rPr>
            </w:pPr>
          </w:p>
        </w:tc>
        <w:tc>
          <w:tcPr>
            <w:tcW w:w="680" w:type="dxa"/>
            <w:vAlign w:val="bottom"/>
            <w:gridSpan w:val="2"/>
          </w:tcPr>
          <w:p>
            <w:pPr>
              <w:jc w:val="right"/>
              <w:ind w:right="52"/>
              <w:spacing w:after="0"/>
              <w:rPr>
                <w:sz w:val="20"/>
                <w:szCs w:val="20"/>
                <w:color w:val="auto"/>
              </w:rPr>
            </w:pPr>
            <w:r>
              <w:rPr>
                <w:rFonts w:ascii="Arial" w:cs="Arial" w:eastAsia="Arial" w:hAnsi="Arial"/>
                <w:sz w:val="18"/>
                <w:szCs w:val="18"/>
                <w:color w:val="auto"/>
                <w:w w:val="91"/>
              </w:rPr>
              <w:t>-11.1%</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-18.1%</w:t>
            </w:r>
          </w:p>
        </w:tc>
      </w:tr>
      <w:tr>
        <w:trPr>
          <w:trHeight w:val="21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agreements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1,204,487</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1,276,678</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1,330,811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4.2%</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Bonds and notes issued</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16,425,832</w:t>
            </w:r>
          </w:p>
        </w:tc>
        <w:tc>
          <w:tcPr>
            <w:tcW w:w="1440" w:type="dxa"/>
            <w:vAlign w:val="bottom"/>
            <w:gridSpan w:val="2"/>
          </w:tcPr>
          <w:p>
            <w:pPr>
              <w:ind w:left="440"/>
              <w:spacing w:after="0"/>
              <w:rPr>
                <w:sz w:val="20"/>
                <w:szCs w:val="20"/>
                <w:color w:val="auto"/>
              </w:rPr>
            </w:pPr>
            <w:r>
              <w:rPr>
                <w:rFonts w:ascii="Arial" w:cs="Arial" w:eastAsia="Arial" w:hAnsi="Arial"/>
                <w:sz w:val="18"/>
                <w:szCs w:val="18"/>
                <w:color w:val="auto"/>
              </w:rPr>
              <w:t>16,951,481</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17,577,630</w:t>
            </w:r>
          </w:p>
        </w:tc>
        <w:tc>
          <w:tcPr>
            <w:tcW w:w="840" w:type="dxa"/>
            <w:vAlign w:val="bottom"/>
          </w:tcPr>
          <w:p>
            <w:pPr>
              <w:spacing w:after="0"/>
              <w:rPr>
                <w:sz w:val="19"/>
                <w:szCs w:val="19"/>
                <w:color w:val="auto"/>
              </w:rPr>
            </w:pPr>
          </w:p>
        </w:tc>
        <w:tc>
          <w:tcPr>
            <w:tcW w:w="680" w:type="dxa"/>
            <w:vAlign w:val="bottom"/>
            <w:gridSpan w:val="2"/>
          </w:tcPr>
          <w:p>
            <w:pPr>
              <w:jc w:val="right"/>
              <w:ind w:right="52"/>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04"/>
        </w:trPr>
        <w:tc>
          <w:tcPr>
            <w:tcW w:w="4040" w:type="dxa"/>
            <w:vAlign w:val="bottom"/>
            <w:tcBorders>
              <w:top w:val="single" w:sz="8" w:color="CCEEFF"/>
            </w:tcBorders>
            <w:gridSpan w:val="2"/>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Total other funding sources</w:t>
            </w:r>
          </w:p>
        </w:tc>
        <w:tc>
          <w:tcPr>
            <w:tcW w:w="12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49,576,765</w:t>
            </w: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47,797,310</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47,120,984</w:t>
            </w: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-1.4</w:t>
            </w:r>
          </w:p>
        </w:tc>
        <w:tc>
          <w:tcPr>
            <w:tcW w:w="300" w:type="dxa"/>
            <w:vAlign w:val="bottom"/>
            <w:tcBorders>
              <w:top w:val="single" w:sz="8" w:color="CCEEFF"/>
            </w:tcBorders>
            <w:shd w:val="clear" w:color="auto" w:fill="CCEEFF"/>
          </w:tcPr>
          <w:p>
            <w:pPr>
              <w:jc w:val="right"/>
              <w:ind w:right="32"/>
              <w:spacing w:after="0" w:line="204" w:lineRule="exact"/>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-5.0</w:t>
            </w:r>
          </w:p>
        </w:tc>
        <w:tc>
          <w:tcPr>
            <w:tcW w:w="180" w:type="dxa"/>
            <w:vAlign w:val="bottom"/>
            <w:tcBorders>
              <w:top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w w:val="99"/>
              </w:rPr>
              <w:t>%</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total of </w:t>
      </w:r>
      <w:r>
        <w:rPr>
          <w:rFonts w:ascii="Arial" w:cs="Arial" w:eastAsia="Arial" w:hAnsi="Arial"/>
          <w:sz w:val="18"/>
          <w:szCs w:val="18"/>
          <w:b w:val="1"/>
          <w:bCs w:val="1"/>
          <w:color w:val="auto"/>
        </w:rPr>
        <w:t>Other Sources of Funding</w:t>
      </w:r>
      <w:r>
        <w:rPr>
          <w:rFonts w:ascii="Arial" w:cs="Arial" w:eastAsia="Arial" w:hAnsi="Arial"/>
          <w:sz w:val="18"/>
          <w:szCs w:val="18"/>
          <w:color w:val="auto"/>
        </w:rPr>
        <w:t xml:space="preserve"> fell -1.4% QoQ. This evolution shows: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drop in </w:t>
      </w:r>
      <w:r>
        <w:rPr>
          <w:rFonts w:ascii="Arial" w:cs="Arial" w:eastAsia="Arial" w:hAnsi="Arial"/>
          <w:sz w:val="18"/>
          <w:szCs w:val="18"/>
          <w:b w:val="1"/>
          <w:bCs w:val="1"/>
          <w:color w:val="auto"/>
        </w:rPr>
        <w:t>BCRP Instruments</w:t>
      </w:r>
      <w:r>
        <w:rPr>
          <w:rFonts w:ascii="Arial" w:cs="Arial" w:eastAsia="Arial" w:hAnsi="Arial"/>
          <w:sz w:val="18"/>
          <w:szCs w:val="18"/>
          <w:color w:val="auto"/>
        </w:rPr>
        <w:t>, mainly at BCP Stand-alone, due to amortization of government program loans.</w:t>
      </w:r>
    </w:p>
    <w:p>
      <w:pPr>
        <w:spacing w:after="0" w:line="21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An increase in </w:t>
      </w:r>
      <w:r>
        <w:rPr>
          <w:rFonts w:ascii="Arial" w:cs="Arial" w:eastAsia="Arial" w:hAnsi="Arial"/>
          <w:sz w:val="18"/>
          <w:szCs w:val="18"/>
          <w:b w:val="1"/>
          <w:bCs w:val="1"/>
          <w:color w:val="auto"/>
        </w:rPr>
        <w:t>Due to Banks and Correspondents</w:t>
      </w:r>
      <w:r>
        <w:rPr>
          <w:rFonts w:ascii="Arial" w:cs="Arial" w:eastAsia="Arial" w:hAnsi="Arial"/>
          <w:sz w:val="18"/>
          <w:szCs w:val="18"/>
          <w:color w:val="auto"/>
        </w:rPr>
        <w:t>, which was attributable to an increase in debt obligations at BCP Stand-alone after more loans were assumed with foreign financial institutions in FC to offset the effects of outflows of other sources of funding.</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Bonds and Notes issued</w:t>
      </w:r>
      <w:r>
        <w:rPr>
          <w:rFonts w:ascii="Arial" w:cs="Arial" w:eastAsia="Arial" w:hAnsi="Arial"/>
          <w:sz w:val="18"/>
          <w:szCs w:val="18"/>
          <w:color w:val="auto"/>
        </w:rPr>
        <w:t>, which was primarily driven by the exchange rate effect given that 78% of the total balance is in FC. This increase was partially offset by expirations of corporate bonds.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Repurchase agreements </w:t>
      </w:r>
      <w:r>
        <w:rPr>
          <w:rFonts w:ascii="Arial" w:cs="Arial" w:eastAsia="Arial" w:hAnsi="Arial"/>
          <w:sz w:val="18"/>
          <w:szCs w:val="18"/>
          <w:color w:val="auto"/>
        </w:rPr>
        <w:t>registered a slight increase through new inter-bank repos at BCP Bolivia.</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19" w:name="page20"/>
    <w:bookmarkEnd w:id="19"/>
    <w:p>
      <w:pPr>
        <w:jc w:val="both"/>
        <w:spacing w:after="0" w:line="331" w:lineRule="auto"/>
        <w:rPr>
          <w:sz w:val="20"/>
          <w:szCs w:val="20"/>
          <w:color w:val="auto"/>
        </w:rPr>
      </w:pPr>
      <w:r>
        <w:rPr>
          <w:rFonts w:ascii="Arial" w:cs="Arial" w:eastAsia="Arial" w:hAnsi="Arial"/>
          <w:sz w:val="16"/>
          <w:szCs w:val="16"/>
          <w:color w:val="auto"/>
        </w:rPr>
        <w:t xml:space="preserve">The YoY evolution registered a decrease of -5.0%, which was primarily attributable to a drop in the balance of </w:t>
      </w:r>
      <w:r>
        <w:rPr>
          <w:rFonts w:ascii="Arial" w:cs="Arial" w:eastAsia="Arial" w:hAnsi="Arial"/>
          <w:sz w:val="16"/>
          <w:szCs w:val="16"/>
          <w:b w:val="1"/>
          <w:bCs w:val="1"/>
          <w:color w:val="auto"/>
        </w:rPr>
        <w:t>BCRP Instruments</w:t>
      </w:r>
      <w:r>
        <w:rPr>
          <w:rFonts w:ascii="Arial" w:cs="Arial" w:eastAsia="Arial" w:hAnsi="Arial"/>
          <w:sz w:val="16"/>
          <w:szCs w:val="16"/>
          <w:color w:val="auto"/>
        </w:rPr>
        <w:t xml:space="preserve"> at BCP Stand-alone -after clients amortized government program loans. This was partially offset by the exchange rate variation given the high balances of debt held in FC.</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Loans / Deposits (L/D)</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Loan/Deposit ratio by subsidiary</w:t>
      </w:r>
    </w:p>
    <w:p>
      <w:pPr>
        <w:spacing w:after="0" w:line="21"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The L/D ratio at Credicorp remained stable QoQ.</w:t>
      </w:r>
    </w:p>
    <w:p>
      <w:pPr>
        <w:spacing w:after="0" w:line="3" w:lineRule="exact"/>
        <w:rPr>
          <w:sz w:val="20"/>
          <w:szCs w:val="20"/>
          <w:color w:val="auto"/>
        </w:rPr>
      </w:pPr>
    </w:p>
    <w:p>
      <w:pPr>
        <w:ind w:left="4720"/>
        <w:spacing w:after="0" w:line="247" w:lineRule="auto"/>
        <w:rPr>
          <w:sz w:val="20"/>
          <w:szCs w:val="20"/>
          <w:color w:val="auto"/>
        </w:rPr>
      </w:pPr>
      <w:r>
        <w:rPr>
          <w:rFonts w:ascii="Arial" w:cs="Arial" w:eastAsia="Arial" w:hAnsi="Arial"/>
          <w:sz w:val="18"/>
          <w:szCs w:val="18"/>
          <w:color w:val="auto"/>
        </w:rPr>
        <w:t>As indicated in the figure to the left, the ratio increased slightly at BCP Stand-alone but fell at 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2917825" cy="17754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17825" cy="1775460"/>
                    </a:xfrm>
                    <a:prstGeom prst="rect">
                      <a:avLst/>
                    </a:prstGeom>
                    <a:noFill/>
                  </pic:spPr>
                </pic:pic>
              </a:graphicData>
            </a:graphic>
          </wp:anchor>
        </w:drawing>
      </w:r>
    </w:p>
    <w:p>
      <w:pPr>
        <w:spacing w:after="0" w:line="172" w:lineRule="exact"/>
        <w:rPr>
          <w:sz w:val="20"/>
          <w:szCs w:val="20"/>
          <w:color w:val="auto"/>
        </w:rPr>
      </w:pPr>
    </w:p>
    <w:p>
      <w:pPr>
        <w:ind w:left="4720"/>
        <w:spacing w:after="0" w:line="260" w:lineRule="auto"/>
        <w:rPr>
          <w:sz w:val="20"/>
          <w:szCs w:val="20"/>
          <w:color w:val="auto"/>
        </w:rPr>
      </w:pPr>
      <w:r>
        <w:rPr>
          <w:rFonts w:ascii="Arial" w:cs="Arial" w:eastAsia="Arial" w:hAnsi="Arial"/>
          <w:sz w:val="18"/>
          <w:szCs w:val="18"/>
          <w:color w:val="auto"/>
        </w:rPr>
        <w:t>In YoY analysis, the L/D ratio at Credicorp and BCP Stand-alone fell slightly while Mibanco’s ratio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220"/>
        <w:spacing w:after="0"/>
        <w:tabs>
          <w:tab w:leader="none" w:pos="7740" w:val="left"/>
        </w:tabs>
        <w:rPr>
          <w:sz w:val="20"/>
          <w:szCs w:val="20"/>
          <w:color w:val="auto"/>
        </w:rPr>
      </w:pPr>
      <w:r>
        <w:rPr>
          <w:rFonts w:ascii="Arial" w:cs="Arial" w:eastAsia="Arial" w:hAnsi="Arial"/>
          <w:sz w:val="18"/>
          <w:szCs w:val="18"/>
          <w:b w:val="1"/>
          <w:bCs w:val="1"/>
          <w:color w:val="auto"/>
        </w:rPr>
        <w:t>Local Currency</w:t>
      </w:r>
      <w:r>
        <w:rPr>
          <w:sz w:val="20"/>
          <w:szCs w:val="20"/>
          <w:color w:val="auto"/>
        </w:rPr>
        <w:tab/>
      </w:r>
      <w:r>
        <w:rPr>
          <w:rFonts w:ascii="Arial" w:cs="Arial" w:eastAsia="Arial" w:hAnsi="Arial"/>
          <w:sz w:val="16"/>
          <w:szCs w:val="16"/>
          <w:b w:val="1"/>
          <w:bCs w:val="1"/>
          <w:color w:val="auto"/>
        </w:rPr>
        <w:t>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13335</wp:posOffset>
            </wp:positionV>
            <wp:extent cx="6919595" cy="2184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19595" cy="218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In the QoQ analysis by currency, the L/D ratio in LC at Credicorp and BCP Stand-alone registered slight growth but fell for Mibanco. The L/D ratio in FC fell somewhat at Credicorp and Mibanco but rose slightly at BCP Stand-alone. In the YoY analysis, Credicorp reported growth in the L/D ratio in LC at Credicorp, BCP and Mibanco. The increase of 12.3% at Mibanco was noteworthy and was driven by record-high disbursements in September. The L/D ratio in FC for Credicorp, BCP and Mibanco dropped for the same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Funding Cost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Funding Cost – Credicorp </w:t>
      </w:r>
      <w:r>
        <w:rPr>
          <w:rFonts w:ascii="Arial" w:cs="Arial" w:eastAsia="Arial" w:hAnsi="Arial"/>
          <w:sz w:val="29"/>
          <w:szCs w:val="29"/>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89535</wp:posOffset>
            </wp:positionV>
            <wp:extent cx="5418455" cy="23177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18455" cy="2317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120" w:hanging="246"/>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Expenses are included in accordance with IFRS16.</w:t>
      </w:r>
    </w:p>
    <w:p>
      <w:pPr>
        <w:spacing w:after="0" w:line="14" w:lineRule="exact"/>
        <w:rPr>
          <w:rFonts w:ascii="Arial" w:cs="Arial" w:eastAsia="Arial" w:hAnsi="Arial"/>
          <w:sz w:val="18"/>
          <w:szCs w:val="18"/>
          <w:color w:val="auto"/>
        </w:rPr>
      </w:pPr>
    </w:p>
    <w:p>
      <w:pPr>
        <w:ind w:left="880" w:right="240" w:hanging="6"/>
        <w:spacing w:after="0" w:line="243" w:lineRule="auto"/>
        <w:tabs>
          <w:tab w:leader="none" w:pos="1138"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Structural Funding Cost deducts the impact in expenses and funding related to GP Loans (BCRP Repos) and deducts non-recurring events from Interest Expense.</w:t>
      </w:r>
    </w:p>
    <w:p>
      <w:pPr>
        <w:ind w:left="880"/>
        <w:spacing w:after="0"/>
        <w:rPr>
          <w:rFonts w:ascii="Arial" w:cs="Arial" w:eastAsia="Arial" w:hAnsi="Arial"/>
          <w:sz w:val="18"/>
          <w:szCs w:val="18"/>
          <w:color w:val="auto"/>
        </w:rPr>
      </w:pPr>
      <w:r>
        <w:rPr>
          <w:rFonts w:ascii="Arial" w:cs="Arial" w:eastAsia="Arial" w:hAnsi="Arial"/>
          <w:sz w:val="18"/>
          <w:szCs w:val="18"/>
          <w:color w:val="auto"/>
        </w:rPr>
        <w:t>* 2Q21 Structural Funding Cost differed from previously reported</w:t>
      </w:r>
    </w:p>
    <w:p>
      <w:pPr>
        <w:sectPr>
          <w:pgSz w:w="11900" w:h="16838" w:orient="portrait"/>
          <w:cols w:equalWidth="0" w:num="1">
            <w:col w:w="11240"/>
          </w:cols>
          <w:pgMar w:left="320" w:top="883" w:right="339" w:bottom="0" w:gutter="0" w:footer="0" w:header="0"/>
        </w:sectPr>
      </w:pPr>
    </w:p>
    <w:bookmarkStart w:id="20" w:name="page21"/>
    <w:bookmarkEnd w:id="20"/>
    <w:p>
      <w:pPr>
        <w:ind w:left="99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24130</wp:posOffset>
            </wp:positionV>
            <wp:extent cx="71361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120"/>
          </w:cols>
          <w:pgMar w:left="1440" w:top="127" w:right="339" w:bottom="1440" w:gutter="0" w:footer="0" w:header="0"/>
        </w:sectPr>
      </w:pPr>
    </w:p>
    <w:bookmarkStart w:id="21" w:name="page22"/>
    <w:bookmarkEnd w:id="21"/>
    <w:p>
      <w:pPr>
        <w:jc w:val="both"/>
        <w:spacing w:after="0" w:line="245" w:lineRule="auto"/>
        <w:rPr>
          <w:sz w:val="20"/>
          <w:szCs w:val="20"/>
          <w:color w:val="auto"/>
        </w:rPr>
      </w:pPr>
      <w:r>
        <w:rPr>
          <w:rFonts w:ascii="Arial" w:cs="Arial" w:eastAsia="Arial" w:hAnsi="Arial"/>
          <w:sz w:val="16"/>
          <w:szCs w:val="16"/>
          <w:color w:val="auto"/>
        </w:rPr>
        <w:t>The funding cost at Credicorp rose slightly to 1.21% (+3bps QoQ), which was attributable to the increase in debt obligations with foreign financial institution at BCP Stand-alone in FC and to the depreciation of the Sol</w:t>
      </w:r>
      <w:r>
        <w:rPr>
          <w:rFonts w:ascii="Arial" w:cs="Arial" w:eastAsia="Arial" w:hAnsi="Arial"/>
          <w:sz w:val="26"/>
          <w:szCs w:val="26"/>
          <w:color w:val="auto"/>
          <w:vertAlign w:val="superscript"/>
        </w:rPr>
        <w:t>2</w:t>
      </w:r>
      <w:r>
        <w:rPr>
          <w:rFonts w:ascii="Arial" w:cs="Arial" w:eastAsia="Arial" w:hAnsi="Arial"/>
          <w:sz w:val="16"/>
          <w:szCs w:val="16"/>
          <w:color w:val="auto"/>
        </w:rPr>
        <w:t>. These effects were partially offset by an increase in low-cost deposits’ share in the funding mix. The structural funding cost, which is not affected by the presence of government program loans, grew slightly to 1.27% (+2bps QoQ).</w:t>
      </w:r>
    </w:p>
    <w:p>
      <w:pPr>
        <w:spacing w:after="0" w:line="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the YoY analysis, the Cost of Funding fell -53bps, which was primarily due to an increase in low-cost deposit’s share of the funding mix and to a reduction in the interest rate of bonds and notes issued.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Cost of Funding– Credicorp in Local Currency </w:t>
      </w:r>
      <w:r>
        <w:rPr>
          <w:rFonts w:ascii="Arial" w:cs="Arial" w:eastAsia="Arial" w:hAnsi="Arial"/>
          <w:sz w:val="29"/>
          <w:szCs w:val="29"/>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89535</wp:posOffset>
            </wp:positionV>
            <wp:extent cx="5494020" cy="25507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94020" cy="2550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120" w:hanging="246"/>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are included in accordance with IFRS16.</w:t>
      </w:r>
    </w:p>
    <w:p>
      <w:pPr>
        <w:spacing w:after="0" w:line="14" w:lineRule="exact"/>
        <w:rPr>
          <w:rFonts w:ascii="Arial" w:cs="Arial" w:eastAsia="Arial" w:hAnsi="Arial"/>
          <w:sz w:val="18"/>
          <w:szCs w:val="18"/>
          <w:color w:val="auto"/>
        </w:rPr>
      </w:pPr>
    </w:p>
    <w:p>
      <w:pPr>
        <w:ind w:left="880" w:hanging="6"/>
        <w:spacing w:after="0" w:line="247" w:lineRule="auto"/>
        <w:tabs>
          <w:tab w:leader="none" w:pos="11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Structural Funding Cost deducts the impact in expenses and funding related to GP Loans (BCRP Repos) and deducts non-recurring events from Interest Expense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funding cost in LC (-1bps) remained stable. In terms of structural funding, the cost of funding in LC fell to 1.13% in 3Q21 (-4bps).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Funding cost – Credicorp in Foreign Currency </w:t>
      </w:r>
      <w:r>
        <w:rPr>
          <w:rFonts w:ascii="Arial" w:cs="Arial" w:eastAsia="Arial" w:hAnsi="Arial"/>
          <w:sz w:val="29"/>
          <w:szCs w:val="29"/>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89535</wp:posOffset>
            </wp:positionV>
            <wp:extent cx="5760720" cy="25342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60720" cy="2534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120" w:hanging="246"/>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Expenses are included in accordance with IFRS16.</w:t>
      </w:r>
    </w:p>
    <w:p>
      <w:pPr>
        <w:spacing w:after="0" w:line="14" w:lineRule="exact"/>
        <w:rPr>
          <w:rFonts w:ascii="Arial" w:cs="Arial" w:eastAsia="Arial" w:hAnsi="Arial"/>
          <w:sz w:val="18"/>
          <w:szCs w:val="18"/>
          <w:color w:val="auto"/>
        </w:rPr>
      </w:pPr>
    </w:p>
    <w:p>
      <w:pPr>
        <w:ind w:left="880" w:hanging="6"/>
        <w:spacing w:after="0" w:line="247" w:lineRule="auto"/>
        <w:tabs>
          <w:tab w:leader="none" w:pos="11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Structural Funding Cost deducts the impact in expenses and funding related to GP Loans (BCRP Repos) and deducts non-recurring events from Interest Expense</w:t>
      </w:r>
    </w:p>
    <w:p>
      <w:pPr>
        <w:spacing w:after="0" w:line="19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increase in the cost of funding in FC (+7bps) was attributable to a decrease in balances of low-cost deposits in FC (expressed in US Dollars) and to an increase in debt obligations with banks at BCP Stand-alone.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Funding costs in LC and FC fell -37bps and -76bps YoY respectively, in line with the strategy to optimize Credicorp’s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176530</wp:posOffset>
            </wp:positionV>
            <wp:extent cx="17837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364" w:lineRule="exact"/>
        <w:rPr>
          <w:sz w:val="20"/>
          <w:szCs w:val="20"/>
          <w:color w:val="auto"/>
        </w:rPr>
      </w:pPr>
    </w:p>
    <w:p>
      <w:pPr>
        <w:ind w:firstLine="5"/>
        <w:spacing w:after="0" w:line="191" w:lineRule="auto"/>
        <w:tabs>
          <w:tab w:leader="none" w:pos="136"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Depreciation of the sol increases the relevance of Foreign-currency denominated funding, which is relatively more expensive than our local-currency denominated funding sources.</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361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9" w:right="339" w:bottom="316"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 xml:space="preserve">Funding cost by subsidiary </w:t>
      </w:r>
      <w:r>
        <w:rPr>
          <w:rFonts w:ascii="Arial" w:cs="Arial" w:eastAsia="Arial" w:hAnsi="Arial"/>
          <w:sz w:val="29"/>
          <w:szCs w:val="29"/>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736600</wp:posOffset>
            </wp:positionH>
            <wp:positionV relativeFrom="paragraph">
              <wp:posOffset>89535</wp:posOffset>
            </wp:positionV>
            <wp:extent cx="5635625" cy="2942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35625" cy="294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500" w:hanging="254"/>
        <w:spacing w:after="0"/>
        <w:tabs>
          <w:tab w:leader="none" w:pos="15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Expenses are included in accordance with IFRS16.</w:t>
      </w:r>
    </w:p>
    <w:p>
      <w:pPr>
        <w:spacing w:after="0" w:line="14" w:lineRule="exact"/>
        <w:rPr>
          <w:rFonts w:ascii="Arial" w:cs="Arial" w:eastAsia="Arial" w:hAnsi="Arial"/>
          <w:sz w:val="18"/>
          <w:szCs w:val="18"/>
          <w:color w:val="auto"/>
        </w:rPr>
      </w:pPr>
    </w:p>
    <w:p>
      <w:pPr>
        <w:ind w:left="1240" w:right="200" w:firstLine="6"/>
        <w:spacing w:after="0" w:line="247" w:lineRule="auto"/>
        <w:tabs>
          <w:tab w:leader="none" w:pos="1507" w:val="left"/>
        </w:tabs>
        <w:numPr>
          <w:ilvl w:val="1"/>
          <w:numId w:val="18"/>
        </w:numPr>
        <w:rPr>
          <w:rFonts w:ascii="Arial" w:cs="Arial" w:eastAsia="Arial" w:hAnsi="Arial"/>
          <w:sz w:val="18"/>
          <w:szCs w:val="18"/>
          <w:color w:val="auto"/>
        </w:rPr>
      </w:pPr>
      <w:r>
        <w:rPr>
          <w:rFonts w:ascii="Arial" w:cs="Arial" w:eastAsia="Arial" w:hAnsi="Arial"/>
          <w:sz w:val="18"/>
          <w:szCs w:val="18"/>
          <w:color w:val="auto"/>
        </w:rPr>
        <w:t>Structural Funding Cost deducts the impact in expenses and funding related to GP Loans (BCRP Repos) and deducts non-recurring events from Interest Expense.</w:t>
      </w:r>
    </w:p>
    <w:p>
      <w:pPr>
        <w:spacing w:after="0" w:line="192" w:lineRule="exact"/>
        <w:rPr>
          <w:rFonts w:ascii="Arial" w:cs="Arial" w:eastAsia="Arial" w:hAnsi="Arial"/>
          <w:sz w:val="18"/>
          <w:szCs w:val="18"/>
          <w:color w:val="auto"/>
        </w:rPr>
      </w:pPr>
    </w:p>
    <w:p>
      <w:pPr>
        <w:jc w:val="both"/>
        <w:ind w:left="460" w:hanging="455"/>
        <w:spacing w:after="0" w:line="298"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funding cost at BCP Stand-alone increased slightly to 0.96% (+3bps QoQ). This growth was driven by the depreciation of the Sol and by new debt obligations that were assumed to offset the outflow of deposits to foreign accounts. In the YoY analysis, a -53bps decrease in the cost of funding was associated with (i) an increase in the share of deposits and to (ii) the rate effect, which was mainly associated with issued bonds.</w:t>
      </w:r>
    </w:p>
    <w:p>
      <w:pPr>
        <w:spacing w:after="0" w:line="154" w:lineRule="exact"/>
        <w:rPr>
          <w:rFonts w:ascii="Arial" w:cs="Arial" w:eastAsia="Arial" w:hAnsi="Arial"/>
          <w:sz w:val="16"/>
          <w:szCs w:val="16"/>
          <w:color w:val="auto"/>
        </w:rPr>
      </w:pPr>
    </w:p>
    <w:p>
      <w:pPr>
        <w:ind w:left="460" w:hanging="455"/>
        <w:spacing w:after="0" w:line="26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funding cost at Mibanco decreased slightly (-2bps QoQ). In the YoY analysis, a -33bps drop is evident. This variation was driven by an increase in the share of low-cost deposits and obligations with BCRP (Reactiva) within the funding mix.</w:t>
      </w:r>
    </w:p>
    <w:p>
      <w:pPr>
        <w:spacing w:after="0" w:line="181" w:lineRule="exact"/>
        <w:rPr>
          <w:rFonts w:ascii="Arial" w:cs="Arial" w:eastAsia="Arial" w:hAnsi="Arial"/>
          <w:sz w:val="18"/>
          <w:szCs w:val="18"/>
          <w:color w:val="auto"/>
        </w:rPr>
      </w:pPr>
    </w:p>
    <w:p>
      <w:pPr>
        <w:ind w:left="460" w:hanging="455"/>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funding cost at BCP Bolivia increased to 3.49% (+19bps). In the YoY analysis, we see growth of 29bps.</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572135</wp:posOffset>
            </wp:positionV>
            <wp:extent cx="7136130" cy="79362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130" cy="7936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ind w:left="20"/>
        <w:spacing w:after="0"/>
        <w:tabs>
          <w:tab w:leader="none" w:pos="340" w:val="left"/>
        </w:tabs>
        <w:rPr>
          <w:sz w:val="20"/>
          <w:szCs w:val="20"/>
          <w:color w:val="auto"/>
        </w:rPr>
      </w:pPr>
      <w:r>
        <w:rPr>
          <w:rFonts w:ascii="Arial" w:cs="Arial" w:eastAsia="Arial" w:hAnsi="Arial"/>
          <w:sz w:val="18"/>
          <w:szCs w:val="18"/>
          <w:b w:val="1"/>
          <w:bCs w:val="1"/>
          <w:color w:val="auto"/>
        </w:rPr>
        <w:t>2.</w:t>
        <w:tab/>
        <w:t>Net interest income (NII)</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80" w:type="dxa"/>
            <w:vAlign w:val="bottom"/>
            <w:gridSpan w:val="3"/>
          </w:tcPr>
          <w:p>
            <w:pPr>
              <w:spacing w:after="0"/>
              <w:rPr>
                <w:sz w:val="20"/>
                <w:szCs w:val="20"/>
                <w:color w:val="auto"/>
              </w:rPr>
            </w:pPr>
            <w:r>
              <w:rPr>
                <w:rFonts w:ascii="Arial" w:cs="Arial" w:eastAsia="Arial" w:hAnsi="Arial"/>
                <w:sz w:val="14"/>
                <w:szCs w:val="14"/>
                <w:b w:val="1"/>
                <w:bCs w:val="1"/>
                <w:color w:val="auto"/>
              </w:rPr>
              <w:t>Net interest income</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3"/>
          </w:tcPr>
          <w:p>
            <w:pPr>
              <w:ind w:left="480"/>
              <w:spacing w:after="0"/>
              <w:rPr>
                <w:sz w:val="20"/>
                <w:szCs w:val="20"/>
                <w:color w:val="auto"/>
              </w:rPr>
            </w:pPr>
            <w:r>
              <w:rPr>
                <w:rFonts w:ascii="Arial" w:cs="Arial" w:eastAsia="Arial" w:hAnsi="Arial"/>
                <w:sz w:val="14"/>
                <w:szCs w:val="14"/>
                <w:b w:val="1"/>
                <w:bCs w:val="1"/>
                <w:color w:val="auto"/>
                <w:w w:val="88"/>
              </w:rPr>
              <w:t>% change</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ind w:left="800"/>
              <w:spacing w:after="0"/>
              <w:rPr>
                <w:sz w:val="20"/>
                <w:szCs w:val="20"/>
                <w:color w:val="auto"/>
              </w:rPr>
            </w:pPr>
            <w:r>
              <w:rPr>
                <w:rFonts w:ascii="Arial" w:cs="Arial" w:eastAsia="Arial" w:hAnsi="Arial"/>
                <w:sz w:val="14"/>
                <w:szCs w:val="14"/>
                <w:b w:val="1"/>
                <w:bCs w:val="1"/>
                <w:color w:val="auto"/>
              </w:rPr>
              <w:t>YTD</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960" w:type="dxa"/>
            <w:vAlign w:val="bottom"/>
            <w:tcBorders>
              <w:top w:val="single" w:sz="8" w:color="auto"/>
              <w:bottom w:val="single" w:sz="8" w:color="auto"/>
            </w:tcBorders>
          </w:tcPr>
          <w:p>
            <w:pPr>
              <w:spacing w:after="0" w:line="151" w:lineRule="exact"/>
              <w:rPr>
                <w:sz w:val="20"/>
                <w:szCs w:val="20"/>
                <w:color w:val="auto"/>
              </w:rPr>
            </w:pPr>
            <w:r>
              <w:rPr>
                <w:rFonts w:ascii="Arial" w:cs="Arial" w:eastAsia="Arial" w:hAnsi="Arial"/>
                <w:sz w:val="14"/>
                <w:szCs w:val="14"/>
                <w:b w:val="1"/>
                <w:bCs w:val="1"/>
                <w:color w:val="auto"/>
              </w:rPr>
              <w:t>S/ 000</w:t>
            </w:r>
          </w:p>
        </w:tc>
        <w:tc>
          <w:tcPr>
            <w:tcW w:w="100" w:type="dxa"/>
            <w:vAlign w:val="bottom"/>
            <w:tcBorders>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90"/>
              <w:spacing w:after="0" w:line="151" w:lineRule="exact"/>
              <w:rPr>
                <w:sz w:val="20"/>
                <w:szCs w:val="20"/>
                <w:color w:val="auto"/>
              </w:rPr>
            </w:pPr>
            <w:r>
              <w:rPr>
                <w:rFonts w:ascii="Arial" w:cs="Arial" w:eastAsia="Arial" w:hAnsi="Arial"/>
                <w:sz w:val="14"/>
                <w:szCs w:val="14"/>
                <w:b w:val="1"/>
                <w:bCs w:val="1"/>
                <w:color w:val="auto"/>
              </w:rPr>
              <w:t>3Q20</w:t>
            </w:r>
          </w:p>
        </w:tc>
        <w:tc>
          <w:tcPr>
            <w:tcW w:w="240" w:type="dxa"/>
            <w:vAlign w:val="bottom"/>
            <w:tcBorders>
              <w:top w:val="single" w:sz="8" w:color="auto"/>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90"/>
              <w:spacing w:after="0" w:line="151" w:lineRule="exact"/>
              <w:rPr>
                <w:sz w:val="20"/>
                <w:szCs w:val="20"/>
                <w:color w:val="auto"/>
              </w:rPr>
            </w:pPr>
            <w:r>
              <w:rPr>
                <w:rFonts w:ascii="Arial" w:cs="Arial" w:eastAsia="Arial" w:hAnsi="Arial"/>
                <w:sz w:val="14"/>
                <w:szCs w:val="14"/>
                <w:b w:val="1"/>
                <w:bCs w:val="1"/>
                <w:color w:val="auto"/>
              </w:rPr>
              <w:t>2Q21</w:t>
            </w:r>
          </w:p>
        </w:tc>
        <w:tc>
          <w:tcPr>
            <w:tcW w:w="240" w:type="dxa"/>
            <w:vAlign w:val="bottom"/>
            <w:tcBorders>
              <w:top w:val="single" w:sz="8" w:color="auto"/>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70"/>
              <w:spacing w:after="0" w:line="151" w:lineRule="exact"/>
              <w:rPr>
                <w:sz w:val="20"/>
                <w:szCs w:val="20"/>
                <w:color w:val="auto"/>
              </w:rPr>
            </w:pPr>
            <w:r>
              <w:rPr>
                <w:rFonts w:ascii="Arial" w:cs="Arial" w:eastAsia="Arial" w:hAnsi="Arial"/>
                <w:sz w:val="14"/>
                <w:szCs w:val="14"/>
                <w:b w:val="1"/>
                <w:bCs w:val="1"/>
                <w:color w:val="auto"/>
              </w:rPr>
              <w:t>3Q21</w:t>
            </w:r>
          </w:p>
        </w:tc>
        <w:tc>
          <w:tcPr>
            <w:tcW w:w="24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rPr>
              <w:t>QoQ</w:t>
            </w:r>
          </w:p>
        </w:tc>
        <w:tc>
          <w:tcPr>
            <w:tcW w:w="24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30"/>
              <w:spacing w:after="0" w:line="151" w:lineRule="exact"/>
              <w:rPr>
                <w:sz w:val="20"/>
                <w:szCs w:val="20"/>
                <w:color w:val="auto"/>
              </w:rPr>
            </w:pPr>
            <w:r>
              <w:rPr>
                <w:rFonts w:ascii="Arial" w:cs="Arial" w:eastAsia="Arial" w:hAnsi="Arial"/>
                <w:sz w:val="14"/>
                <w:szCs w:val="14"/>
                <w:b w:val="1"/>
                <w:bCs w:val="1"/>
                <w:color w:val="auto"/>
                <w:w w:val="95"/>
              </w:rPr>
              <w:t>YoY</w:t>
            </w:r>
          </w:p>
        </w:tc>
        <w:tc>
          <w:tcPr>
            <w:tcW w:w="240" w:type="dxa"/>
            <w:vAlign w:val="bottom"/>
            <w:tcBorders>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50"/>
              <w:spacing w:after="0" w:line="151" w:lineRule="exact"/>
              <w:rPr>
                <w:sz w:val="20"/>
                <w:szCs w:val="20"/>
                <w:color w:val="auto"/>
              </w:rPr>
            </w:pPr>
            <w:r>
              <w:rPr>
                <w:rFonts w:ascii="Arial" w:cs="Arial" w:eastAsia="Arial" w:hAnsi="Arial"/>
                <w:sz w:val="14"/>
                <w:szCs w:val="14"/>
                <w:b w:val="1"/>
                <w:bCs w:val="1"/>
                <w:color w:val="auto"/>
              </w:rPr>
              <w:t>Sep 20</w:t>
            </w:r>
          </w:p>
        </w:tc>
        <w:tc>
          <w:tcPr>
            <w:tcW w:w="24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30"/>
              <w:spacing w:after="0" w:line="151" w:lineRule="exact"/>
              <w:rPr>
                <w:sz w:val="20"/>
                <w:szCs w:val="20"/>
                <w:color w:val="auto"/>
              </w:rPr>
            </w:pPr>
            <w:r>
              <w:rPr>
                <w:rFonts w:ascii="Arial" w:cs="Arial" w:eastAsia="Arial" w:hAnsi="Arial"/>
                <w:sz w:val="14"/>
                <w:szCs w:val="14"/>
                <w:b w:val="1"/>
                <w:bCs w:val="1"/>
                <w:color w:val="auto"/>
              </w:rPr>
              <w:t>Sep 21</w:t>
            </w:r>
          </w:p>
        </w:tc>
        <w:tc>
          <w:tcPr>
            <w:tcW w:w="26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84"/>
              </w:rPr>
              <w:t>Sep-21 / Sep-20</w:t>
            </w:r>
          </w:p>
        </w:tc>
        <w:tc>
          <w:tcPr>
            <w:tcW w:w="140" w:type="dxa"/>
            <w:vAlign w:val="bottom"/>
            <w:tcBorders>
              <w:bottom w:val="single" w:sz="8" w:color="CCEEFF"/>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Interest income</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b w:val="1"/>
                <w:bCs w:val="1"/>
                <w:color w:val="auto"/>
              </w:rPr>
              <w:t>2,953,570</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b w:val="1"/>
                <w:bCs w:val="1"/>
                <w:color w:val="auto"/>
              </w:rPr>
              <w:t>2,891,579</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b w:val="1"/>
                <w:bCs w:val="1"/>
                <w:color w:val="auto"/>
              </w:rPr>
              <w:t>3,051,000</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b w:val="1"/>
                <w:bCs w:val="1"/>
                <w:color w:val="auto"/>
              </w:rPr>
              <w:t>5.5%</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b w:val="1"/>
                <w:bCs w:val="1"/>
                <w:color w:val="auto"/>
              </w:rPr>
              <w:t>3.3%</w:t>
            </w: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b w:val="1"/>
                <w:bCs w:val="1"/>
                <w:color w:val="auto"/>
              </w:rPr>
              <w:t>8,844,548</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b w:val="1"/>
                <w:bCs w:val="1"/>
                <w:color w:val="auto"/>
              </w:rPr>
              <w:t>8,758,652</w:t>
            </w:r>
          </w:p>
        </w:tc>
        <w:tc>
          <w:tcPr>
            <w:tcW w:w="260" w:type="dxa"/>
            <w:vAlign w:val="bottom"/>
            <w:tcBorders>
              <w:right w:val="single" w:sz="8" w:color="CCEEFF"/>
            </w:tcBorders>
            <w:shd w:val="clear" w:color="auto" w:fill="CCEEFF"/>
          </w:tcPr>
          <w:p>
            <w:pPr>
              <w:spacing w:after="0"/>
              <w:rPr>
                <w:sz w:val="11"/>
                <w:szCs w:val="11"/>
                <w:color w:val="auto"/>
              </w:rPr>
            </w:pPr>
          </w:p>
        </w:tc>
        <w:tc>
          <w:tcPr>
            <w:tcW w:w="104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gridSpan w:val="2"/>
          </w:tcPr>
          <w:p>
            <w:pPr>
              <w:ind w:left="120"/>
              <w:spacing w:after="0" w:line="145" w:lineRule="exact"/>
              <w:rPr>
                <w:sz w:val="20"/>
                <w:szCs w:val="20"/>
                <w:color w:val="auto"/>
              </w:rPr>
            </w:pPr>
            <w:r>
              <w:rPr>
                <w:rFonts w:ascii="Arial" w:cs="Arial" w:eastAsia="Arial" w:hAnsi="Arial"/>
                <w:sz w:val="14"/>
                <w:szCs w:val="14"/>
                <w:color w:val="auto"/>
              </w:rPr>
              <w:t>Interest on loans</w:t>
            </w:r>
          </w:p>
        </w:tc>
        <w:tc>
          <w:tcPr>
            <w:tcW w:w="820" w:type="dxa"/>
            <w:vAlign w:val="bottom"/>
          </w:tcPr>
          <w:p>
            <w:pPr>
              <w:jc w:val="right"/>
              <w:spacing w:after="0" w:line="145" w:lineRule="exact"/>
              <w:rPr>
                <w:sz w:val="20"/>
                <w:szCs w:val="20"/>
                <w:color w:val="auto"/>
              </w:rPr>
            </w:pPr>
            <w:r>
              <w:rPr>
                <w:rFonts w:ascii="Arial" w:cs="Arial" w:eastAsia="Arial" w:hAnsi="Arial"/>
                <w:sz w:val="14"/>
                <w:szCs w:val="14"/>
                <w:color w:val="auto"/>
              </w:rPr>
              <w:t>2,578,362</w:t>
            </w:r>
          </w:p>
        </w:tc>
        <w:tc>
          <w:tcPr>
            <w:tcW w:w="240" w:type="dxa"/>
            <w:vAlign w:val="bottom"/>
          </w:tcPr>
          <w:p>
            <w:pPr>
              <w:spacing w:after="0"/>
              <w:rPr>
                <w:sz w:val="12"/>
                <w:szCs w:val="12"/>
                <w:color w:val="auto"/>
              </w:rPr>
            </w:pPr>
          </w:p>
        </w:tc>
        <w:tc>
          <w:tcPr>
            <w:tcW w:w="820" w:type="dxa"/>
            <w:vAlign w:val="bottom"/>
          </w:tcPr>
          <w:p>
            <w:pPr>
              <w:jc w:val="right"/>
              <w:spacing w:after="0" w:line="145" w:lineRule="exact"/>
              <w:rPr>
                <w:sz w:val="20"/>
                <w:szCs w:val="20"/>
                <w:color w:val="auto"/>
              </w:rPr>
            </w:pPr>
            <w:r>
              <w:rPr>
                <w:rFonts w:ascii="Arial" w:cs="Arial" w:eastAsia="Arial" w:hAnsi="Arial"/>
                <w:sz w:val="14"/>
                <w:szCs w:val="14"/>
                <w:color w:val="auto"/>
              </w:rPr>
              <w:t>2,476,187</w:t>
            </w:r>
          </w:p>
        </w:tc>
        <w:tc>
          <w:tcPr>
            <w:tcW w:w="240" w:type="dxa"/>
            <w:vAlign w:val="bottom"/>
          </w:tcPr>
          <w:p>
            <w:pPr>
              <w:spacing w:after="0"/>
              <w:rPr>
                <w:sz w:val="12"/>
                <w:szCs w:val="12"/>
                <w:color w:val="auto"/>
              </w:rPr>
            </w:pPr>
          </w:p>
        </w:tc>
        <w:tc>
          <w:tcPr>
            <w:tcW w:w="820" w:type="dxa"/>
            <w:vAlign w:val="bottom"/>
          </w:tcPr>
          <w:p>
            <w:pPr>
              <w:jc w:val="right"/>
              <w:spacing w:after="0" w:line="145" w:lineRule="exact"/>
              <w:rPr>
                <w:sz w:val="20"/>
                <w:szCs w:val="20"/>
                <w:color w:val="auto"/>
              </w:rPr>
            </w:pPr>
            <w:r>
              <w:rPr>
                <w:rFonts w:ascii="Arial" w:cs="Arial" w:eastAsia="Arial" w:hAnsi="Arial"/>
                <w:sz w:val="14"/>
                <w:szCs w:val="14"/>
                <w:color w:val="auto"/>
              </w:rPr>
              <w:t>2,607,349</w:t>
            </w:r>
          </w:p>
        </w:tc>
        <w:tc>
          <w:tcPr>
            <w:tcW w:w="240" w:type="dxa"/>
            <w:vAlign w:val="bottom"/>
          </w:tcPr>
          <w:p>
            <w:pPr>
              <w:spacing w:after="0"/>
              <w:rPr>
                <w:sz w:val="12"/>
                <w:szCs w:val="12"/>
                <w:color w:val="auto"/>
              </w:rPr>
            </w:pPr>
          </w:p>
        </w:tc>
        <w:tc>
          <w:tcPr>
            <w:tcW w:w="9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5.3%</w:t>
            </w:r>
          </w:p>
        </w:tc>
        <w:tc>
          <w:tcPr>
            <w:tcW w:w="180" w:type="dxa"/>
            <w:vAlign w:val="bottom"/>
          </w:tcPr>
          <w:p>
            <w:pPr>
              <w:spacing w:after="0"/>
              <w:rPr>
                <w:sz w:val="12"/>
                <w:szCs w:val="12"/>
                <w:color w:val="auto"/>
              </w:rPr>
            </w:pPr>
          </w:p>
        </w:tc>
        <w:tc>
          <w:tcPr>
            <w:tcW w:w="72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1.1%</w:t>
            </w:r>
          </w:p>
        </w:tc>
        <w:tc>
          <w:tcPr>
            <w:tcW w:w="820" w:type="dxa"/>
            <w:vAlign w:val="bottom"/>
          </w:tcPr>
          <w:p>
            <w:pPr>
              <w:jc w:val="right"/>
              <w:spacing w:after="0" w:line="145" w:lineRule="exact"/>
              <w:rPr>
                <w:sz w:val="20"/>
                <w:szCs w:val="20"/>
                <w:color w:val="auto"/>
              </w:rPr>
            </w:pPr>
            <w:r>
              <w:rPr>
                <w:rFonts w:ascii="Arial" w:cs="Arial" w:eastAsia="Arial" w:hAnsi="Arial"/>
                <w:sz w:val="14"/>
                <w:szCs w:val="14"/>
                <w:color w:val="auto"/>
              </w:rPr>
              <w:t>7,701,998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7,516,297</w:t>
            </w:r>
          </w:p>
        </w:tc>
        <w:tc>
          <w:tcPr>
            <w:tcW w:w="260" w:type="dxa"/>
            <w:vAlign w:val="bottom"/>
          </w:tcPr>
          <w:p>
            <w:pPr>
              <w:spacing w:after="0"/>
              <w:rPr>
                <w:sz w:val="12"/>
                <w:szCs w:val="12"/>
                <w:color w:val="auto"/>
              </w:rPr>
            </w:pPr>
          </w:p>
        </w:tc>
        <w:tc>
          <w:tcPr>
            <w:tcW w:w="1040" w:type="dxa"/>
            <w:vAlign w:val="bottom"/>
            <w:gridSpan w:val="3"/>
          </w:tcPr>
          <w:p>
            <w:pPr>
              <w:jc w:val="right"/>
              <w:ind w:right="20"/>
              <w:spacing w:after="0" w:line="145"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gridSpan w:val="2"/>
            <w:shd w:val="clear" w:color="auto" w:fill="CCEEFF"/>
          </w:tcPr>
          <w:p>
            <w:pPr>
              <w:ind w:left="120"/>
              <w:spacing w:after="0" w:line="145" w:lineRule="exact"/>
              <w:rPr>
                <w:sz w:val="20"/>
                <w:szCs w:val="20"/>
                <w:color w:val="auto"/>
              </w:rPr>
            </w:pPr>
            <w:r>
              <w:rPr>
                <w:rFonts w:ascii="Arial" w:cs="Arial" w:eastAsia="Arial" w:hAnsi="Arial"/>
                <w:sz w:val="14"/>
                <w:szCs w:val="14"/>
                <w:color w:val="auto"/>
              </w:rPr>
              <w:t>Dividends on investments</w:t>
            </w:r>
          </w:p>
        </w:tc>
        <w:tc>
          <w:tcPr>
            <w:tcW w:w="106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8,871</w:t>
            </w:r>
          </w:p>
        </w:tc>
        <w:tc>
          <w:tcPr>
            <w:tcW w:w="106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11,536</w:t>
            </w:r>
          </w:p>
        </w:tc>
        <w:tc>
          <w:tcPr>
            <w:tcW w:w="106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19,668</w:t>
            </w:r>
          </w:p>
        </w:tc>
        <w:tc>
          <w:tcPr>
            <w:tcW w:w="9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70.5%</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121.7%</w:t>
            </w:r>
          </w:p>
        </w:tc>
        <w:tc>
          <w:tcPr>
            <w:tcW w:w="106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21,617</w:t>
            </w:r>
          </w:p>
        </w:tc>
        <w:tc>
          <w:tcPr>
            <w:tcW w:w="8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34,425</w:t>
            </w:r>
          </w:p>
        </w:tc>
        <w:tc>
          <w:tcPr>
            <w:tcW w:w="104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gridSpan w:val="2"/>
          </w:tcPr>
          <w:p>
            <w:pPr>
              <w:ind w:left="120"/>
              <w:spacing w:after="0" w:line="145" w:lineRule="exact"/>
              <w:rPr>
                <w:sz w:val="20"/>
                <w:szCs w:val="20"/>
                <w:color w:val="auto"/>
              </w:rPr>
            </w:pPr>
            <w:r>
              <w:rPr>
                <w:rFonts w:ascii="Arial" w:cs="Arial" w:eastAsia="Arial" w:hAnsi="Arial"/>
                <w:sz w:val="14"/>
                <w:szCs w:val="14"/>
                <w:color w:val="auto"/>
              </w:rPr>
              <w:t>Interest on deposits with banks</w:t>
            </w:r>
          </w:p>
        </w:tc>
        <w:tc>
          <w:tcPr>
            <w:tcW w:w="106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7,981</w:t>
            </w:r>
          </w:p>
        </w:tc>
        <w:tc>
          <w:tcPr>
            <w:tcW w:w="106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6,076</w:t>
            </w:r>
          </w:p>
        </w:tc>
        <w:tc>
          <w:tcPr>
            <w:tcW w:w="106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12,185</w:t>
            </w:r>
          </w:p>
        </w:tc>
        <w:tc>
          <w:tcPr>
            <w:tcW w:w="9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100.5%</w:t>
            </w:r>
          </w:p>
        </w:tc>
        <w:tc>
          <w:tcPr>
            <w:tcW w:w="180" w:type="dxa"/>
            <w:vAlign w:val="bottom"/>
          </w:tcPr>
          <w:p>
            <w:pPr>
              <w:spacing w:after="0"/>
              <w:rPr>
                <w:sz w:val="12"/>
                <w:szCs w:val="12"/>
                <w:color w:val="auto"/>
              </w:rPr>
            </w:pPr>
          </w:p>
        </w:tc>
        <w:tc>
          <w:tcPr>
            <w:tcW w:w="72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52.7%</w:t>
            </w:r>
          </w:p>
        </w:tc>
        <w:tc>
          <w:tcPr>
            <w:tcW w:w="106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66,358</w:t>
            </w:r>
          </w:p>
        </w:tc>
        <w:tc>
          <w:tcPr>
            <w:tcW w:w="80" w:type="dxa"/>
            <w:vAlign w:val="bottom"/>
          </w:tcPr>
          <w:p>
            <w:pPr>
              <w:spacing w:after="0"/>
              <w:rPr>
                <w:sz w:val="12"/>
                <w:szCs w:val="12"/>
                <w:color w:val="auto"/>
              </w:rPr>
            </w:pPr>
          </w:p>
        </w:tc>
        <w:tc>
          <w:tcPr>
            <w:tcW w:w="100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26,157</w:t>
            </w:r>
          </w:p>
        </w:tc>
        <w:tc>
          <w:tcPr>
            <w:tcW w:w="1040" w:type="dxa"/>
            <w:vAlign w:val="bottom"/>
            <w:gridSpan w:val="3"/>
          </w:tcPr>
          <w:p>
            <w:pPr>
              <w:jc w:val="right"/>
              <w:ind w:right="20"/>
              <w:spacing w:after="0" w:line="145" w:lineRule="exact"/>
              <w:rPr>
                <w:sz w:val="20"/>
                <w:szCs w:val="20"/>
                <w:color w:val="auto"/>
              </w:rPr>
            </w:pPr>
            <w:r>
              <w:rPr>
                <w:rFonts w:ascii="Arial" w:cs="Arial" w:eastAsia="Arial" w:hAnsi="Arial"/>
                <w:sz w:val="14"/>
                <w:szCs w:val="14"/>
                <w:color w:val="auto"/>
              </w:rPr>
              <w:t>-60.6%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gridSpan w:val="2"/>
            <w:shd w:val="clear" w:color="auto" w:fill="CCEEFF"/>
          </w:tcPr>
          <w:p>
            <w:pPr>
              <w:ind w:left="120"/>
              <w:spacing w:after="0" w:line="145" w:lineRule="exact"/>
              <w:rPr>
                <w:sz w:val="20"/>
                <w:szCs w:val="20"/>
                <w:color w:val="auto"/>
              </w:rPr>
            </w:pPr>
            <w:r>
              <w:rPr>
                <w:rFonts w:ascii="Arial" w:cs="Arial" w:eastAsia="Arial" w:hAnsi="Arial"/>
                <w:sz w:val="14"/>
                <w:szCs w:val="14"/>
                <w:color w:val="auto"/>
              </w:rPr>
              <w:t>Interest on securities</w:t>
            </w:r>
          </w:p>
        </w:tc>
        <w:tc>
          <w:tcPr>
            <w:tcW w:w="106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347,309</w:t>
            </w:r>
          </w:p>
        </w:tc>
        <w:tc>
          <w:tcPr>
            <w:tcW w:w="106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382,140</w:t>
            </w:r>
          </w:p>
        </w:tc>
        <w:tc>
          <w:tcPr>
            <w:tcW w:w="106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385,874</w:t>
            </w:r>
          </w:p>
        </w:tc>
        <w:tc>
          <w:tcPr>
            <w:tcW w:w="9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11.1%</w:t>
            </w: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1,020,660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1,130,978</w:t>
            </w:r>
          </w:p>
        </w:tc>
        <w:tc>
          <w:tcPr>
            <w:tcW w:w="260" w:type="dxa"/>
            <w:vAlign w:val="bottom"/>
            <w:tcBorders>
              <w:right w:val="single" w:sz="8" w:color="CCEEFF"/>
            </w:tcBorders>
            <w:shd w:val="clear" w:color="auto" w:fill="CCEEFF"/>
          </w:tcPr>
          <w:p>
            <w:pPr>
              <w:spacing w:after="0"/>
              <w:rPr>
                <w:sz w:val="12"/>
                <w:szCs w:val="12"/>
                <w:color w:val="auto"/>
              </w:rPr>
            </w:pPr>
          </w:p>
        </w:tc>
        <w:tc>
          <w:tcPr>
            <w:tcW w:w="104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gridSpan w:val="2"/>
          </w:tcPr>
          <w:p>
            <w:pPr>
              <w:ind w:left="120"/>
              <w:spacing w:after="0" w:line="145" w:lineRule="exact"/>
              <w:rPr>
                <w:sz w:val="20"/>
                <w:szCs w:val="20"/>
                <w:color w:val="auto"/>
              </w:rPr>
            </w:pPr>
            <w:r>
              <w:rPr>
                <w:rFonts w:ascii="Arial" w:cs="Arial" w:eastAsia="Arial" w:hAnsi="Arial"/>
                <w:sz w:val="14"/>
                <w:szCs w:val="14"/>
                <w:color w:val="auto"/>
              </w:rPr>
              <w:t>Other interest income</w:t>
            </w:r>
          </w:p>
        </w:tc>
        <w:tc>
          <w:tcPr>
            <w:tcW w:w="106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11,047</w:t>
            </w:r>
          </w:p>
        </w:tc>
        <w:tc>
          <w:tcPr>
            <w:tcW w:w="106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15,640</w:t>
            </w:r>
          </w:p>
        </w:tc>
        <w:tc>
          <w:tcPr>
            <w:tcW w:w="106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25,924</w:t>
            </w:r>
          </w:p>
        </w:tc>
        <w:tc>
          <w:tcPr>
            <w:tcW w:w="9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65.8%</w:t>
            </w:r>
          </w:p>
        </w:tc>
        <w:tc>
          <w:tcPr>
            <w:tcW w:w="180" w:type="dxa"/>
            <w:vAlign w:val="bottom"/>
          </w:tcPr>
          <w:p>
            <w:pPr>
              <w:spacing w:after="0"/>
              <w:rPr>
                <w:sz w:val="12"/>
                <w:szCs w:val="12"/>
                <w:color w:val="auto"/>
              </w:rPr>
            </w:pPr>
          </w:p>
        </w:tc>
        <w:tc>
          <w:tcPr>
            <w:tcW w:w="72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134.7%</w:t>
            </w:r>
          </w:p>
        </w:tc>
        <w:tc>
          <w:tcPr>
            <w:tcW w:w="106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33,915</w:t>
            </w:r>
          </w:p>
        </w:tc>
        <w:tc>
          <w:tcPr>
            <w:tcW w:w="80" w:type="dxa"/>
            <w:vAlign w:val="bottom"/>
          </w:tcPr>
          <w:p>
            <w:pPr>
              <w:spacing w:after="0"/>
              <w:rPr>
                <w:sz w:val="12"/>
                <w:szCs w:val="12"/>
                <w:color w:val="auto"/>
              </w:rPr>
            </w:pPr>
          </w:p>
        </w:tc>
        <w:tc>
          <w:tcPr>
            <w:tcW w:w="100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50,795</w:t>
            </w:r>
          </w:p>
        </w:tc>
        <w:tc>
          <w:tcPr>
            <w:tcW w:w="1040" w:type="dxa"/>
            <w:vAlign w:val="bottom"/>
            <w:gridSpan w:val="3"/>
          </w:tcPr>
          <w:p>
            <w:pPr>
              <w:jc w:val="right"/>
              <w:ind w:right="20"/>
              <w:spacing w:after="0" w:line="145" w:lineRule="exact"/>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060" w:type="dxa"/>
            <w:vAlign w:val="bottom"/>
            <w:gridSpan w:val="2"/>
            <w:shd w:val="clear" w:color="auto" w:fill="CCEEFF"/>
          </w:tcPr>
          <w:p>
            <w:pPr>
              <w:spacing w:after="0" w:line="184" w:lineRule="exact"/>
              <w:rPr>
                <w:sz w:val="20"/>
                <w:szCs w:val="20"/>
                <w:color w:val="auto"/>
              </w:rPr>
            </w:pPr>
            <w:r>
              <w:rPr>
                <w:rFonts w:ascii="Arial" w:cs="Arial" w:eastAsia="Arial" w:hAnsi="Arial"/>
                <w:sz w:val="13"/>
                <w:szCs w:val="13"/>
                <w:b w:val="1"/>
                <w:bCs w:val="1"/>
                <w:color w:val="auto"/>
              </w:rPr>
              <w:t xml:space="preserve">Interest expense </w:t>
            </w:r>
            <w:r>
              <w:rPr>
                <w:rFonts w:ascii="Arial" w:cs="Arial" w:eastAsia="Arial" w:hAnsi="Arial"/>
                <w:sz w:val="21"/>
                <w:szCs w:val="21"/>
                <w:b w:val="1"/>
                <w:bCs w:val="1"/>
                <w:color w:val="auto"/>
                <w:vertAlign w:val="superscript"/>
              </w:rPr>
              <w:t>(1)</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791,665</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582,537</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599,292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2.9%</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-24.3%</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2,341,766</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1,874,519</w:t>
            </w:r>
          </w:p>
        </w:tc>
        <w:tc>
          <w:tcPr>
            <w:tcW w:w="260" w:type="dxa"/>
            <w:vAlign w:val="bottom"/>
            <w:tcBorders>
              <w:right w:val="single" w:sz="8" w:color="CCEEFF"/>
            </w:tcBorders>
            <w:shd w:val="clear" w:color="auto" w:fill="CCEEFF"/>
          </w:tcPr>
          <w:p>
            <w:pPr>
              <w:spacing w:after="0"/>
              <w:rPr>
                <w:sz w:val="15"/>
                <w:szCs w:val="15"/>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gridSpan w:val="2"/>
          </w:tcPr>
          <w:p>
            <w:pPr>
              <w:ind w:left="120"/>
              <w:spacing w:after="0" w:line="145" w:lineRule="exact"/>
              <w:rPr>
                <w:sz w:val="20"/>
                <w:szCs w:val="20"/>
                <w:color w:val="auto"/>
              </w:rPr>
            </w:pPr>
            <w:r>
              <w:rPr>
                <w:rFonts w:ascii="Arial" w:cs="Arial" w:eastAsia="Arial" w:hAnsi="Arial"/>
                <w:sz w:val="14"/>
                <w:szCs w:val="14"/>
                <w:color w:val="auto"/>
              </w:rPr>
              <w:t>Interest on deposits</w:t>
            </w:r>
          </w:p>
        </w:tc>
        <w:tc>
          <w:tcPr>
            <w:tcW w:w="106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258,838</w:t>
            </w:r>
          </w:p>
        </w:tc>
        <w:tc>
          <w:tcPr>
            <w:tcW w:w="106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210,275</w:t>
            </w:r>
          </w:p>
        </w:tc>
        <w:tc>
          <w:tcPr>
            <w:tcW w:w="106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209,564</w:t>
            </w:r>
          </w:p>
        </w:tc>
        <w:tc>
          <w:tcPr>
            <w:tcW w:w="9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-0.3%</w:t>
            </w:r>
          </w:p>
        </w:tc>
        <w:tc>
          <w:tcPr>
            <w:tcW w:w="180" w:type="dxa"/>
            <w:vAlign w:val="bottom"/>
          </w:tcPr>
          <w:p>
            <w:pPr>
              <w:spacing w:after="0"/>
              <w:rPr>
                <w:sz w:val="12"/>
                <w:szCs w:val="12"/>
                <w:color w:val="auto"/>
              </w:rPr>
            </w:pPr>
          </w:p>
        </w:tc>
        <w:tc>
          <w:tcPr>
            <w:tcW w:w="72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-19.0%</w:t>
            </w:r>
          </w:p>
        </w:tc>
        <w:tc>
          <w:tcPr>
            <w:tcW w:w="106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943,114</w:t>
            </w:r>
          </w:p>
        </w:tc>
        <w:tc>
          <w:tcPr>
            <w:tcW w:w="80" w:type="dxa"/>
            <w:vAlign w:val="bottom"/>
          </w:tcPr>
          <w:p>
            <w:pPr>
              <w:spacing w:after="0"/>
              <w:rPr>
                <w:sz w:val="12"/>
                <w:szCs w:val="12"/>
                <w:color w:val="auto"/>
              </w:rPr>
            </w:pPr>
          </w:p>
        </w:tc>
        <w:tc>
          <w:tcPr>
            <w:tcW w:w="100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642,482</w:t>
            </w:r>
          </w:p>
        </w:tc>
        <w:tc>
          <w:tcPr>
            <w:tcW w:w="1040" w:type="dxa"/>
            <w:vAlign w:val="bottom"/>
            <w:gridSpan w:val="3"/>
          </w:tcPr>
          <w:p>
            <w:pPr>
              <w:jc w:val="right"/>
              <w:ind w:right="20"/>
              <w:spacing w:after="0" w:line="145" w:lineRule="exact"/>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gridSpan w:val="2"/>
            <w:shd w:val="clear" w:color="auto" w:fill="CCEEFF"/>
          </w:tcPr>
          <w:p>
            <w:pPr>
              <w:ind w:left="120"/>
              <w:spacing w:after="0" w:line="145" w:lineRule="exact"/>
              <w:rPr>
                <w:sz w:val="20"/>
                <w:szCs w:val="20"/>
                <w:color w:val="auto"/>
              </w:rPr>
            </w:pPr>
            <w:r>
              <w:rPr>
                <w:rFonts w:ascii="Arial" w:cs="Arial" w:eastAsia="Arial" w:hAnsi="Arial"/>
                <w:sz w:val="14"/>
                <w:szCs w:val="14"/>
                <w:color w:val="auto"/>
              </w:rPr>
              <w:t>Interest on borrow ed funds</w:t>
            </w:r>
          </w:p>
        </w:tc>
        <w:tc>
          <w:tcPr>
            <w:tcW w:w="106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143,739</w:t>
            </w:r>
          </w:p>
        </w:tc>
        <w:tc>
          <w:tcPr>
            <w:tcW w:w="106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101,265</w:t>
            </w:r>
          </w:p>
        </w:tc>
        <w:tc>
          <w:tcPr>
            <w:tcW w:w="106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110,308</w:t>
            </w:r>
          </w:p>
        </w:tc>
        <w:tc>
          <w:tcPr>
            <w:tcW w:w="9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8.9%</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-23.3%</w:t>
            </w:r>
          </w:p>
        </w:tc>
        <w:tc>
          <w:tcPr>
            <w:tcW w:w="106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438,684</w:t>
            </w:r>
          </w:p>
        </w:tc>
        <w:tc>
          <w:tcPr>
            <w:tcW w:w="8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323,801</w:t>
            </w:r>
          </w:p>
        </w:tc>
        <w:tc>
          <w:tcPr>
            <w:tcW w:w="104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gridSpan w:val="2"/>
          </w:tcPr>
          <w:p>
            <w:pPr>
              <w:ind w:left="120"/>
              <w:spacing w:after="0" w:line="145" w:lineRule="exact"/>
              <w:rPr>
                <w:sz w:val="20"/>
                <w:szCs w:val="20"/>
                <w:color w:val="auto"/>
              </w:rPr>
            </w:pPr>
            <w:r>
              <w:rPr>
                <w:rFonts w:ascii="Arial" w:cs="Arial" w:eastAsia="Arial" w:hAnsi="Arial"/>
                <w:sz w:val="14"/>
                <w:szCs w:val="14"/>
                <w:color w:val="auto"/>
              </w:rPr>
              <w:t>Interest on bonds and subordinated notes</w:t>
            </w:r>
          </w:p>
        </w:tc>
        <w:tc>
          <w:tcPr>
            <w:tcW w:w="106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301,347</w:t>
            </w:r>
          </w:p>
        </w:tc>
        <w:tc>
          <w:tcPr>
            <w:tcW w:w="106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178,664</w:t>
            </w:r>
          </w:p>
        </w:tc>
        <w:tc>
          <w:tcPr>
            <w:tcW w:w="106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179,476</w:t>
            </w:r>
          </w:p>
        </w:tc>
        <w:tc>
          <w:tcPr>
            <w:tcW w:w="9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0.5%</w:t>
            </w:r>
          </w:p>
        </w:tc>
        <w:tc>
          <w:tcPr>
            <w:tcW w:w="180" w:type="dxa"/>
            <w:vAlign w:val="bottom"/>
          </w:tcPr>
          <w:p>
            <w:pPr>
              <w:spacing w:after="0"/>
              <w:rPr>
                <w:sz w:val="12"/>
                <w:szCs w:val="12"/>
                <w:color w:val="auto"/>
              </w:rPr>
            </w:pPr>
          </w:p>
        </w:tc>
        <w:tc>
          <w:tcPr>
            <w:tcW w:w="72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-40.4%</w:t>
            </w:r>
          </w:p>
        </w:tc>
        <w:tc>
          <w:tcPr>
            <w:tcW w:w="106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698,808</w:t>
            </w:r>
          </w:p>
        </w:tc>
        <w:tc>
          <w:tcPr>
            <w:tcW w:w="80" w:type="dxa"/>
            <w:vAlign w:val="bottom"/>
          </w:tcPr>
          <w:p>
            <w:pPr>
              <w:spacing w:after="0"/>
              <w:rPr>
                <w:sz w:val="12"/>
                <w:szCs w:val="12"/>
                <w:color w:val="auto"/>
              </w:rPr>
            </w:pPr>
          </w:p>
        </w:tc>
        <w:tc>
          <w:tcPr>
            <w:tcW w:w="100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625,111</w:t>
            </w:r>
          </w:p>
        </w:tc>
        <w:tc>
          <w:tcPr>
            <w:tcW w:w="1040" w:type="dxa"/>
            <w:vAlign w:val="bottom"/>
            <w:gridSpan w:val="3"/>
          </w:tcPr>
          <w:p>
            <w:pPr>
              <w:jc w:val="right"/>
              <w:ind w:right="20"/>
              <w:spacing w:after="0" w:line="145"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60" w:type="dxa"/>
            <w:vAlign w:val="bottom"/>
            <w:gridSpan w:val="2"/>
            <w:shd w:val="clear" w:color="auto" w:fill="CCEEFF"/>
          </w:tcPr>
          <w:p>
            <w:pPr>
              <w:ind w:left="120"/>
              <w:spacing w:after="0" w:line="197" w:lineRule="exact"/>
              <w:rPr>
                <w:sz w:val="20"/>
                <w:szCs w:val="20"/>
                <w:color w:val="auto"/>
              </w:rPr>
            </w:pPr>
            <w:r>
              <w:rPr>
                <w:rFonts w:ascii="Arial" w:cs="Arial" w:eastAsia="Arial" w:hAnsi="Arial"/>
                <w:sz w:val="13"/>
                <w:szCs w:val="13"/>
                <w:color w:val="auto"/>
              </w:rPr>
              <w:t xml:space="preserve">Other interest expense </w:t>
            </w:r>
            <w:r>
              <w:rPr>
                <w:rFonts w:ascii="Arial" w:cs="Arial" w:eastAsia="Arial" w:hAnsi="Arial"/>
                <w:sz w:val="22"/>
                <w:szCs w:val="22"/>
                <w:color w:val="auto"/>
                <w:vertAlign w:val="superscript"/>
              </w:rPr>
              <w:t>(1)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87,741</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92,333</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99,944</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8.2%</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13.9%</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261,160</w:t>
            </w:r>
          </w:p>
        </w:tc>
        <w:tc>
          <w:tcPr>
            <w:tcW w:w="8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283,125</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gridSpan w:val="2"/>
            <w:vMerge w:val="restart"/>
          </w:tcPr>
          <w:p>
            <w:pPr>
              <w:spacing w:after="0" w:line="197" w:lineRule="exact"/>
              <w:rPr>
                <w:sz w:val="20"/>
                <w:szCs w:val="20"/>
                <w:color w:val="auto"/>
              </w:rPr>
            </w:pPr>
            <w:r>
              <w:rPr>
                <w:rFonts w:ascii="Arial" w:cs="Arial" w:eastAsia="Arial" w:hAnsi="Arial"/>
                <w:sz w:val="13"/>
                <w:szCs w:val="13"/>
                <w:b w:val="1"/>
                <w:bCs w:val="1"/>
                <w:color w:val="auto"/>
              </w:rPr>
              <w:t xml:space="preserve">Net interest income </w:t>
            </w:r>
            <w:r>
              <w:rPr>
                <w:rFonts w:ascii="Arial" w:cs="Arial" w:eastAsia="Arial" w:hAnsi="Arial"/>
                <w:sz w:val="22"/>
                <w:szCs w:val="22"/>
                <w:b w:val="1"/>
                <w:bCs w:val="1"/>
                <w:color w:val="auto"/>
                <w:vertAlign w:val="superscript"/>
              </w:rPr>
              <w:t>(1)</w:t>
            </w: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3060" w:type="dxa"/>
            <w:vAlign w:val="bottom"/>
            <w:gridSpan w:val="2"/>
            <w:vMerge w:val="continue"/>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2,161,905</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2,309,042</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2,451,708</w:t>
            </w:r>
          </w:p>
        </w:tc>
        <w:tc>
          <w:tcPr>
            <w:tcW w:w="24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6.2%</w:t>
            </w:r>
          </w:p>
        </w:tc>
        <w:tc>
          <w:tcPr>
            <w:tcW w:w="1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13.4%</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6,502,782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6,884,133</w:t>
            </w:r>
          </w:p>
        </w:tc>
        <w:tc>
          <w:tcPr>
            <w:tcW w:w="26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gridSpan w:val="2"/>
            <w:vMerge w:val="restart"/>
            <w:shd w:val="clear" w:color="auto" w:fill="CCEEFF"/>
          </w:tcPr>
          <w:p>
            <w:pPr>
              <w:spacing w:after="0" w:line="184" w:lineRule="exact"/>
              <w:rPr>
                <w:sz w:val="20"/>
                <w:szCs w:val="20"/>
                <w:color w:val="auto"/>
              </w:rPr>
            </w:pPr>
            <w:r>
              <w:rPr>
                <w:rFonts w:ascii="Arial" w:cs="Arial" w:eastAsia="Arial" w:hAnsi="Arial"/>
                <w:sz w:val="13"/>
                <w:szCs w:val="13"/>
                <w:b w:val="1"/>
                <w:bCs w:val="1"/>
                <w:color w:val="auto"/>
              </w:rPr>
              <w:t xml:space="preserve">Adjusted Net interest income </w:t>
            </w:r>
            <w:r>
              <w:rPr>
                <w:rFonts w:ascii="Arial" w:cs="Arial" w:eastAsia="Arial" w:hAnsi="Arial"/>
                <w:sz w:val="21"/>
                <w:szCs w:val="21"/>
                <w:b w:val="1"/>
                <w:bCs w:val="1"/>
                <w:color w:val="auto"/>
                <w:vertAlign w:val="superscript"/>
              </w:rPr>
              <w:t>(2)</w:t>
            </w: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06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2,179,853</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2,266,743</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2,420,842</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6.8%</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11.1%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6,937,888</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6,848,096</w:t>
            </w:r>
          </w:p>
        </w:tc>
        <w:tc>
          <w:tcPr>
            <w:tcW w:w="260" w:type="dxa"/>
            <w:vAlign w:val="bottom"/>
            <w:tcBorders>
              <w:right w:val="single" w:sz="8" w:color="CCEEFF"/>
            </w:tcBorders>
            <w:shd w:val="clear" w:color="auto" w:fill="CCEEFF"/>
          </w:tcPr>
          <w:p>
            <w:pPr>
              <w:spacing w:after="0"/>
              <w:rPr>
                <w:sz w:val="14"/>
                <w:szCs w:val="14"/>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gridSpan w:val="2"/>
            <w:vMerge w:val="restart"/>
          </w:tcPr>
          <w:p>
            <w:pPr>
              <w:spacing w:after="0" w:line="184" w:lineRule="exact"/>
              <w:rPr>
                <w:sz w:val="20"/>
                <w:szCs w:val="20"/>
                <w:color w:val="auto"/>
              </w:rPr>
            </w:pPr>
            <w:r>
              <w:rPr>
                <w:rFonts w:ascii="Arial" w:cs="Arial" w:eastAsia="Arial" w:hAnsi="Arial"/>
                <w:sz w:val="13"/>
                <w:szCs w:val="13"/>
                <w:b w:val="1"/>
                <w:bCs w:val="1"/>
                <w:color w:val="auto"/>
              </w:rPr>
              <w:t xml:space="preserve">Risk-adjusted Net interest income </w:t>
            </w:r>
            <w:r>
              <w:rPr>
                <w:rFonts w:ascii="Arial" w:cs="Arial" w:eastAsia="Arial" w:hAnsi="Arial"/>
                <w:sz w:val="21"/>
                <w:szCs w:val="21"/>
                <w:b w:val="1"/>
                <w:bCs w:val="1"/>
                <w:color w:val="auto"/>
                <w:vertAlign w:val="superscript"/>
              </w:rPr>
              <w:t>(1)</w:t>
            </w: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856,000</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1,945,662</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2,287,294</w:t>
            </w:r>
          </w:p>
        </w:tc>
        <w:tc>
          <w:tcPr>
            <w:tcW w:w="24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17.6%</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167.2%</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1,314,939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5,798,692</w:t>
            </w:r>
          </w:p>
        </w:tc>
        <w:tc>
          <w:tcPr>
            <w:tcW w:w="26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341.0%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gridSpan w:val="2"/>
            <w:vMerge w:val="restart"/>
            <w:shd w:val="clear" w:color="auto" w:fill="CCEEFF"/>
          </w:tcPr>
          <w:p>
            <w:pPr>
              <w:spacing w:after="0" w:line="184" w:lineRule="exact"/>
              <w:rPr>
                <w:sz w:val="20"/>
                <w:szCs w:val="20"/>
                <w:color w:val="auto"/>
              </w:rPr>
            </w:pPr>
            <w:r>
              <w:rPr>
                <w:rFonts w:ascii="Arial" w:cs="Arial" w:eastAsia="Arial" w:hAnsi="Arial"/>
                <w:sz w:val="13"/>
                <w:szCs w:val="13"/>
                <w:color w:val="auto"/>
              </w:rPr>
              <w:t xml:space="preserve">Average interest earning assets </w:t>
            </w:r>
            <w:r>
              <w:rPr>
                <w:rFonts w:ascii="Arial" w:cs="Arial" w:eastAsia="Arial" w:hAnsi="Arial"/>
                <w:sz w:val="21"/>
                <w:szCs w:val="21"/>
                <w:color w:val="auto"/>
                <w:vertAlign w:val="superscript"/>
              </w:rPr>
              <w:t>(1)</w:t>
            </w: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06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213,481,060</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230,237,853</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231,912,064</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0.7%</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8.6%</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196,714,050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229,486,667</w:t>
            </w:r>
          </w:p>
        </w:tc>
        <w:tc>
          <w:tcPr>
            <w:tcW w:w="260" w:type="dxa"/>
            <w:vAlign w:val="bottom"/>
            <w:tcBorders>
              <w:right w:val="single" w:sz="8" w:color="CCEEFF"/>
            </w:tcBorders>
            <w:shd w:val="clear" w:color="auto" w:fill="CCEEFF"/>
          </w:tcPr>
          <w:p>
            <w:pPr>
              <w:spacing w:after="0"/>
              <w:rPr>
                <w:sz w:val="14"/>
                <w:szCs w:val="14"/>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gridSpan w:val="2"/>
            <w:vMerge w:val="restart"/>
          </w:tcPr>
          <w:p>
            <w:pPr>
              <w:spacing w:after="0" w:line="184" w:lineRule="exact"/>
              <w:rPr>
                <w:sz w:val="20"/>
                <w:szCs w:val="20"/>
                <w:color w:val="auto"/>
              </w:rPr>
            </w:pPr>
            <w:r>
              <w:rPr>
                <w:rFonts w:ascii="Arial" w:cs="Arial" w:eastAsia="Arial" w:hAnsi="Arial"/>
                <w:sz w:val="13"/>
                <w:szCs w:val="13"/>
                <w:b w:val="1"/>
                <w:bCs w:val="1"/>
                <w:color w:val="auto"/>
              </w:rPr>
              <w:t xml:space="preserve">Net interest margin </w:t>
            </w:r>
            <w:r>
              <w:rPr>
                <w:rFonts w:ascii="Arial" w:cs="Arial" w:eastAsia="Arial" w:hAnsi="Arial"/>
                <w:sz w:val="21"/>
                <w:szCs w:val="21"/>
                <w:b w:val="1"/>
                <w:bCs w:val="1"/>
                <w:color w:val="auto"/>
                <w:vertAlign w:val="superscript"/>
              </w:rPr>
              <w:t>(3)</w:t>
            </w: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4.05%</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4.01%</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4.23%</w:t>
            </w:r>
          </w:p>
        </w:tc>
        <w:tc>
          <w:tcPr>
            <w:tcW w:w="10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22bps</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18bps</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4.41%</w:t>
            </w:r>
          </w:p>
        </w:tc>
        <w:tc>
          <w:tcPr>
            <w:tcW w:w="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4.00%</w:t>
            </w:r>
          </w:p>
        </w:tc>
        <w:tc>
          <w:tcPr>
            <w:tcW w:w="10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-41bps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060" w:type="dxa"/>
            <w:vAlign w:val="bottom"/>
            <w:gridSpan w:val="2"/>
            <w:shd w:val="clear" w:color="auto" w:fill="CCEEFF"/>
          </w:tcPr>
          <w:p>
            <w:pPr>
              <w:spacing w:after="0" w:line="184" w:lineRule="exact"/>
              <w:rPr>
                <w:sz w:val="20"/>
                <w:szCs w:val="20"/>
                <w:color w:val="auto"/>
              </w:rPr>
            </w:pPr>
            <w:r>
              <w:rPr>
                <w:rFonts w:ascii="Arial" w:cs="Arial" w:eastAsia="Arial" w:hAnsi="Arial"/>
                <w:sz w:val="13"/>
                <w:szCs w:val="13"/>
                <w:b w:val="1"/>
                <w:bCs w:val="1"/>
                <w:color w:val="auto"/>
              </w:rPr>
              <w:t xml:space="preserve">Risk-adjusted Net interest margin </w:t>
            </w:r>
            <w:r>
              <w:rPr>
                <w:rFonts w:ascii="Arial" w:cs="Arial" w:eastAsia="Arial" w:hAnsi="Arial"/>
                <w:sz w:val="21"/>
                <w:szCs w:val="21"/>
                <w:b w:val="1"/>
                <w:bCs w:val="1"/>
                <w:color w:val="auto"/>
                <w:vertAlign w:val="superscript"/>
              </w:rPr>
              <w:t>(3)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1.60%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3.38%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3.95%</w:t>
            </w:r>
          </w:p>
        </w:tc>
        <w:tc>
          <w:tcPr>
            <w:tcW w:w="108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b w:val="1"/>
                <w:bCs w:val="1"/>
                <w:color w:val="auto"/>
              </w:rPr>
              <w:t>57bps</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w w:val="95"/>
              </w:rPr>
              <w:t>235bps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0.89%</w:t>
            </w:r>
          </w:p>
        </w:tc>
        <w:tc>
          <w:tcPr>
            <w:tcW w:w="80" w:type="dxa"/>
            <w:vAlign w:val="bottom"/>
            <w:shd w:val="clear" w:color="auto" w:fill="CCEEFF"/>
          </w:tcPr>
          <w:p>
            <w:pPr>
              <w:spacing w:after="0"/>
              <w:rPr>
                <w:sz w:val="15"/>
                <w:szCs w:val="15"/>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3.37%</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248bps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60" w:type="dxa"/>
            <w:vAlign w:val="bottom"/>
            <w:gridSpan w:val="2"/>
          </w:tcPr>
          <w:p>
            <w:pPr>
              <w:spacing w:after="0" w:line="122" w:lineRule="exact"/>
              <w:rPr>
                <w:sz w:val="20"/>
                <w:szCs w:val="20"/>
                <w:color w:val="auto"/>
              </w:rPr>
            </w:pPr>
            <w:r>
              <w:rPr>
                <w:rFonts w:ascii="Arial" w:cs="Arial" w:eastAsia="Arial" w:hAnsi="Arial"/>
                <w:sz w:val="14"/>
                <w:szCs w:val="14"/>
                <w:b w:val="1"/>
                <w:bCs w:val="1"/>
                <w:color w:val="auto"/>
              </w:rPr>
              <w:t>Net provisions for loan losses / Net interest</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60.41%</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15.74%</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6.71%</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-9.0%</w:t>
            </w:r>
          </w:p>
        </w:tc>
        <w:tc>
          <w:tcPr>
            <w:tcW w:w="18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-53.7%</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79.78%</w:t>
            </w:r>
          </w:p>
        </w:tc>
        <w:tc>
          <w:tcPr>
            <w:tcW w:w="80" w:type="dxa"/>
            <w:vAlign w:val="bottom"/>
          </w:tcPr>
          <w:p>
            <w:pPr>
              <w:spacing w:after="0"/>
              <w:rPr>
                <w:sz w:val="10"/>
                <w:szCs w:val="10"/>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15.77%</w:t>
            </w: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-64.01%</w:t>
            </w:r>
          </w:p>
        </w:tc>
        <w:tc>
          <w:tcPr>
            <w:tcW w:w="0" w:type="dxa"/>
            <w:vAlign w:val="bottom"/>
          </w:tcPr>
          <w:p>
            <w:pPr>
              <w:spacing w:after="0"/>
              <w:rPr>
                <w:sz w:val="1"/>
                <w:szCs w:val="1"/>
                <w:color w:val="auto"/>
              </w:rPr>
            </w:pPr>
          </w:p>
        </w:tc>
      </w:tr>
      <w:tr>
        <w:trPr>
          <w:trHeight w:val="154"/>
        </w:trPr>
        <w:tc>
          <w:tcPr>
            <w:tcW w:w="3080" w:type="dxa"/>
            <w:vAlign w:val="bottom"/>
            <w:gridSpan w:val="3"/>
          </w:tcPr>
          <w:p>
            <w:pPr>
              <w:spacing w:after="0" w:line="154" w:lineRule="exact"/>
              <w:rPr>
                <w:sz w:val="20"/>
                <w:szCs w:val="20"/>
                <w:color w:val="auto"/>
              </w:rPr>
            </w:pPr>
            <w:r>
              <w:rPr>
                <w:rFonts w:ascii="Arial" w:cs="Arial" w:eastAsia="Arial" w:hAnsi="Arial"/>
                <w:sz w:val="14"/>
                <w:szCs w:val="14"/>
                <w:b w:val="1"/>
                <w:bCs w:val="1"/>
                <w:color w:val="auto"/>
              </w:rPr>
              <w:t>income</w:t>
            </w:r>
          </w:p>
        </w:tc>
        <w:tc>
          <w:tcPr>
            <w:tcW w:w="106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46"/>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Figures differ from previously reported.</w:t>
      </w:r>
    </w:p>
    <w:p>
      <w:pPr>
        <w:spacing w:after="0" w:line="14" w:lineRule="exact"/>
        <w:rPr>
          <w:rFonts w:ascii="Arial" w:cs="Arial" w:eastAsia="Arial" w:hAnsi="Arial"/>
          <w:sz w:val="18"/>
          <w:szCs w:val="18"/>
          <w:color w:val="auto"/>
        </w:rPr>
      </w:pPr>
    </w:p>
    <w:p>
      <w:pPr>
        <w:ind w:left="260" w:hanging="255"/>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for (i) impairment from cero interest-rate loans and (ii) expenses related to liability management operations at BCP Stand-Alone.</w:t>
      </w:r>
    </w:p>
    <w:p>
      <w:pPr>
        <w:spacing w:after="0" w:line="3" w:lineRule="exact"/>
        <w:rPr>
          <w:rFonts w:ascii="Arial" w:cs="Arial" w:eastAsia="Arial" w:hAnsi="Arial"/>
          <w:sz w:val="18"/>
          <w:szCs w:val="18"/>
          <w:color w:val="auto"/>
        </w:rPr>
      </w:pPr>
    </w:p>
    <w:p>
      <w:pPr>
        <w:ind w:left="260" w:hanging="255"/>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Anualizado.</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Net Interest Income</w:t>
      </w:r>
    </w:p>
    <w:p>
      <w:pPr>
        <w:sectPr>
          <w:pgSz w:w="11900" w:h="16838" w:orient="portrait"/>
          <w:cols w:equalWidth="0" w:num="1">
            <w:col w:w="11240"/>
          </w:cols>
          <w:pgMar w:left="320" w:top="1093" w:right="339" w:bottom="435" w:gutter="0" w:footer="0" w:header="0"/>
        </w:sectPr>
      </w:pPr>
    </w:p>
    <w:p>
      <w:pPr>
        <w:spacing w:after="0" w:line="213" w:lineRule="exact"/>
        <w:rPr>
          <w:sz w:val="20"/>
          <w:szCs w:val="20"/>
          <w:color w:val="auto"/>
        </w:rPr>
      </w:pPr>
    </w:p>
    <w:p>
      <w:pPr>
        <w:jc w:val="center"/>
        <w:ind w:right="720"/>
        <w:spacing w:after="0"/>
        <w:rPr>
          <w:sz w:val="20"/>
          <w:szCs w:val="20"/>
          <w:color w:val="auto"/>
        </w:rPr>
      </w:pPr>
      <w:r>
        <w:rPr>
          <w:rFonts w:ascii="Arial" w:cs="Arial" w:eastAsia="Arial" w:hAnsi="Arial"/>
          <w:sz w:val="15"/>
          <w:szCs w:val="15"/>
          <w:b w:val="1"/>
          <w:bCs w:val="1"/>
          <w:color w:val="auto"/>
        </w:rPr>
        <w:t>Interest income – local currency</w:t>
      </w:r>
    </w:p>
    <w:p>
      <w:pPr>
        <w:spacing w:after="0" w:line="55"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135890</wp:posOffset>
            </wp:positionV>
            <wp:extent cx="6118860" cy="19672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18860" cy="1967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1440"/>
        <w:spacing w:after="0"/>
        <w:rPr>
          <w:sz w:val="20"/>
          <w:szCs w:val="20"/>
          <w:color w:val="auto"/>
        </w:rPr>
      </w:pPr>
      <w:r>
        <w:rPr>
          <w:rFonts w:ascii="Arial" w:cs="Arial" w:eastAsia="Arial" w:hAnsi="Arial"/>
          <w:sz w:val="15"/>
          <w:szCs w:val="15"/>
          <w:b w:val="1"/>
          <w:bCs w:val="1"/>
          <w:color w:val="auto"/>
        </w:rPr>
        <w:t>Interest income – foreign currency</w:t>
      </w:r>
    </w:p>
    <w:p>
      <w:pPr>
        <w:spacing w:after="0" w:line="55"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368935</wp:posOffset>
            </wp:positionV>
            <wp:extent cx="2826385" cy="13589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000000"/>
                        </a:clrFrom>
                        <a:clrTo>
                          <a:srgbClr val="000000">
                            <a:alpha val="0"/>
                          </a:srgbClr>
                        </a:clrTo>
                      </a:clrChange>
                      <a:extLst>
                        <a:ext uri="{28A0092B-C50C-407E-A947-70E740481C1C}"/>
                      </a:extLst>
                    </a:blip>
                    <a:srcRect/>
                    <a:stretch>
                      <a:fillRect/>
                    </a:stretch>
                  </pic:blipFill>
                  <pic:spPr bwMode="auto">
                    <a:xfrm>
                      <a:off x="0" y="0"/>
                      <a:ext cx="2826385" cy="1358900"/>
                    </a:xfrm>
                    <a:prstGeom prst="rect">
                      <a:avLst/>
                    </a:prstGeom>
                    <a:noFill/>
                  </pic:spPr>
                </pic:pic>
              </a:graphicData>
            </a:graphic>
          </wp:anchor>
        </w:drawing>
        <w:drawing>
          <wp:anchor simplePos="0" relativeHeight="251657728" behindDoc="1" locked="0" layoutInCell="0" allowOverlap="1">
            <wp:simplePos x="0" y="0"/>
            <wp:positionH relativeFrom="column">
              <wp:posOffset>-666750</wp:posOffset>
            </wp:positionH>
            <wp:positionV relativeFrom="paragraph">
              <wp:posOffset>368935</wp:posOffset>
            </wp:positionV>
            <wp:extent cx="2826385" cy="13589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2826385" cy="13589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20" w:space="720"/>
            <w:col w:w="4000"/>
          </w:cols>
          <w:pgMar w:left="320" w:top="1093" w:right="339" w:bottom="43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QoQ analysis, the +5.5% increase in interest income was driven, to a large extent, by the uptick in the exchange rate. If we exclude this effect, interest income rose 4.3% in a context of higher interest rates and an increase in loans at BCP Stand-alone and to a lesser extent, by Mibanco. Interest generation was driven by the following dynamics:</w:t>
      </w:r>
    </w:p>
    <w:p>
      <w:pPr>
        <w:spacing w:after="0" w:line="188" w:lineRule="exact"/>
        <w:rPr>
          <w:sz w:val="20"/>
          <w:szCs w:val="20"/>
          <w:color w:val="auto"/>
        </w:rPr>
      </w:pPr>
    </w:p>
    <w:p>
      <w:pPr>
        <w:jc w:val="both"/>
        <w:ind w:left="640" w:hanging="320"/>
        <w:spacing w:after="0" w:line="252"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Rate effect: QoQ, the rates evolved positive, mainly in the investment portfolio. This evolution was driven by an increase in yields due to an uptick in market rates. The rate effect was also positive for total loans but was partially offset by a drop in rates in Wholesale Banking due to the competitive environment.</w:t>
      </w:r>
    </w:p>
    <w:p>
      <w:pPr>
        <w:spacing w:after="0" w:line="188" w:lineRule="exact"/>
        <w:rPr>
          <w:rFonts w:ascii="Arial" w:cs="Arial" w:eastAsia="Arial" w:hAnsi="Arial"/>
          <w:sz w:val="18"/>
          <w:szCs w:val="18"/>
          <w:color w:val="auto"/>
        </w:rPr>
      </w:pPr>
    </w:p>
    <w:p>
      <w:pPr>
        <w:ind w:left="640" w:hanging="320"/>
        <w:spacing w:after="0" w:line="260"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Volume effect: The volume effect, driven by loan growth, was positive but was partially offset by a drop in total investments in BCP Stand-alone’s portfolio. This dynamic generated a more profitable IEA structure.</w:t>
      </w:r>
    </w:p>
    <w:p>
      <w:pPr>
        <w:spacing w:after="0" w:line="1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YoY analysis, interest income rose +3.3% (+5.5% adjusted, excluding non-recurring charges for impairment amortization). This evolution was driven to a significant extent by an uptick in the exchange rate. If we exclude the exchange rate effect, interest income grew 0.5% (+2.6% adjusted), in a context affected by the increase in the volume of structural loans and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terms of the volume and rate effects, the evolutions were as follows</w:t>
      </w:r>
    </w:p>
    <w:p>
      <w:pPr>
        <w:spacing w:after="0" w:line="213" w:lineRule="exact"/>
        <w:rPr>
          <w:sz w:val="20"/>
          <w:szCs w:val="20"/>
          <w:color w:val="auto"/>
        </w:rPr>
      </w:pPr>
    </w:p>
    <w:p>
      <w:pPr>
        <w:ind w:left="640" w:hanging="32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Volume Effect: driven primarily by growth in structural loans and in the investment portfolio.</w:t>
      </w:r>
    </w:p>
    <w:p>
      <w:pPr>
        <w:spacing w:after="0" w:line="213" w:lineRule="exact"/>
        <w:rPr>
          <w:rFonts w:ascii="Arial" w:cs="Arial" w:eastAsia="Arial" w:hAnsi="Arial"/>
          <w:sz w:val="18"/>
          <w:szCs w:val="18"/>
          <w:color w:val="auto"/>
        </w:rPr>
      </w:pPr>
    </w:p>
    <w:p>
      <w:pPr>
        <w:jc w:val="both"/>
        <w:ind w:left="640" w:hanging="320"/>
        <w:spacing w:after="0" w:line="249"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Rate effect: the rate effect was negative and partially offset the positive effect generated by the mix. YoY, active interest rates fell, mainly in Wholesale Banking, where working capital and financing for invoices were the most affected. Retail Banking segments, specifically Mortgage and Credit Card, were also negatively impacted by interest rates. This was, however, partially offset by growth in yields after moves were made to increase the duration of the portfolio.</w:t>
      </w:r>
    </w:p>
    <w:p>
      <w:pPr>
        <w:spacing w:after="0" w:line="200" w:lineRule="exact"/>
        <w:rPr>
          <w:sz w:val="20"/>
          <w:szCs w:val="20"/>
          <w:color w:val="auto"/>
        </w:rPr>
      </w:pPr>
    </w:p>
    <w:p>
      <w:pPr>
        <w:spacing w:after="0" w:line="201"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1093" w:right="339" w:bottom="435" w:gutter="0" w:footer="0" w:header="0"/>
          <w:type w:val="continuous"/>
        </w:sectPr>
      </w:pPr>
    </w:p>
    <w:bookmarkStart w:id="25" w:name="page26"/>
    <w:bookmarkEnd w:id="25"/>
    <w:p>
      <w:pPr>
        <w:jc w:val="both"/>
        <w:spacing w:after="0" w:line="290" w:lineRule="auto"/>
        <w:rPr>
          <w:sz w:val="20"/>
          <w:szCs w:val="20"/>
          <w:color w:val="auto"/>
        </w:rPr>
      </w:pPr>
      <w:r>
        <w:rPr>
          <w:rFonts w:ascii="Arial" w:cs="Arial" w:eastAsia="Arial" w:hAnsi="Arial"/>
          <w:sz w:val="16"/>
          <w:szCs w:val="16"/>
          <w:color w:val="auto"/>
        </w:rPr>
        <w:t>YTD, interest income fell -1.0% (-5.9% adjusted, excluding non-recurring charges for impairment amortization). This evolution was driven by a drop in interest on loans and in interest on deposits in other banks. Lower interest from loans was primarily due to a drop in structural loan volumes, in particular in the Corporate and Credit Card segments. The performance of the loan portfolio and of liquid assets were impacted by lower interest rates. This dynamic was partially offset by an increase in interest from securities, which was attributable to an uptick in the average investment amount.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Interest Expenses</w:t>
      </w:r>
    </w:p>
    <w:p>
      <w:pPr>
        <w:sectPr>
          <w:pgSz w:w="11900" w:h="16838" w:orient="portrait"/>
          <w:cols w:equalWidth="0" w:num="1">
            <w:col w:w="11240"/>
          </w:cols>
          <w:pgMar w:left="320" w:top="889" w:right="339" w:bottom="1440" w:gutter="0" w:footer="0" w:header="0"/>
        </w:sectPr>
      </w:pPr>
    </w:p>
    <w:p>
      <w:pPr>
        <w:spacing w:after="0" w:line="213" w:lineRule="exact"/>
        <w:rPr>
          <w:sz w:val="20"/>
          <w:szCs w:val="20"/>
          <w:color w:val="auto"/>
        </w:rPr>
      </w:pPr>
    </w:p>
    <w:p>
      <w:pPr>
        <w:jc w:val="center"/>
        <w:ind w:right="640"/>
        <w:spacing w:after="0"/>
        <w:rPr>
          <w:sz w:val="20"/>
          <w:szCs w:val="20"/>
          <w:color w:val="auto"/>
        </w:rPr>
      </w:pPr>
      <w:r>
        <w:rPr>
          <w:rFonts w:ascii="Arial" w:cs="Arial" w:eastAsia="Arial" w:hAnsi="Arial"/>
          <w:sz w:val="15"/>
          <w:szCs w:val="15"/>
          <w:b w:val="1"/>
          <w:bCs w:val="1"/>
          <w:color w:val="auto"/>
        </w:rPr>
        <w:t>Interest expenses – Local Currency</w:t>
      </w:r>
    </w:p>
    <w:p>
      <w:pPr>
        <w:spacing w:after="0" w:line="55"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 millions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135890</wp:posOffset>
            </wp:positionV>
            <wp:extent cx="6152515" cy="22256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52515" cy="22256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1340"/>
        <w:spacing w:after="0"/>
        <w:rPr>
          <w:sz w:val="20"/>
          <w:szCs w:val="20"/>
          <w:color w:val="auto"/>
        </w:rPr>
      </w:pPr>
      <w:r>
        <w:rPr>
          <w:rFonts w:ascii="Arial" w:cs="Arial" w:eastAsia="Arial" w:hAnsi="Arial"/>
          <w:sz w:val="15"/>
          <w:szCs w:val="15"/>
          <w:b w:val="1"/>
          <w:bCs w:val="1"/>
          <w:color w:val="auto"/>
        </w:rPr>
        <w:t>Interest expenses – Foreign currency</w:t>
      </w:r>
    </w:p>
    <w:p>
      <w:pPr>
        <w:spacing w:after="0" w:line="55" w:lineRule="exact"/>
        <w:rPr>
          <w:sz w:val="20"/>
          <w:szCs w:val="20"/>
          <w:color w:val="auto"/>
        </w:rPr>
      </w:pPr>
    </w:p>
    <w:p>
      <w:pPr>
        <w:jc w:val="center"/>
        <w:ind w:right="134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135890</wp:posOffset>
            </wp:positionV>
            <wp:extent cx="2809240" cy="17589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000000"/>
                        </a:clrFrom>
                        <a:clrTo>
                          <a:srgbClr val="000000">
                            <a:alpha val="0"/>
                          </a:srgbClr>
                        </a:clrTo>
                      </a:clrChange>
                      <a:extLst>
                        <a:ext uri="{28A0092B-C50C-407E-A947-70E740481C1C}"/>
                      </a:extLst>
                    </a:blip>
                    <a:srcRect/>
                    <a:stretch>
                      <a:fillRect/>
                    </a:stretch>
                  </pic:blipFill>
                  <pic:spPr bwMode="auto">
                    <a:xfrm>
                      <a:off x="0" y="0"/>
                      <a:ext cx="2809240" cy="1758950"/>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135890</wp:posOffset>
            </wp:positionV>
            <wp:extent cx="2809240" cy="17589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2809240" cy="17589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40" w:space="720"/>
            <w:col w:w="4080"/>
          </w:cols>
          <w:pgMar w:left="320" w:top="88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 the QoQ analysis interest expenses rose +2.9%; this was attributable to an increase in FC expenses, which was driven by the exchange rate effect. If we exclude this effect, interest expenses rose 0.2%, which was attributable to:</w:t>
      </w:r>
    </w:p>
    <w:p>
      <w:pPr>
        <w:spacing w:after="0" w:line="182" w:lineRule="exact"/>
        <w:rPr>
          <w:sz w:val="20"/>
          <w:szCs w:val="20"/>
          <w:color w:val="auto"/>
        </w:rPr>
      </w:pPr>
    </w:p>
    <w:p>
      <w:pPr>
        <w:ind w:left="620" w:hanging="313"/>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mix effect: funding from low-cost government loans was replaced by debt obligations with foreign banks, which have higher interest rates.</w:t>
      </w:r>
    </w:p>
    <w:p>
      <w:pPr>
        <w:spacing w:after="0" w:line="236" w:lineRule="exact"/>
        <w:rPr>
          <w:rFonts w:ascii="Arial" w:cs="Arial" w:eastAsia="Arial" w:hAnsi="Arial"/>
          <w:sz w:val="16"/>
          <w:szCs w:val="16"/>
          <w:color w:val="auto"/>
        </w:rPr>
      </w:pPr>
    </w:p>
    <w:p>
      <w:pPr>
        <w:ind w:left="620" w:hanging="313"/>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Rate effect: the increase in market rates also contributed, although to a lesser extent, to growth in interest expenses.</w:t>
      </w:r>
    </w:p>
    <w:p>
      <w:pPr>
        <w:spacing w:after="0" w:line="213"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In the YoY analysis, interest expenses fell -24.3% (-12.3% when adjusted for non-recurring expenses in 3Q20 for a liability management transaction). If we apply a constant rate of exchange, interest expenses fell -29% YoY (-17.7% when adjusted for non-recurring). This dynamic was attributable to:</w:t>
      </w:r>
    </w:p>
    <w:p>
      <w:pPr>
        <w:spacing w:after="0" w:line="135" w:lineRule="exact"/>
        <w:rPr>
          <w:sz w:val="20"/>
          <w:szCs w:val="20"/>
          <w:color w:val="auto"/>
        </w:rPr>
      </w:pPr>
    </w:p>
    <w:p>
      <w:pPr>
        <w:ind w:left="640" w:hanging="320"/>
        <w:spacing w:after="0" w:line="260"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Rate effect: reduction in the rate on Bonds and Issued Notes, which was mainly attributable to a subordinated debt transaction at BCP Stand-alone. The decrease in market rates also contributed, albeit to a lesser extent, to a reduction in interest expenses.</w:t>
      </w:r>
    </w:p>
    <w:p>
      <w:pPr>
        <w:spacing w:after="0" w:line="181" w:lineRule="exact"/>
        <w:rPr>
          <w:rFonts w:ascii="Arial" w:cs="Arial" w:eastAsia="Arial" w:hAnsi="Arial"/>
          <w:sz w:val="18"/>
          <w:szCs w:val="18"/>
          <w:color w:val="auto"/>
        </w:rPr>
      </w:pPr>
    </w:p>
    <w:p>
      <w:pPr>
        <w:ind w:left="640" w:hanging="320"/>
        <w:spacing w:after="0" w:line="260"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Mix effect: Low-cost deposits increased their share of total funding (demand deposits and savings deposits) while due to banks and correspondents registered a reduction in share during the same period.</w:t>
      </w:r>
    </w:p>
    <w:p>
      <w:pPr>
        <w:spacing w:after="0" w:line="1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YTD, interest expenses fell -20.0%. This variation reflects the positive effect generated by the drop in market rates; the impact of the liability management transaction at BCP Stand-alone in 3Q20 and 1Q21; and a change in the funding mix, where lower-cost sources of funding tied to government pandemic relief initiatives replaced higher-cost funding sources in the mix.</w:t>
      </w:r>
    </w:p>
    <w:p>
      <w:pPr>
        <w:spacing w:after="0" w:line="398"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3.3. Net interest margin (NIM) and Risk-adjusted NIM</w:t>
      </w:r>
    </w:p>
    <w:p>
      <w:pPr>
        <w:spacing w:after="0" w:line="21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NIM and Risk-adjusted NIM at 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147320</wp:posOffset>
            </wp:positionV>
            <wp:extent cx="6577330" cy="31762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77330" cy="317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100"/>
        <w:spacing w:after="0" w:line="251" w:lineRule="auto"/>
        <w:rPr>
          <w:sz w:val="20"/>
          <w:szCs w:val="20"/>
          <w:color w:val="auto"/>
        </w:rPr>
      </w:pPr>
      <w:r>
        <w:rPr>
          <w:rFonts w:ascii="Arial" w:cs="Arial" w:eastAsia="Arial" w:hAnsi="Arial"/>
          <w:sz w:val="18"/>
          <w:szCs w:val="18"/>
          <w:b w:val="1"/>
          <w:bCs w:val="1"/>
          <w:color w:val="auto"/>
        </w:rPr>
        <w:t xml:space="preserve">NIM </w:t>
      </w:r>
      <w:r>
        <w:rPr>
          <w:rFonts w:ascii="Arial" w:cs="Arial" w:eastAsia="Arial" w:hAnsi="Arial"/>
          <w:sz w:val="18"/>
          <w:szCs w:val="18"/>
          <w:color w:val="auto"/>
        </w:rPr>
        <w:t>stood at 4.23% in 3Q21, which topped the 4.01% reported in 2Q21 and the 4.05% registered in 3Q20. The margin was impacted by non-recurring charges</w:t>
      </w:r>
      <w:r>
        <w:rPr>
          <w:rFonts w:ascii="Arial" w:cs="Arial" w:eastAsia="Arial" w:hAnsi="Arial"/>
          <w:sz w:val="18"/>
          <w:szCs w:val="18"/>
          <w:b w:val="1"/>
          <w:bCs w:val="1"/>
          <w:color w:val="auto"/>
        </w:rPr>
        <w:t xml:space="preserve"> </w:t>
      </w:r>
      <w:r>
        <w:rPr>
          <w:rFonts w:ascii="Arial" w:cs="Arial" w:eastAsia="Arial" w:hAnsi="Arial"/>
          <w:sz w:val="18"/>
          <w:szCs w:val="18"/>
          <w:color w:val="auto"/>
        </w:rPr>
        <w:t>for impairment amortization. The impact of these charges on NIM was positive: +5bps for 3Q21. Also, NIM continued to be impacted by the presence of government loans. The impact of these loans on NIM is negative: -35 bps in 3T21. The analysis of structural NIM, which excludes non-recurring charges and government loans, indicates:</w:t>
      </w:r>
    </w:p>
    <w:p>
      <w:pPr>
        <w:spacing w:after="0" w:line="190" w:lineRule="exact"/>
        <w:rPr>
          <w:sz w:val="20"/>
          <w:szCs w:val="20"/>
          <w:color w:val="auto"/>
        </w:rPr>
      </w:pPr>
    </w:p>
    <w:p>
      <w:pPr>
        <w:ind w:left="640" w:right="100" w:hanging="320"/>
        <w:spacing w:after="0" w:line="260"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Structural Portfolio reported an NIM of 4.53% in 3Q21; this represented an improvement of +21bps QoQ, which reflected a positive variation in interest rates and a more profitable mix of IEAs.</w:t>
      </w:r>
    </w:p>
    <w:p>
      <w:pPr>
        <w:spacing w:after="0" w:line="181" w:lineRule="exact"/>
        <w:rPr>
          <w:rFonts w:ascii="Arial" w:cs="Arial" w:eastAsia="Arial" w:hAnsi="Arial"/>
          <w:sz w:val="18"/>
          <w:szCs w:val="18"/>
          <w:color w:val="auto"/>
        </w:rPr>
      </w:pPr>
    </w:p>
    <w:p>
      <w:pPr>
        <w:ind w:left="640" w:hanging="320"/>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Structural NIM increased +8bps YoY, rising from 4.45% to 4.53% due to:</w:t>
      </w:r>
    </w:p>
    <w:p>
      <w:pPr>
        <w:spacing w:after="0" w:line="213" w:lineRule="exact"/>
        <w:rPr>
          <w:rFonts w:ascii="Arial" w:cs="Arial" w:eastAsia="Arial" w:hAnsi="Arial"/>
          <w:sz w:val="18"/>
          <w:szCs w:val="18"/>
          <w:color w:val="auto"/>
        </w:rPr>
      </w:pPr>
    </w:p>
    <w:p>
      <w:pPr>
        <w:ind w:left="980" w:right="100" w:hanging="358"/>
        <w:spacing w:after="0" w:line="250"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mix effect: an increase in the volume of structural loans; growth in average investments; and a lower-cost liability structure positively affected the margin.</w:t>
      </w:r>
    </w:p>
    <w:p>
      <w:pPr>
        <w:ind w:left="980" w:hanging="358"/>
        <w:spacing w:after="0"/>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Rate effect: a drop in passive liability rates, which was partially offset by a drop in active interest rates.</w:t>
      </w:r>
    </w:p>
    <w:p>
      <w:pPr>
        <w:spacing w:after="0" w:line="201" w:lineRule="exact"/>
        <w:rPr>
          <w:rFonts w:ascii="Arial" w:cs="Arial" w:eastAsia="Arial" w:hAnsi="Arial"/>
          <w:sz w:val="18"/>
          <w:szCs w:val="18"/>
          <w:color w:val="auto"/>
        </w:rPr>
      </w:pPr>
    </w:p>
    <w:p>
      <w:pPr>
        <w:ind w:left="640" w:hanging="320"/>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YTD, structural NIM grew +6bps, going from 4.29% to 4.35%. These results were driven by the same factors as those seen YoY.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NIM and Risk-adjusted NIM for Credicorp’s main subsidiaries: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BCP</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BCP</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b w:val="1"/>
                <w:bCs w:val="1"/>
                <w:color w:val="auto"/>
                <w:w w:val="94"/>
              </w:rPr>
              <w:t>Risk Adjusted NIM</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BCP</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BCP</w:t>
            </w: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w w:val="84"/>
              </w:rPr>
              <w:t xml:space="preserve">Credicorp </w:t>
            </w:r>
            <w:r>
              <w:rPr>
                <w:rFonts w:ascii="Arial" w:cs="Arial" w:eastAsia="Arial" w:hAnsi="Arial"/>
                <w:sz w:val="29"/>
                <w:szCs w:val="29"/>
                <w:b w:val="1"/>
                <w:bCs w:val="1"/>
                <w:color w:val="auto"/>
                <w:w w:val="84"/>
                <w:vertAlign w:val="superscript"/>
              </w:rPr>
              <w:t>(1)</w:t>
            </w:r>
          </w:p>
        </w:tc>
        <w:tc>
          <w:tcPr>
            <w:tcW w:w="0" w:type="dxa"/>
            <w:vAlign w:val="bottom"/>
          </w:tcPr>
          <w:p>
            <w:pPr>
              <w:spacing w:after="0"/>
              <w:rPr>
                <w:sz w:val="1"/>
                <w:szCs w:val="1"/>
                <w:color w:val="auto"/>
              </w:rPr>
            </w:pPr>
          </w:p>
        </w:tc>
      </w:tr>
      <w:tr>
        <w:trPr>
          <w:trHeight w:val="228"/>
        </w:trPr>
        <w:tc>
          <w:tcPr>
            <w:tcW w:w="2440" w:type="dxa"/>
            <w:vAlign w:val="bottom"/>
            <w:gridSpan w:val="5"/>
          </w:tcPr>
          <w:p>
            <w:pPr>
              <w:spacing w:after="0"/>
              <w:rPr>
                <w:sz w:val="20"/>
                <w:szCs w:val="20"/>
                <w:color w:val="auto"/>
              </w:rPr>
            </w:pPr>
            <w:r>
              <w:rPr>
                <w:rFonts w:ascii="Arial" w:cs="Arial" w:eastAsia="Arial" w:hAnsi="Arial"/>
                <w:sz w:val="18"/>
                <w:szCs w:val="18"/>
                <w:b w:val="1"/>
                <w:bCs w:val="1"/>
                <w:color w:val="auto"/>
                <w:w w:val="99"/>
              </w:rPr>
              <w:t>NIM Breakdown Stand-alone</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Mibanco</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Bolivia</w:t>
            </w:r>
          </w:p>
        </w:tc>
        <w:tc>
          <w:tcPr>
            <w:tcW w:w="1420" w:type="dxa"/>
            <w:vAlign w:val="bottom"/>
            <w:gridSpan w:val="2"/>
          </w:tcPr>
          <w:p>
            <w:pPr>
              <w:jc w:val="right"/>
              <w:ind w:right="440"/>
              <w:spacing w:after="0" w:line="228" w:lineRule="exact"/>
              <w:rPr>
                <w:sz w:val="20"/>
                <w:szCs w:val="20"/>
                <w:color w:val="auto"/>
              </w:rPr>
            </w:pPr>
            <w:r>
              <w:rPr>
                <w:rFonts w:ascii="Arial" w:cs="Arial" w:eastAsia="Arial" w:hAnsi="Arial"/>
                <w:sz w:val="16"/>
                <w:szCs w:val="16"/>
                <w:b w:val="1"/>
                <w:bCs w:val="1"/>
                <w:color w:val="auto"/>
                <w:w w:val="94"/>
              </w:rPr>
              <w:t xml:space="preserve">Credicorp </w:t>
            </w:r>
            <w:r>
              <w:rPr>
                <w:rFonts w:ascii="Arial" w:cs="Arial" w:eastAsia="Arial" w:hAnsi="Arial"/>
                <w:sz w:val="26"/>
                <w:szCs w:val="26"/>
                <w:b w:val="1"/>
                <w:bCs w:val="1"/>
                <w:color w:val="auto"/>
                <w:w w:val="94"/>
                <w:vertAlign w:val="superscript"/>
              </w:rPr>
              <w:t>(1)</w:t>
            </w:r>
          </w:p>
        </w:tc>
        <w:tc>
          <w:tcPr>
            <w:tcW w:w="360" w:type="dxa"/>
            <w:vAlign w:val="bottom"/>
          </w:tcPr>
          <w:p>
            <w:pPr>
              <w:spacing w:after="0"/>
              <w:rPr>
                <w:sz w:val="19"/>
                <w:szCs w:val="19"/>
                <w:color w:val="auto"/>
              </w:rPr>
            </w:pPr>
          </w:p>
        </w:tc>
        <w:tc>
          <w:tcPr>
            <w:tcW w:w="1540" w:type="dxa"/>
            <w:vAlign w:val="bottom"/>
          </w:tcPr>
          <w:p>
            <w:pPr>
              <w:spacing w:after="0"/>
              <w:rPr>
                <w:sz w:val="20"/>
                <w:szCs w:val="20"/>
                <w:color w:val="auto"/>
              </w:rPr>
            </w:pPr>
            <w:r>
              <w:rPr>
                <w:rFonts w:ascii="Arial" w:cs="Arial" w:eastAsia="Arial" w:hAnsi="Arial"/>
                <w:sz w:val="18"/>
                <w:szCs w:val="18"/>
                <w:b w:val="1"/>
                <w:bCs w:val="1"/>
                <w:color w:val="auto"/>
              </w:rPr>
              <w:t>Breakdown</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7"/>
              </w:rPr>
              <w:t>Stand-alone</w:t>
            </w:r>
          </w:p>
        </w:tc>
        <w:tc>
          <w:tcPr>
            <w:tcW w:w="20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Arial" w:cs="Arial" w:eastAsia="Arial" w:hAnsi="Arial"/>
                <w:sz w:val="18"/>
                <w:szCs w:val="18"/>
                <w:b w:val="1"/>
                <w:bCs w:val="1"/>
                <w:color w:val="auto"/>
                <w:w w:val="87"/>
              </w:rPr>
              <w:t>Mibanco</w:t>
            </w:r>
          </w:p>
        </w:tc>
        <w:tc>
          <w:tcPr>
            <w:tcW w:w="20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w w:val="91"/>
              </w:rPr>
              <w:t>Bolivia</w:t>
            </w:r>
          </w:p>
        </w:tc>
        <w:tc>
          <w:tcPr>
            <w:tcW w:w="2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Borders>
              <w:right w:val="single" w:sz="8" w:color="CCEEFF"/>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540" w:type="dxa"/>
            <w:vAlign w:val="bottom"/>
            <w:tcBorders>
              <w:bottom w:val="single" w:sz="8" w:color="CCEEFF"/>
              <w:right w:val="single" w:sz="8" w:color="CCEEFF"/>
            </w:tcBorders>
            <w:vMerge w:val="restart"/>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3Q20</w:t>
            </w:r>
          </w:p>
        </w:tc>
        <w:tc>
          <w:tcPr>
            <w:tcW w:w="1100" w:type="dxa"/>
            <w:vAlign w:val="bottom"/>
            <w:tcBorders>
              <w:bottom w:val="single" w:sz="8" w:color="CCEEFF"/>
            </w:tcBorders>
            <w:gridSpan w:val="2"/>
            <w:vMerge w:val="restart"/>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1.58%</w:t>
            </w:r>
          </w:p>
        </w:tc>
        <w:tc>
          <w:tcPr>
            <w:tcW w:w="880" w:type="dxa"/>
            <w:vAlign w:val="bottom"/>
            <w:tcBorders>
              <w:bottom w:val="single" w:sz="8" w:color="CCEEFF"/>
            </w:tcBorders>
            <w:gridSpan w:val="2"/>
            <w:vMerge w:val="restart"/>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0.79%</w:t>
            </w:r>
          </w:p>
        </w:tc>
        <w:tc>
          <w:tcPr>
            <w:tcW w:w="740" w:type="dxa"/>
            <w:vAlign w:val="bottom"/>
            <w:tcBorders>
              <w:bottom w:val="single" w:sz="8" w:color="CCEEFF"/>
            </w:tcBorders>
            <w:gridSpan w:val="2"/>
            <w:vMerge w:val="restart"/>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0.74%</w:t>
            </w:r>
          </w:p>
        </w:tc>
        <w:tc>
          <w:tcPr>
            <w:tcW w:w="1240" w:type="dxa"/>
            <w:vAlign w:val="bottom"/>
            <w:tcBorders>
              <w:bottom w:val="single" w:sz="8" w:color="CCEEFF"/>
            </w:tcBorders>
            <w:gridSpan w:val="2"/>
            <w:vMerge w:val="restart"/>
            <w:shd w:val="clear" w:color="auto" w:fill="CCEEFF"/>
          </w:tcPr>
          <w:p>
            <w:pPr>
              <w:jc w:val="right"/>
              <w:ind w:right="80"/>
              <w:spacing w:after="0" w:line="203" w:lineRule="exact"/>
              <w:rPr>
                <w:sz w:val="20"/>
                <w:szCs w:val="20"/>
                <w:color w:val="auto"/>
              </w:rPr>
            </w:pPr>
            <w:r>
              <w:rPr>
                <w:rFonts w:ascii="Arial" w:cs="Arial" w:eastAsia="Arial" w:hAnsi="Arial"/>
                <w:sz w:val="18"/>
                <w:szCs w:val="18"/>
                <w:b w:val="1"/>
                <w:bCs w:val="1"/>
                <w:color w:val="auto"/>
              </w:rPr>
              <w:t>1.60%</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8"/>
                <w:szCs w:val="18"/>
                <w:b w:val="1"/>
                <w:bCs w:val="1"/>
                <w:color w:val="auto"/>
              </w:rPr>
              <w:t>3Q20</w:t>
            </w:r>
          </w:p>
        </w:tc>
        <w:tc>
          <w:tcPr>
            <w:tcW w:w="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60"/>
              <w:spacing w:after="0" w:line="163" w:lineRule="exact"/>
              <w:rPr>
                <w:sz w:val="20"/>
                <w:szCs w:val="20"/>
                <w:color w:val="auto"/>
              </w:rPr>
            </w:pPr>
            <w:r>
              <w:rPr>
                <w:rFonts w:ascii="Arial" w:cs="Arial" w:eastAsia="Arial" w:hAnsi="Arial"/>
                <w:sz w:val="18"/>
                <w:szCs w:val="18"/>
                <w:color w:val="auto"/>
              </w:rPr>
              <w:t>3.53%</w:t>
            </w:r>
          </w:p>
        </w:tc>
        <w:tc>
          <w:tcPr>
            <w:tcW w:w="880" w:type="dxa"/>
            <w:vAlign w:val="bottom"/>
            <w:tcBorders>
              <w:bottom w:val="single" w:sz="8" w:color="CCEEFF"/>
            </w:tcBorders>
            <w:gridSpan w:val="2"/>
            <w:shd w:val="clear" w:color="auto" w:fill="CCEEFF"/>
          </w:tcPr>
          <w:p>
            <w:pPr>
              <w:jc w:val="right"/>
              <w:ind w:right="60"/>
              <w:spacing w:after="0" w:line="163" w:lineRule="exact"/>
              <w:rPr>
                <w:sz w:val="20"/>
                <w:szCs w:val="20"/>
                <w:color w:val="auto"/>
              </w:rPr>
            </w:pPr>
            <w:r>
              <w:rPr>
                <w:rFonts w:ascii="Arial" w:cs="Arial" w:eastAsia="Arial" w:hAnsi="Arial"/>
                <w:sz w:val="18"/>
                <w:szCs w:val="18"/>
                <w:color w:val="auto"/>
              </w:rPr>
              <w:t>11.96%</w:t>
            </w:r>
          </w:p>
        </w:tc>
        <w:tc>
          <w:tcPr>
            <w:tcW w:w="740" w:type="dxa"/>
            <w:vAlign w:val="bottom"/>
            <w:tcBorders>
              <w:bottom w:val="single" w:sz="8" w:color="CCEEFF"/>
            </w:tcBorders>
            <w:gridSpan w:val="2"/>
            <w:shd w:val="clear" w:color="auto" w:fill="CCEEFF"/>
          </w:tcPr>
          <w:p>
            <w:pPr>
              <w:jc w:val="right"/>
              <w:ind w:right="60"/>
              <w:spacing w:after="0" w:line="163" w:lineRule="exact"/>
              <w:rPr>
                <w:sz w:val="20"/>
                <w:szCs w:val="20"/>
                <w:color w:val="auto"/>
              </w:rPr>
            </w:pPr>
            <w:r>
              <w:rPr>
                <w:rFonts w:ascii="Arial" w:cs="Arial" w:eastAsia="Arial" w:hAnsi="Arial"/>
                <w:sz w:val="18"/>
                <w:szCs w:val="18"/>
                <w:color w:val="auto"/>
              </w:rPr>
              <w:t>3.51%</w:t>
            </w:r>
          </w:p>
        </w:tc>
        <w:tc>
          <w:tcPr>
            <w:tcW w:w="1420" w:type="dxa"/>
            <w:vAlign w:val="bottom"/>
            <w:tcBorders>
              <w:bottom w:val="single" w:sz="8" w:color="CCEEFF"/>
            </w:tcBorders>
            <w:gridSpan w:val="2"/>
            <w:shd w:val="clear" w:color="auto" w:fill="CCEEFF"/>
          </w:tcPr>
          <w:p>
            <w:pPr>
              <w:jc w:val="right"/>
              <w:ind w:right="260"/>
              <w:spacing w:after="0" w:line="163" w:lineRule="exact"/>
              <w:rPr>
                <w:sz w:val="20"/>
                <w:szCs w:val="20"/>
                <w:color w:val="auto"/>
              </w:rPr>
            </w:pPr>
            <w:r>
              <w:rPr>
                <w:rFonts w:ascii="Arial" w:cs="Arial" w:eastAsia="Arial" w:hAnsi="Arial"/>
                <w:sz w:val="18"/>
                <w:szCs w:val="18"/>
                <w:b w:val="1"/>
                <w:bCs w:val="1"/>
                <w:color w:val="auto"/>
              </w:rPr>
              <w:t>4.05%</w:t>
            </w:r>
          </w:p>
        </w:tc>
        <w:tc>
          <w:tcPr>
            <w:tcW w:w="360" w:type="dxa"/>
            <w:vAlign w:val="bottom"/>
            <w:vMerge w:val="continue"/>
          </w:tcPr>
          <w:p>
            <w:pPr>
              <w:spacing w:after="0"/>
              <w:rPr>
                <w:sz w:val="15"/>
                <w:szCs w:val="15"/>
                <w:color w:val="auto"/>
              </w:rPr>
            </w:pPr>
          </w:p>
        </w:tc>
        <w:tc>
          <w:tcPr>
            <w:tcW w:w="1540" w:type="dxa"/>
            <w:vAlign w:val="bottom"/>
            <w:tcBorders>
              <w:right w:val="single" w:sz="8" w:color="CCEEFF"/>
            </w:tcBorders>
            <w:vMerge w:val="continue"/>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20" w:type="dxa"/>
            <w:vAlign w:val="bottom"/>
            <w:gridSpan w:val="2"/>
          </w:tcPr>
          <w:p>
            <w:pPr>
              <w:spacing w:after="0" w:line="170" w:lineRule="exact"/>
              <w:rPr>
                <w:sz w:val="20"/>
                <w:szCs w:val="20"/>
                <w:color w:val="auto"/>
              </w:rPr>
            </w:pPr>
            <w:r>
              <w:rPr>
                <w:rFonts w:ascii="Arial" w:cs="Arial" w:eastAsia="Arial" w:hAnsi="Arial"/>
                <w:sz w:val="18"/>
                <w:szCs w:val="18"/>
                <w:b w:val="1"/>
                <w:bCs w:val="1"/>
                <w:color w:val="auto"/>
              </w:rPr>
              <w:t>2Q21</w:t>
            </w:r>
          </w:p>
        </w:tc>
        <w:tc>
          <w:tcPr>
            <w:tcW w:w="1100" w:type="dxa"/>
            <w:vAlign w:val="bottom"/>
            <w:gridSpan w:val="2"/>
          </w:tcPr>
          <w:p>
            <w:pPr>
              <w:jc w:val="right"/>
              <w:ind w:right="60"/>
              <w:spacing w:after="0" w:line="170" w:lineRule="exact"/>
              <w:rPr>
                <w:sz w:val="20"/>
                <w:szCs w:val="20"/>
                <w:color w:val="auto"/>
              </w:rPr>
            </w:pPr>
            <w:r>
              <w:rPr>
                <w:rFonts w:ascii="Arial" w:cs="Arial" w:eastAsia="Arial" w:hAnsi="Arial"/>
                <w:sz w:val="18"/>
                <w:szCs w:val="18"/>
                <w:color w:val="auto"/>
              </w:rPr>
              <w:t>3.43%</w:t>
            </w:r>
          </w:p>
        </w:tc>
        <w:tc>
          <w:tcPr>
            <w:tcW w:w="880" w:type="dxa"/>
            <w:vAlign w:val="bottom"/>
            <w:gridSpan w:val="2"/>
          </w:tcPr>
          <w:p>
            <w:pPr>
              <w:jc w:val="right"/>
              <w:ind w:right="60"/>
              <w:spacing w:after="0" w:line="170" w:lineRule="exact"/>
              <w:rPr>
                <w:sz w:val="20"/>
                <w:szCs w:val="20"/>
                <w:color w:val="auto"/>
              </w:rPr>
            </w:pPr>
            <w:r>
              <w:rPr>
                <w:rFonts w:ascii="Arial" w:cs="Arial" w:eastAsia="Arial" w:hAnsi="Arial"/>
                <w:sz w:val="18"/>
                <w:szCs w:val="18"/>
                <w:color w:val="auto"/>
              </w:rPr>
              <w:t>11.88%</w:t>
            </w:r>
          </w:p>
        </w:tc>
        <w:tc>
          <w:tcPr>
            <w:tcW w:w="740" w:type="dxa"/>
            <w:vAlign w:val="bottom"/>
            <w:gridSpan w:val="2"/>
          </w:tcPr>
          <w:p>
            <w:pPr>
              <w:jc w:val="right"/>
              <w:ind w:right="60"/>
              <w:spacing w:after="0" w:line="170" w:lineRule="exact"/>
              <w:rPr>
                <w:sz w:val="20"/>
                <w:szCs w:val="20"/>
                <w:color w:val="auto"/>
              </w:rPr>
            </w:pPr>
            <w:r>
              <w:rPr>
                <w:rFonts w:ascii="Arial" w:cs="Arial" w:eastAsia="Arial" w:hAnsi="Arial"/>
                <w:sz w:val="18"/>
                <w:szCs w:val="18"/>
                <w:color w:val="auto"/>
              </w:rPr>
              <w:t>2.83%</w:t>
            </w:r>
          </w:p>
        </w:tc>
        <w:tc>
          <w:tcPr>
            <w:tcW w:w="1420" w:type="dxa"/>
            <w:vAlign w:val="bottom"/>
            <w:gridSpan w:val="2"/>
          </w:tcPr>
          <w:p>
            <w:pPr>
              <w:jc w:val="right"/>
              <w:ind w:right="260"/>
              <w:spacing w:after="0" w:line="170" w:lineRule="exact"/>
              <w:rPr>
                <w:sz w:val="20"/>
                <w:szCs w:val="20"/>
                <w:color w:val="auto"/>
              </w:rPr>
            </w:pPr>
            <w:r>
              <w:rPr>
                <w:rFonts w:ascii="Arial" w:cs="Arial" w:eastAsia="Arial" w:hAnsi="Arial"/>
                <w:sz w:val="18"/>
                <w:szCs w:val="18"/>
                <w:b w:val="1"/>
                <w:bCs w:val="1"/>
                <w:color w:val="auto"/>
              </w:rPr>
              <w:t>4.01%</w:t>
            </w:r>
          </w:p>
        </w:tc>
        <w:tc>
          <w:tcPr>
            <w:tcW w:w="360" w:type="dxa"/>
            <w:vAlign w:val="bottom"/>
          </w:tcPr>
          <w:p>
            <w:pPr>
              <w:spacing w:after="0"/>
              <w:rPr>
                <w:sz w:val="14"/>
                <w:szCs w:val="14"/>
                <w:color w:val="auto"/>
              </w:rPr>
            </w:pPr>
          </w:p>
        </w:tc>
        <w:tc>
          <w:tcPr>
            <w:tcW w:w="1540" w:type="dxa"/>
            <w:vAlign w:val="bottom"/>
          </w:tcPr>
          <w:p>
            <w:pPr>
              <w:spacing w:after="0" w:line="170" w:lineRule="exact"/>
              <w:rPr>
                <w:sz w:val="20"/>
                <w:szCs w:val="20"/>
                <w:color w:val="auto"/>
              </w:rPr>
            </w:pPr>
            <w:r>
              <w:rPr>
                <w:rFonts w:ascii="Arial" w:cs="Arial" w:eastAsia="Arial" w:hAnsi="Arial"/>
                <w:sz w:val="18"/>
                <w:szCs w:val="18"/>
                <w:b w:val="1"/>
                <w:bCs w:val="1"/>
                <w:color w:val="auto"/>
              </w:rPr>
              <w:t>2Q21</w:t>
            </w:r>
          </w:p>
        </w:tc>
        <w:tc>
          <w:tcPr>
            <w:tcW w:w="1100" w:type="dxa"/>
            <w:vAlign w:val="bottom"/>
            <w:gridSpan w:val="2"/>
          </w:tcPr>
          <w:p>
            <w:pPr>
              <w:jc w:val="right"/>
              <w:ind w:right="60"/>
              <w:spacing w:after="0" w:line="170" w:lineRule="exact"/>
              <w:rPr>
                <w:sz w:val="20"/>
                <w:szCs w:val="20"/>
                <w:color w:val="auto"/>
              </w:rPr>
            </w:pPr>
            <w:r>
              <w:rPr>
                <w:rFonts w:ascii="Arial" w:cs="Arial" w:eastAsia="Arial" w:hAnsi="Arial"/>
                <w:sz w:val="18"/>
                <w:szCs w:val="18"/>
                <w:color w:val="auto"/>
              </w:rPr>
              <w:t>2.81%</w:t>
            </w:r>
          </w:p>
        </w:tc>
        <w:tc>
          <w:tcPr>
            <w:tcW w:w="880" w:type="dxa"/>
            <w:vAlign w:val="bottom"/>
            <w:gridSpan w:val="2"/>
          </w:tcPr>
          <w:p>
            <w:pPr>
              <w:jc w:val="right"/>
              <w:ind w:right="60"/>
              <w:spacing w:after="0" w:line="170" w:lineRule="exact"/>
              <w:rPr>
                <w:sz w:val="20"/>
                <w:szCs w:val="20"/>
                <w:color w:val="auto"/>
              </w:rPr>
            </w:pPr>
            <w:r>
              <w:rPr>
                <w:rFonts w:ascii="Arial" w:cs="Arial" w:eastAsia="Arial" w:hAnsi="Arial"/>
                <w:sz w:val="18"/>
                <w:szCs w:val="18"/>
                <w:color w:val="auto"/>
              </w:rPr>
              <w:t>8.66%</w:t>
            </w:r>
          </w:p>
        </w:tc>
        <w:tc>
          <w:tcPr>
            <w:tcW w:w="740" w:type="dxa"/>
            <w:vAlign w:val="bottom"/>
            <w:gridSpan w:val="2"/>
          </w:tcPr>
          <w:p>
            <w:pPr>
              <w:jc w:val="right"/>
              <w:ind w:right="60"/>
              <w:spacing w:after="0" w:line="170" w:lineRule="exact"/>
              <w:rPr>
                <w:sz w:val="20"/>
                <w:szCs w:val="20"/>
                <w:color w:val="auto"/>
              </w:rPr>
            </w:pPr>
            <w:r>
              <w:rPr>
                <w:rFonts w:ascii="Arial" w:cs="Arial" w:eastAsia="Arial" w:hAnsi="Arial"/>
                <w:sz w:val="18"/>
                <w:szCs w:val="18"/>
                <w:color w:val="auto"/>
              </w:rPr>
              <w:t>4.57%</w:t>
            </w:r>
          </w:p>
        </w:tc>
        <w:tc>
          <w:tcPr>
            <w:tcW w:w="1240" w:type="dxa"/>
            <w:vAlign w:val="bottom"/>
            <w:gridSpan w:val="2"/>
          </w:tcPr>
          <w:p>
            <w:pPr>
              <w:jc w:val="right"/>
              <w:ind w:right="80"/>
              <w:spacing w:after="0" w:line="170" w:lineRule="exact"/>
              <w:rPr>
                <w:sz w:val="20"/>
                <w:szCs w:val="20"/>
                <w:color w:val="auto"/>
              </w:rPr>
            </w:pPr>
            <w:r>
              <w:rPr>
                <w:rFonts w:ascii="Arial" w:cs="Arial" w:eastAsia="Arial" w:hAnsi="Arial"/>
                <w:sz w:val="18"/>
                <w:szCs w:val="18"/>
                <w:b w:val="1"/>
                <w:bCs w:val="1"/>
                <w:color w:val="auto"/>
              </w:rPr>
              <w:t>3.38%</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26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vMerge w:val="restart"/>
          </w:tcPr>
          <w:p>
            <w:pPr>
              <w:spacing w:after="0"/>
              <w:rPr>
                <w:sz w:val="3"/>
                <w:szCs w:val="3"/>
                <w:color w:val="auto"/>
              </w:rPr>
            </w:pPr>
          </w:p>
        </w:tc>
        <w:tc>
          <w:tcPr>
            <w:tcW w:w="154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3Q21</w:t>
            </w:r>
          </w:p>
        </w:tc>
        <w:tc>
          <w:tcPr>
            <w:tcW w:w="11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3.49%</w:t>
            </w:r>
          </w:p>
        </w:tc>
        <w:tc>
          <w:tcPr>
            <w:tcW w:w="8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9.46%</w:t>
            </w:r>
          </w:p>
        </w:tc>
        <w:tc>
          <w:tcPr>
            <w:tcW w:w="7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c>
          <w:tcPr>
            <w:tcW w:w="12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3.95%</w:t>
            </w: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1320" w:type="dxa"/>
            <w:vAlign w:val="bottom"/>
            <w:tcBorders>
              <w:bottom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3Q21</w:t>
            </w:r>
          </w:p>
        </w:tc>
        <w:tc>
          <w:tcPr>
            <w:tcW w:w="1100" w:type="dxa"/>
            <w:vAlign w:val="bottom"/>
            <w:tcBorders>
              <w:bottom w:val="single" w:sz="8" w:color="CCEEFF"/>
            </w:tcBorders>
            <w:gridSpan w:val="2"/>
            <w:shd w:val="clear" w:color="auto" w:fill="CCEEFF"/>
          </w:tcPr>
          <w:p>
            <w:pPr>
              <w:jc w:val="right"/>
              <w:ind w:right="60"/>
              <w:spacing w:after="0" w:line="170" w:lineRule="exact"/>
              <w:rPr>
                <w:sz w:val="20"/>
                <w:szCs w:val="20"/>
                <w:color w:val="auto"/>
              </w:rPr>
            </w:pPr>
            <w:r>
              <w:rPr>
                <w:rFonts w:ascii="Arial" w:cs="Arial" w:eastAsia="Arial" w:hAnsi="Arial"/>
                <w:sz w:val="18"/>
                <w:szCs w:val="18"/>
                <w:color w:val="auto"/>
              </w:rPr>
              <w:t>3.57%</w:t>
            </w:r>
          </w:p>
        </w:tc>
        <w:tc>
          <w:tcPr>
            <w:tcW w:w="880" w:type="dxa"/>
            <w:vAlign w:val="bottom"/>
            <w:tcBorders>
              <w:bottom w:val="single" w:sz="8" w:color="CCEEFF"/>
            </w:tcBorders>
            <w:gridSpan w:val="2"/>
            <w:shd w:val="clear" w:color="auto" w:fill="CCEEFF"/>
          </w:tcPr>
          <w:p>
            <w:pPr>
              <w:jc w:val="right"/>
              <w:ind w:right="60"/>
              <w:spacing w:after="0" w:line="170" w:lineRule="exact"/>
              <w:rPr>
                <w:sz w:val="20"/>
                <w:szCs w:val="20"/>
                <w:color w:val="auto"/>
              </w:rPr>
            </w:pPr>
            <w:r>
              <w:rPr>
                <w:rFonts w:ascii="Arial" w:cs="Arial" w:eastAsia="Arial" w:hAnsi="Arial"/>
                <w:sz w:val="18"/>
                <w:szCs w:val="18"/>
                <w:color w:val="auto"/>
              </w:rPr>
              <w:t>12.59%</w:t>
            </w:r>
          </w:p>
        </w:tc>
        <w:tc>
          <w:tcPr>
            <w:tcW w:w="740" w:type="dxa"/>
            <w:vAlign w:val="bottom"/>
            <w:tcBorders>
              <w:bottom w:val="single" w:sz="8" w:color="CCEEFF"/>
            </w:tcBorders>
            <w:gridSpan w:val="2"/>
            <w:shd w:val="clear" w:color="auto" w:fill="CCEEFF"/>
          </w:tcPr>
          <w:p>
            <w:pPr>
              <w:jc w:val="right"/>
              <w:ind w:right="60"/>
              <w:spacing w:after="0" w:line="170" w:lineRule="exact"/>
              <w:rPr>
                <w:sz w:val="20"/>
                <w:szCs w:val="20"/>
                <w:color w:val="auto"/>
              </w:rPr>
            </w:pPr>
            <w:r>
              <w:rPr>
                <w:rFonts w:ascii="Arial" w:cs="Arial" w:eastAsia="Arial" w:hAnsi="Arial"/>
                <w:sz w:val="18"/>
                <w:szCs w:val="18"/>
                <w:color w:val="auto"/>
              </w:rPr>
              <w:t>3.23%</w:t>
            </w:r>
          </w:p>
        </w:tc>
        <w:tc>
          <w:tcPr>
            <w:tcW w:w="1420" w:type="dxa"/>
            <w:vAlign w:val="bottom"/>
            <w:tcBorders>
              <w:bottom w:val="single" w:sz="8" w:color="CCEEFF"/>
            </w:tcBorders>
            <w:gridSpan w:val="2"/>
            <w:shd w:val="clear" w:color="auto" w:fill="CCEEFF"/>
          </w:tcPr>
          <w:p>
            <w:pPr>
              <w:jc w:val="right"/>
              <w:ind w:right="260"/>
              <w:spacing w:after="0" w:line="170" w:lineRule="exact"/>
              <w:rPr>
                <w:sz w:val="20"/>
                <w:szCs w:val="20"/>
                <w:color w:val="auto"/>
              </w:rPr>
            </w:pPr>
            <w:r>
              <w:rPr>
                <w:rFonts w:ascii="Arial" w:cs="Arial" w:eastAsia="Arial" w:hAnsi="Arial"/>
                <w:sz w:val="18"/>
                <w:szCs w:val="18"/>
                <w:b w:val="1"/>
                <w:bCs w:val="1"/>
                <w:color w:val="auto"/>
              </w:rPr>
              <w:t>4.23%</w:t>
            </w:r>
          </w:p>
        </w:tc>
        <w:tc>
          <w:tcPr>
            <w:tcW w:w="360" w:type="dxa"/>
            <w:vAlign w:val="bottom"/>
            <w:vMerge w:val="continue"/>
          </w:tcPr>
          <w:p>
            <w:pPr>
              <w:spacing w:after="0"/>
              <w:rPr>
                <w:sz w:val="16"/>
                <w:szCs w:val="16"/>
                <w:color w:val="auto"/>
              </w:rPr>
            </w:pPr>
          </w:p>
        </w:tc>
        <w:tc>
          <w:tcPr>
            <w:tcW w:w="1540" w:type="dxa"/>
            <w:vAlign w:val="bottom"/>
            <w:tcBorders>
              <w:right w:val="single" w:sz="8" w:color="CCEEFF"/>
            </w:tcBorders>
            <w:vMerge w:val="continue"/>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20" w:type="dxa"/>
            <w:vAlign w:val="bottom"/>
            <w:gridSpan w:val="2"/>
          </w:tcPr>
          <w:p>
            <w:pPr>
              <w:spacing w:after="0" w:line="170" w:lineRule="exact"/>
              <w:rPr>
                <w:sz w:val="20"/>
                <w:szCs w:val="20"/>
                <w:color w:val="auto"/>
              </w:rPr>
            </w:pPr>
            <w:r>
              <w:rPr>
                <w:rFonts w:ascii="Arial" w:cs="Arial" w:eastAsia="Arial" w:hAnsi="Arial"/>
                <w:sz w:val="18"/>
                <w:szCs w:val="18"/>
                <w:b w:val="1"/>
                <w:bCs w:val="1"/>
                <w:color w:val="auto"/>
              </w:rPr>
              <w:t>Sep 20</w:t>
            </w:r>
          </w:p>
        </w:tc>
        <w:tc>
          <w:tcPr>
            <w:tcW w:w="1100" w:type="dxa"/>
            <w:vAlign w:val="bottom"/>
            <w:gridSpan w:val="2"/>
          </w:tcPr>
          <w:p>
            <w:pPr>
              <w:jc w:val="right"/>
              <w:ind w:right="60"/>
              <w:spacing w:after="0" w:line="170" w:lineRule="exact"/>
              <w:rPr>
                <w:sz w:val="20"/>
                <w:szCs w:val="20"/>
                <w:color w:val="auto"/>
              </w:rPr>
            </w:pPr>
            <w:r>
              <w:rPr>
                <w:rFonts w:ascii="Arial" w:cs="Arial" w:eastAsia="Arial" w:hAnsi="Arial"/>
                <w:sz w:val="18"/>
                <w:szCs w:val="18"/>
                <w:color w:val="auto"/>
              </w:rPr>
              <w:t>3.93%</w:t>
            </w:r>
          </w:p>
        </w:tc>
        <w:tc>
          <w:tcPr>
            <w:tcW w:w="880" w:type="dxa"/>
            <w:vAlign w:val="bottom"/>
            <w:gridSpan w:val="2"/>
          </w:tcPr>
          <w:p>
            <w:pPr>
              <w:jc w:val="right"/>
              <w:ind w:right="60"/>
              <w:spacing w:after="0" w:line="170" w:lineRule="exact"/>
              <w:rPr>
                <w:sz w:val="20"/>
                <w:szCs w:val="20"/>
                <w:color w:val="auto"/>
              </w:rPr>
            </w:pPr>
            <w:r>
              <w:rPr>
                <w:rFonts w:ascii="Arial" w:cs="Arial" w:eastAsia="Arial" w:hAnsi="Arial"/>
                <w:sz w:val="18"/>
                <w:szCs w:val="18"/>
                <w:color w:val="auto"/>
              </w:rPr>
              <w:t>11.30%</w:t>
            </w:r>
          </w:p>
        </w:tc>
        <w:tc>
          <w:tcPr>
            <w:tcW w:w="740" w:type="dxa"/>
            <w:vAlign w:val="bottom"/>
            <w:gridSpan w:val="2"/>
          </w:tcPr>
          <w:p>
            <w:pPr>
              <w:jc w:val="right"/>
              <w:ind w:right="60"/>
              <w:spacing w:after="0" w:line="170" w:lineRule="exact"/>
              <w:rPr>
                <w:sz w:val="20"/>
                <w:szCs w:val="20"/>
                <w:color w:val="auto"/>
              </w:rPr>
            </w:pPr>
            <w:r>
              <w:rPr>
                <w:rFonts w:ascii="Arial" w:cs="Arial" w:eastAsia="Arial" w:hAnsi="Arial"/>
                <w:sz w:val="18"/>
                <w:szCs w:val="18"/>
                <w:color w:val="auto"/>
              </w:rPr>
              <w:t>3.51%</w:t>
            </w:r>
          </w:p>
        </w:tc>
        <w:tc>
          <w:tcPr>
            <w:tcW w:w="1420" w:type="dxa"/>
            <w:vAlign w:val="bottom"/>
            <w:gridSpan w:val="2"/>
          </w:tcPr>
          <w:p>
            <w:pPr>
              <w:jc w:val="right"/>
              <w:ind w:right="260"/>
              <w:spacing w:after="0" w:line="170" w:lineRule="exact"/>
              <w:rPr>
                <w:sz w:val="20"/>
                <w:szCs w:val="20"/>
                <w:color w:val="auto"/>
              </w:rPr>
            </w:pPr>
            <w:r>
              <w:rPr>
                <w:rFonts w:ascii="Arial" w:cs="Arial" w:eastAsia="Arial" w:hAnsi="Arial"/>
                <w:sz w:val="18"/>
                <w:szCs w:val="18"/>
                <w:b w:val="1"/>
                <w:bCs w:val="1"/>
                <w:color w:val="auto"/>
              </w:rPr>
              <w:t>4.41%</w:t>
            </w:r>
          </w:p>
        </w:tc>
        <w:tc>
          <w:tcPr>
            <w:tcW w:w="360" w:type="dxa"/>
            <w:vAlign w:val="bottom"/>
          </w:tcPr>
          <w:p>
            <w:pPr>
              <w:spacing w:after="0"/>
              <w:rPr>
                <w:sz w:val="14"/>
                <w:szCs w:val="14"/>
                <w:color w:val="auto"/>
              </w:rPr>
            </w:pPr>
          </w:p>
        </w:tc>
        <w:tc>
          <w:tcPr>
            <w:tcW w:w="1540" w:type="dxa"/>
            <w:vAlign w:val="bottom"/>
          </w:tcPr>
          <w:p>
            <w:pPr>
              <w:spacing w:after="0" w:line="170" w:lineRule="exact"/>
              <w:rPr>
                <w:sz w:val="20"/>
                <w:szCs w:val="20"/>
                <w:color w:val="auto"/>
              </w:rPr>
            </w:pPr>
            <w:r>
              <w:rPr>
                <w:rFonts w:ascii="Arial" w:cs="Arial" w:eastAsia="Arial" w:hAnsi="Arial"/>
                <w:sz w:val="18"/>
                <w:szCs w:val="18"/>
                <w:b w:val="1"/>
                <w:bCs w:val="1"/>
                <w:color w:val="auto"/>
              </w:rPr>
              <w:t>Sep 20</w:t>
            </w:r>
          </w:p>
        </w:tc>
        <w:tc>
          <w:tcPr>
            <w:tcW w:w="1100" w:type="dxa"/>
            <w:vAlign w:val="bottom"/>
            <w:gridSpan w:val="2"/>
          </w:tcPr>
          <w:p>
            <w:pPr>
              <w:jc w:val="right"/>
              <w:ind w:right="60"/>
              <w:spacing w:after="0" w:line="170" w:lineRule="exact"/>
              <w:rPr>
                <w:sz w:val="20"/>
                <w:szCs w:val="20"/>
                <w:color w:val="auto"/>
              </w:rPr>
            </w:pPr>
            <w:r>
              <w:rPr>
                <w:rFonts w:ascii="Arial" w:cs="Arial" w:eastAsia="Arial" w:hAnsi="Arial"/>
                <w:sz w:val="18"/>
                <w:szCs w:val="18"/>
                <w:color w:val="auto"/>
              </w:rPr>
              <w:t>0.51%</w:t>
            </w:r>
          </w:p>
        </w:tc>
        <w:tc>
          <w:tcPr>
            <w:tcW w:w="880" w:type="dxa"/>
            <w:vAlign w:val="bottom"/>
            <w:gridSpan w:val="2"/>
          </w:tcPr>
          <w:p>
            <w:pPr>
              <w:jc w:val="right"/>
              <w:ind w:right="60"/>
              <w:spacing w:after="0" w:line="170" w:lineRule="exact"/>
              <w:rPr>
                <w:sz w:val="20"/>
                <w:szCs w:val="20"/>
                <w:color w:val="auto"/>
              </w:rPr>
            </w:pPr>
            <w:r>
              <w:rPr>
                <w:rFonts w:ascii="Arial" w:cs="Arial" w:eastAsia="Arial" w:hAnsi="Arial"/>
                <w:sz w:val="18"/>
                <w:szCs w:val="18"/>
                <w:color w:val="auto"/>
              </w:rPr>
              <w:t>1.86%</w:t>
            </w:r>
          </w:p>
        </w:tc>
        <w:tc>
          <w:tcPr>
            <w:tcW w:w="740" w:type="dxa"/>
            <w:vAlign w:val="bottom"/>
            <w:gridSpan w:val="2"/>
          </w:tcPr>
          <w:p>
            <w:pPr>
              <w:jc w:val="right"/>
              <w:ind w:right="60"/>
              <w:spacing w:after="0" w:line="170" w:lineRule="exact"/>
              <w:rPr>
                <w:sz w:val="20"/>
                <w:szCs w:val="20"/>
                <w:color w:val="auto"/>
              </w:rPr>
            </w:pPr>
            <w:r>
              <w:rPr>
                <w:rFonts w:ascii="Arial" w:cs="Arial" w:eastAsia="Arial" w:hAnsi="Arial"/>
                <w:sz w:val="18"/>
                <w:szCs w:val="18"/>
                <w:color w:val="auto"/>
              </w:rPr>
              <w:t>0.70%</w:t>
            </w:r>
          </w:p>
        </w:tc>
        <w:tc>
          <w:tcPr>
            <w:tcW w:w="1240" w:type="dxa"/>
            <w:vAlign w:val="bottom"/>
            <w:gridSpan w:val="2"/>
          </w:tcPr>
          <w:p>
            <w:pPr>
              <w:jc w:val="right"/>
              <w:ind w:right="80"/>
              <w:spacing w:after="0" w:line="170" w:lineRule="exact"/>
              <w:rPr>
                <w:sz w:val="20"/>
                <w:szCs w:val="20"/>
                <w:color w:val="auto"/>
              </w:rPr>
            </w:pPr>
            <w:r>
              <w:rPr>
                <w:rFonts w:ascii="Arial" w:cs="Arial" w:eastAsia="Arial" w:hAnsi="Arial"/>
                <w:sz w:val="18"/>
                <w:szCs w:val="18"/>
                <w:b w:val="1"/>
                <w:bCs w:val="1"/>
                <w:color w:val="auto"/>
              </w:rPr>
              <w:t>0.89%</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26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vMerge w:val="restart"/>
          </w:tcPr>
          <w:p>
            <w:pPr>
              <w:spacing w:after="0"/>
              <w:rPr>
                <w:sz w:val="3"/>
                <w:szCs w:val="3"/>
                <w:color w:val="auto"/>
              </w:rPr>
            </w:pPr>
          </w:p>
        </w:tc>
        <w:tc>
          <w:tcPr>
            <w:tcW w:w="154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Sep 21</w:t>
            </w:r>
          </w:p>
        </w:tc>
        <w:tc>
          <w:tcPr>
            <w:tcW w:w="11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c>
          <w:tcPr>
            <w:tcW w:w="8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8.19%</w:t>
            </w:r>
          </w:p>
        </w:tc>
        <w:tc>
          <w:tcPr>
            <w:tcW w:w="7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2.92%</w:t>
            </w:r>
          </w:p>
        </w:tc>
        <w:tc>
          <w:tcPr>
            <w:tcW w:w="12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3.37%</w:t>
            </w: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132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Sep 21</w:t>
            </w:r>
          </w:p>
        </w:tc>
        <w:tc>
          <w:tcPr>
            <w:tcW w:w="110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8"/>
                <w:szCs w:val="18"/>
                <w:color w:val="auto"/>
              </w:rPr>
              <w:t>3.44%</w:t>
            </w:r>
          </w:p>
        </w:tc>
        <w:tc>
          <w:tcPr>
            <w:tcW w:w="88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8"/>
                <w:szCs w:val="18"/>
                <w:color w:val="auto"/>
              </w:rPr>
              <w:t>11.45%</w:t>
            </w:r>
          </w:p>
        </w:tc>
        <w:tc>
          <w:tcPr>
            <w:tcW w:w="74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8"/>
                <w:szCs w:val="18"/>
                <w:color w:val="auto"/>
              </w:rPr>
              <w:t>2.90%</w:t>
            </w:r>
          </w:p>
        </w:tc>
        <w:tc>
          <w:tcPr>
            <w:tcW w:w="1420" w:type="dxa"/>
            <w:vAlign w:val="bottom"/>
            <w:gridSpan w:val="2"/>
            <w:shd w:val="clear" w:color="auto" w:fill="CCEEFF"/>
          </w:tcPr>
          <w:p>
            <w:pPr>
              <w:jc w:val="right"/>
              <w:ind w:right="260"/>
              <w:spacing w:after="0" w:line="170" w:lineRule="exact"/>
              <w:rPr>
                <w:sz w:val="20"/>
                <w:szCs w:val="20"/>
                <w:color w:val="auto"/>
              </w:rPr>
            </w:pPr>
            <w:r>
              <w:rPr>
                <w:rFonts w:ascii="Arial" w:cs="Arial" w:eastAsia="Arial" w:hAnsi="Arial"/>
                <w:sz w:val="18"/>
                <w:szCs w:val="18"/>
                <w:b w:val="1"/>
                <w:bCs w:val="1"/>
                <w:color w:val="auto"/>
              </w:rPr>
              <w:t>4.00%</w:t>
            </w:r>
          </w:p>
        </w:tc>
        <w:tc>
          <w:tcPr>
            <w:tcW w:w="360" w:type="dxa"/>
            <w:vAlign w:val="bottom"/>
            <w:vMerge w:val="continue"/>
          </w:tcPr>
          <w:p>
            <w:pPr>
              <w:spacing w:after="0"/>
              <w:rPr>
                <w:sz w:val="14"/>
                <w:szCs w:val="14"/>
                <w:color w:val="auto"/>
              </w:rPr>
            </w:pPr>
          </w:p>
        </w:tc>
        <w:tc>
          <w:tcPr>
            <w:tcW w:w="1540" w:type="dxa"/>
            <w:vAlign w:val="bottom"/>
            <w:tcBorders>
              <w:right w:val="single" w:sz="8" w:color="CCEEFF"/>
            </w:tcBorders>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NIM: Annualized Net interest income / Average period end and period beginning interest earning assets.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Risk-Adjusted NIM: (Annualized Net interest income - annualized provisions) / Average period end and period beginning interest earning assets.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(1) Credicorp also includes Mibanco colombia, Credicorp Capital, Prima, Pacífico, ASB and Eliminations for consolidation purposes.</w:t>
      </w:r>
    </w:p>
    <w:p>
      <w:pPr>
        <w:spacing w:after="0" w:line="201"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340"/>
          </w:cols>
          <w:pgMar w:left="320" w:top="1093" w:right="239" w:bottom="1440" w:gutter="0" w:footer="0" w:header="0"/>
        </w:sectPr>
      </w:pPr>
    </w:p>
    <w:bookmarkStart w:id="27" w:name="page28"/>
    <w:bookmarkEnd w:id="27"/>
    <w:p>
      <w:pPr>
        <w:spacing w:after="0" w:line="260" w:lineRule="auto"/>
        <w:rPr>
          <w:sz w:val="20"/>
          <w:szCs w:val="20"/>
          <w:color w:val="auto"/>
        </w:rPr>
      </w:pPr>
      <w:r>
        <w:rPr>
          <w:rFonts w:ascii="Arial" w:cs="Arial" w:eastAsia="Arial" w:hAnsi="Arial"/>
          <w:sz w:val="18"/>
          <w:szCs w:val="18"/>
          <w:color w:val="auto"/>
        </w:rPr>
        <w:t>The dynamics of NIM at BCP Stand-alone, which is the primary contributor to NIM at the holding level, mirror the results detailed above for Credicorp. As such, our analysis will focus on relevant variations at Mibanco and BCP Bolivia:</w:t>
      </w:r>
    </w:p>
    <w:p>
      <w:pPr>
        <w:spacing w:after="0" w:line="183" w:lineRule="exact"/>
        <w:rPr>
          <w:sz w:val="20"/>
          <w:szCs w:val="20"/>
          <w:color w:val="auto"/>
        </w:rPr>
      </w:pPr>
    </w:p>
    <w:p>
      <w:pPr>
        <w:jc w:val="both"/>
        <w:ind w:left="640" w:hanging="320"/>
        <w:spacing w:after="0" w:line="185" w:lineRule="auto"/>
        <w:tabs>
          <w:tab w:leader="none" w:pos="640" w:val="left"/>
        </w:tabs>
        <w:numPr>
          <w:ilvl w:val="0"/>
          <w:numId w:val="26"/>
        </w:numPr>
        <w:rPr>
          <w:rFonts w:ascii="Arial" w:cs="Arial" w:eastAsia="Arial" w:hAnsi="Arial"/>
          <w:sz w:val="35"/>
          <w:szCs w:val="35"/>
          <w:color w:val="auto"/>
          <w:vertAlign w:val="superscript"/>
        </w:rPr>
      </w:pPr>
      <w:r>
        <w:rPr>
          <w:rFonts w:ascii="Arial" w:cs="Arial" w:eastAsia="Arial" w:hAnsi="Arial"/>
          <w:sz w:val="18"/>
          <w:szCs w:val="18"/>
          <w:color w:val="auto"/>
        </w:rPr>
        <w:t>Mibanco Peru reported a +71bps increase QoQ in NIM due to a reversal of interest provisions for reprogrammed loans that became past due</w:t>
      </w:r>
      <w:r>
        <w:rPr>
          <w:rFonts w:ascii="Arial" w:cs="Arial" w:eastAsia="Arial" w:hAnsi="Arial"/>
          <w:sz w:val="29"/>
          <w:szCs w:val="29"/>
          <w:color w:val="auto"/>
          <w:vertAlign w:val="superscript"/>
        </w:rPr>
        <w:t>3</w:t>
      </w:r>
      <w:r>
        <w:rPr>
          <w:rFonts w:ascii="Arial" w:cs="Arial" w:eastAsia="Arial" w:hAnsi="Arial"/>
          <w:sz w:val="18"/>
          <w:szCs w:val="18"/>
          <w:color w:val="auto"/>
        </w:rPr>
        <w:t>. This reversal was triggered after write-offs this quarter to compensate for the fact that the interest income provisions had been also recorded in IFRS provisions for credit losses for delinquent loans. Other factors that positively contributed to the margin were: an uptick in structural loans and a more profitable IEA mix.</w:t>
      </w:r>
    </w:p>
    <w:p>
      <w:pPr>
        <w:spacing w:after="0" w:line="201" w:lineRule="exact"/>
        <w:rPr>
          <w:rFonts w:ascii="Arial" w:cs="Arial" w:eastAsia="Arial" w:hAnsi="Arial"/>
          <w:sz w:val="35"/>
          <w:szCs w:val="35"/>
          <w:color w:val="auto"/>
          <w:vertAlign w:val="superscript"/>
        </w:rPr>
      </w:pPr>
    </w:p>
    <w:p>
      <w:pPr>
        <w:ind w:left="640"/>
        <w:spacing w:after="0" w:line="260" w:lineRule="auto"/>
        <w:rPr>
          <w:rFonts w:ascii="Arial" w:cs="Arial" w:eastAsia="Arial" w:hAnsi="Arial"/>
          <w:sz w:val="35"/>
          <w:szCs w:val="35"/>
          <w:color w:val="auto"/>
          <w:vertAlign w:val="superscript"/>
        </w:rPr>
      </w:pPr>
      <w:r>
        <w:rPr>
          <w:rFonts w:ascii="Arial" w:cs="Arial" w:eastAsia="Arial" w:hAnsi="Arial"/>
          <w:sz w:val="18"/>
          <w:szCs w:val="18"/>
          <w:color w:val="auto"/>
        </w:rPr>
        <w:t>YoY, NIM at Mibanco increased +63bps due to (i) an increase in structural loans and (ii) reversals of interest provisions for reprogrammed loans that became past due.</w:t>
      </w:r>
    </w:p>
    <w:p>
      <w:pPr>
        <w:spacing w:after="0" w:line="181" w:lineRule="exact"/>
        <w:rPr>
          <w:rFonts w:ascii="Arial" w:cs="Arial" w:eastAsia="Arial" w:hAnsi="Arial"/>
          <w:sz w:val="35"/>
          <w:szCs w:val="35"/>
          <w:color w:val="auto"/>
          <w:vertAlign w:val="superscript"/>
        </w:rPr>
      </w:pPr>
    </w:p>
    <w:p>
      <w:pPr>
        <w:ind w:left="640" w:hanging="320"/>
        <w:spacing w:after="0" w:line="260"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QoQ, BCP Bolivia registered an increase in NIM due to the exchange rate effect. YoY, NIM fell after yields and loan levels declined, and the focus shifted from origination to bolstering collections.</w:t>
      </w:r>
    </w:p>
    <w:p>
      <w:pPr>
        <w:spacing w:after="0" w:line="18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Risk-adjusted NIM at Credicorp increased +57bps QoQ +235bps YoY; and +248bps YTD. Growth in all cases was driven by a significant reduction in provisions and by the same factors that drove variations in NIM.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21424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42490" cy="8255"/>
                    </a:xfrm>
                    <a:prstGeom prst="rect">
                      <a:avLst/>
                    </a:prstGeom>
                    <a:noFill/>
                  </pic:spPr>
                </pic:pic>
              </a:graphicData>
            </a:graphic>
          </wp:anchor>
        </w:drawing>
      </w:r>
    </w:p>
    <w:p>
      <w:pPr>
        <w:spacing w:after="0" w:line="332" w:lineRule="exact"/>
        <w:rPr>
          <w:sz w:val="20"/>
          <w:szCs w:val="20"/>
          <w:color w:val="auto"/>
        </w:rPr>
      </w:pPr>
    </w:p>
    <w:p>
      <w:pPr>
        <w:ind w:firstLine="5"/>
        <w:spacing w:after="0" w:line="191" w:lineRule="auto"/>
        <w:tabs>
          <w:tab w:leader="none" w:pos="118" w:val="left"/>
        </w:tabs>
        <w:numPr>
          <w:ilvl w:val="0"/>
          <w:numId w:val="27"/>
        </w:numPr>
        <w:rPr>
          <w:rFonts w:ascii="Arial" w:cs="Arial" w:eastAsia="Arial" w:hAnsi="Arial"/>
          <w:sz w:val="29"/>
          <w:szCs w:val="29"/>
          <w:color w:val="auto"/>
          <w:vertAlign w:val="superscript"/>
        </w:rPr>
      </w:pPr>
      <w:r>
        <w:rPr>
          <w:rFonts w:ascii="Arial" w:cs="Arial" w:eastAsia="Arial" w:hAnsi="Arial"/>
          <w:sz w:val="18"/>
          <w:szCs w:val="18"/>
          <w:color w:val="auto"/>
        </w:rPr>
        <w:t>In recent months, we registered provisions for interest income that was accrued over the reprogrammed loans grace periods and was not paid-back when grace periods expired due to delinquency.</w:t>
      </w:r>
    </w:p>
    <w:p>
      <w:pPr>
        <w:spacing w:after="0" w:line="200" w:lineRule="exact"/>
        <w:rPr>
          <w:sz w:val="20"/>
          <w:szCs w:val="20"/>
          <w:color w:val="auto"/>
        </w:rPr>
      </w:pPr>
    </w:p>
    <w:p>
      <w:pPr>
        <w:spacing w:after="0" w:line="210"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361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572135</wp:posOffset>
            </wp:positionV>
            <wp:extent cx="7136130" cy="79616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6130" cy="7961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4. Portfolio Quality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Net provisions for loan losses and CofR</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20" w:type="dxa"/>
            <w:vAlign w:val="bottom"/>
            <w:gridSpan w:val="3"/>
            <w:vMerge w:val="restart"/>
          </w:tcPr>
          <w:p>
            <w:pPr>
              <w:spacing w:after="0"/>
              <w:rPr>
                <w:sz w:val="20"/>
                <w:szCs w:val="20"/>
                <w:color w:val="auto"/>
              </w:rPr>
            </w:pPr>
            <w:r>
              <w:rPr>
                <w:rFonts w:ascii="Arial" w:cs="Arial" w:eastAsia="Arial" w:hAnsi="Arial"/>
                <w:sz w:val="12"/>
                <w:szCs w:val="12"/>
                <w:b w:val="1"/>
                <w:bCs w:val="1"/>
                <w:color w:val="auto"/>
                <w:w w:val="89"/>
              </w:rPr>
              <w:t>Provision for credit losses on loan portfolio, net of recoveries S/ 000</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4"/>
          </w:tcPr>
          <w:p>
            <w:pPr>
              <w:ind w:left="160"/>
              <w:spacing w:after="0"/>
              <w:rPr>
                <w:sz w:val="20"/>
                <w:szCs w:val="20"/>
                <w:color w:val="auto"/>
              </w:rPr>
            </w:pPr>
            <w:r>
              <w:rPr>
                <w:rFonts w:ascii="Arial" w:cs="Arial" w:eastAsia="Arial" w:hAnsi="Arial"/>
                <w:sz w:val="12"/>
                <w:szCs w:val="12"/>
                <w:b w:val="1"/>
                <w:bCs w:val="1"/>
                <w:color w:val="auto"/>
              </w:rPr>
              <w:t>Quarter</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5"/>
          </w:tcPr>
          <w:p>
            <w:pPr>
              <w:ind w:left="560"/>
              <w:spacing w:after="0"/>
              <w:rPr>
                <w:sz w:val="20"/>
                <w:szCs w:val="20"/>
                <w:color w:val="auto"/>
              </w:rPr>
            </w:pPr>
            <w:r>
              <w:rPr>
                <w:rFonts w:ascii="Arial" w:cs="Arial" w:eastAsia="Arial" w:hAnsi="Arial"/>
                <w:sz w:val="12"/>
                <w:szCs w:val="12"/>
                <w:b w:val="1"/>
                <w:bCs w:val="1"/>
                <w:color w:val="auto"/>
              </w:rPr>
              <w:t>% change</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5"/>
          </w:tcPr>
          <w:p>
            <w:pPr>
              <w:jc w:val="right"/>
              <w:ind w:right="140"/>
              <w:spacing w:after="0"/>
              <w:rPr>
                <w:sz w:val="20"/>
                <w:szCs w:val="20"/>
                <w:color w:val="auto"/>
              </w:rPr>
            </w:pPr>
            <w:r>
              <w:rPr>
                <w:rFonts w:ascii="Arial" w:cs="Arial" w:eastAsia="Arial" w:hAnsi="Arial"/>
                <w:sz w:val="12"/>
                <w:szCs w:val="12"/>
                <w:b w:val="1"/>
                <w:bCs w:val="1"/>
                <w:color w:val="auto"/>
              </w:rPr>
              <w:t>YTD</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2"/>
                <w:szCs w:val="12"/>
                <w:b w:val="1"/>
                <w:bCs w:val="1"/>
                <w:color w:val="auto"/>
                <w:w w:val="96"/>
              </w:rPr>
              <w:t>% change</w:t>
            </w:r>
          </w:p>
        </w:tc>
        <w:tc>
          <w:tcPr>
            <w:tcW w:w="0" w:type="dxa"/>
            <w:vAlign w:val="bottom"/>
          </w:tcPr>
          <w:p>
            <w:pPr>
              <w:spacing w:after="0"/>
              <w:rPr>
                <w:sz w:val="1"/>
                <w:szCs w:val="1"/>
                <w:color w:val="auto"/>
              </w:rPr>
            </w:pPr>
          </w:p>
        </w:tc>
      </w:tr>
      <w:tr>
        <w:trPr>
          <w:trHeight w:val="138"/>
        </w:trPr>
        <w:tc>
          <w:tcPr>
            <w:tcW w:w="3520" w:type="dxa"/>
            <w:vAlign w:val="bottom"/>
            <w:tcBorders>
              <w:bottom w:val="single" w:sz="8" w:color="auto"/>
            </w:tcBorders>
            <w:gridSpan w:val="3"/>
            <w:vMerge w:val="continue"/>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gridSpan w:val="3"/>
          </w:tcPr>
          <w:p>
            <w:pPr>
              <w:jc w:val="right"/>
              <w:ind w:right="240"/>
              <w:spacing w:after="0"/>
              <w:rPr>
                <w:sz w:val="20"/>
                <w:szCs w:val="20"/>
                <w:color w:val="auto"/>
              </w:rPr>
            </w:pPr>
            <w:r>
              <w:rPr>
                <w:rFonts w:ascii="Arial" w:cs="Arial" w:eastAsia="Arial" w:hAnsi="Arial"/>
                <w:sz w:val="12"/>
                <w:szCs w:val="12"/>
                <w:b w:val="1"/>
                <w:bCs w:val="1"/>
                <w:color w:val="auto"/>
              </w:rPr>
              <w:t>3Q20</w:t>
            </w:r>
          </w:p>
        </w:tc>
        <w:tc>
          <w:tcPr>
            <w:tcW w:w="100" w:type="dxa"/>
            <w:vAlign w:val="bottom"/>
            <w:tcBorders>
              <w:top w:val="single" w:sz="8" w:color="auto"/>
              <w:bottom w:val="single" w:sz="8" w:color="CCEEFF"/>
            </w:tcBorders>
          </w:tcPr>
          <w:p>
            <w:pPr>
              <w:spacing w:after="0"/>
              <w:rPr>
                <w:sz w:val="11"/>
                <w:szCs w:val="11"/>
                <w:color w:val="auto"/>
              </w:rPr>
            </w:pPr>
          </w:p>
        </w:tc>
        <w:tc>
          <w:tcPr>
            <w:tcW w:w="60" w:type="dxa"/>
            <w:vAlign w:val="bottom"/>
            <w:tcBorders>
              <w:top w:val="single" w:sz="8" w:color="auto"/>
              <w:bottom w:val="single" w:sz="8" w:color="CCEEFF"/>
            </w:tcBorders>
          </w:tcPr>
          <w:p>
            <w:pPr>
              <w:spacing w:after="0"/>
              <w:rPr>
                <w:sz w:val="11"/>
                <w:szCs w:val="11"/>
                <w:color w:val="auto"/>
              </w:rPr>
            </w:pPr>
          </w:p>
        </w:tc>
        <w:tc>
          <w:tcPr>
            <w:tcW w:w="74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2"/>
                <w:szCs w:val="12"/>
                <w:b w:val="1"/>
                <w:bCs w:val="1"/>
                <w:color w:val="auto"/>
              </w:rPr>
              <w:t>2Q21</w:t>
            </w:r>
          </w:p>
        </w:tc>
        <w:tc>
          <w:tcPr>
            <w:tcW w:w="180" w:type="dxa"/>
            <w:vAlign w:val="bottom"/>
            <w:tcBorders>
              <w:top w:val="single" w:sz="8" w:color="auto"/>
              <w:bottom w:val="single" w:sz="8" w:color="CCEEFF"/>
            </w:tcBorders>
            <w:gridSpan w:val="2"/>
          </w:tcPr>
          <w:p>
            <w:pPr>
              <w:spacing w:after="0"/>
              <w:rPr>
                <w:sz w:val="11"/>
                <w:szCs w:val="11"/>
                <w:color w:val="auto"/>
              </w:rPr>
            </w:pPr>
          </w:p>
        </w:tc>
        <w:tc>
          <w:tcPr>
            <w:tcW w:w="72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2"/>
                <w:szCs w:val="12"/>
                <w:b w:val="1"/>
                <w:bCs w:val="1"/>
                <w:color w:val="auto"/>
              </w:rPr>
              <w:t>3Q21</w:t>
            </w:r>
          </w:p>
        </w:tc>
        <w:tc>
          <w:tcPr>
            <w:tcW w:w="22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2"/>
                <w:szCs w:val="12"/>
                <w:b w:val="1"/>
                <w:bCs w:val="1"/>
                <w:color w:val="auto"/>
              </w:rPr>
              <w:t>QoQ</w:t>
            </w:r>
          </w:p>
        </w:tc>
        <w:tc>
          <w:tcPr>
            <w:tcW w:w="240" w:type="dxa"/>
            <w:vAlign w:val="bottom"/>
            <w:tcBorders>
              <w:top w:val="single" w:sz="8" w:color="auto"/>
              <w:bottom w:val="single" w:sz="8" w:color="CCEEFF"/>
            </w:tcBorders>
            <w:gridSpan w:val="2"/>
          </w:tcPr>
          <w:p>
            <w:pPr>
              <w:spacing w:after="0"/>
              <w:rPr>
                <w:sz w:val="11"/>
                <w:szCs w:val="11"/>
                <w:color w:val="auto"/>
              </w:rPr>
            </w:pPr>
          </w:p>
        </w:tc>
        <w:tc>
          <w:tcPr>
            <w:tcW w:w="240" w:type="dxa"/>
            <w:vAlign w:val="bottom"/>
            <w:tcBorders>
              <w:top w:val="single" w:sz="8" w:color="auto"/>
              <w:bottom w:val="single" w:sz="8" w:color="auto"/>
            </w:tcBorders>
            <w:gridSpan w:val="2"/>
          </w:tcPr>
          <w:p>
            <w:pPr>
              <w:spacing w:after="0"/>
              <w:rPr>
                <w:sz w:val="11"/>
                <w:szCs w:val="11"/>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YoY</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2"/>
                <w:szCs w:val="12"/>
                <w:b w:val="1"/>
                <w:bCs w:val="1"/>
                <w:color w:val="auto"/>
              </w:rPr>
              <w:t>9M - 20</w:t>
            </w:r>
          </w:p>
        </w:tc>
        <w:tc>
          <w:tcPr>
            <w:tcW w:w="200" w:type="dxa"/>
            <w:vAlign w:val="bottom"/>
            <w:tcBorders>
              <w:top w:val="single" w:sz="8" w:color="auto"/>
              <w:bottom w:val="single" w:sz="8" w:color="CCEEFF"/>
            </w:tcBorders>
            <w:gridSpan w:val="2"/>
          </w:tcPr>
          <w:p>
            <w:pPr>
              <w:spacing w:after="0"/>
              <w:rPr>
                <w:sz w:val="11"/>
                <w:szCs w:val="11"/>
                <w:color w:val="auto"/>
              </w:rPr>
            </w:pPr>
          </w:p>
        </w:tc>
        <w:tc>
          <w:tcPr>
            <w:tcW w:w="180" w:type="dxa"/>
            <w:vAlign w:val="bottom"/>
            <w:tcBorders>
              <w:top w:val="single" w:sz="8" w:color="auto"/>
              <w:bottom w:val="single" w:sz="8" w:color="auto"/>
            </w:tcBorders>
            <w:gridSpan w:val="2"/>
          </w:tcPr>
          <w:p>
            <w:pPr>
              <w:spacing w:after="0"/>
              <w:rPr>
                <w:sz w:val="11"/>
                <w:szCs w:val="11"/>
                <w:color w:val="auto"/>
              </w:rPr>
            </w:pPr>
          </w:p>
        </w:tc>
        <w:tc>
          <w:tcPr>
            <w:tcW w:w="5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2"/>
                <w:szCs w:val="12"/>
                <w:b w:val="1"/>
                <w:bCs w:val="1"/>
                <w:color w:val="auto"/>
                <w:w w:val="93"/>
              </w:rPr>
              <w:t>9M - 21</w:t>
            </w: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6"/>
              </w:rPr>
              <w:t>9M - 21 / 9M - 20</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520" w:type="dxa"/>
            <w:vAlign w:val="bottom"/>
            <w:gridSpan w:val="3"/>
            <w:shd w:val="clear" w:color="auto" w:fill="CCEEFF"/>
          </w:tcPr>
          <w:p>
            <w:pPr>
              <w:spacing w:after="0" w:line="125" w:lineRule="exact"/>
              <w:rPr>
                <w:sz w:val="20"/>
                <w:szCs w:val="20"/>
                <w:color w:val="auto"/>
              </w:rPr>
            </w:pPr>
            <w:r>
              <w:rPr>
                <w:rFonts w:ascii="Arial" w:cs="Arial" w:eastAsia="Arial" w:hAnsi="Arial"/>
                <w:sz w:val="12"/>
                <w:szCs w:val="12"/>
                <w:color w:val="auto"/>
              </w:rPr>
              <w:t>Gross provision for credit losses on loan portfolio</w:t>
            </w:r>
          </w:p>
        </w:tc>
        <w:tc>
          <w:tcPr>
            <w:tcW w:w="6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20"/>
              <w:spacing w:after="0" w:line="125" w:lineRule="exact"/>
              <w:rPr>
                <w:sz w:val="20"/>
                <w:szCs w:val="20"/>
                <w:color w:val="auto"/>
              </w:rPr>
            </w:pPr>
            <w:r>
              <w:rPr>
                <w:rFonts w:ascii="Arial" w:cs="Arial" w:eastAsia="Arial" w:hAnsi="Arial"/>
                <w:sz w:val="12"/>
                <w:szCs w:val="12"/>
                <w:color w:val="auto"/>
              </w:rPr>
              <w:t>(1,348,726)</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spacing w:after="0" w:line="125" w:lineRule="exact"/>
              <w:rPr>
                <w:sz w:val="20"/>
                <w:szCs w:val="20"/>
                <w:color w:val="auto"/>
              </w:rPr>
            </w:pPr>
            <w:r>
              <w:rPr>
                <w:rFonts w:ascii="Arial" w:cs="Arial" w:eastAsia="Arial" w:hAnsi="Arial"/>
                <w:sz w:val="12"/>
                <w:szCs w:val="12"/>
                <w:color w:val="auto"/>
              </w:rPr>
              <w:t>(441,007)</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(265,158)</w:t>
            </w:r>
          </w:p>
        </w:tc>
        <w:tc>
          <w:tcPr>
            <w:tcW w:w="220" w:type="dxa"/>
            <w:vAlign w:val="bottom"/>
            <w:shd w:val="clear" w:color="auto" w:fill="CCEEFF"/>
          </w:tcPr>
          <w:p>
            <w:pPr>
              <w:spacing w:after="0"/>
              <w:rPr>
                <w:sz w:val="10"/>
                <w:szCs w:val="10"/>
                <w:color w:val="auto"/>
              </w:rPr>
            </w:pPr>
          </w:p>
        </w:tc>
        <w:tc>
          <w:tcPr>
            <w:tcW w:w="820" w:type="dxa"/>
            <w:vAlign w:val="bottom"/>
            <w:gridSpan w:val="3"/>
            <w:shd w:val="clear" w:color="auto" w:fill="CCEEFF"/>
          </w:tcPr>
          <w:p>
            <w:pPr>
              <w:jc w:val="right"/>
              <w:spacing w:after="0" w:line="125" w:lineRule="exact"/>
              <w:rPr>
                <w:sz w:val="20"/>
                <w:szCs w:val="20"/>
                <w:color w:val="auto"/>
              </w:rPr>
            </w:pPr>
            <w:r>
              <w:rPr>
                <w:rFonts w:ascii="Arial" w:cs="Arial" w:eastAsia="Arial" w:hAnsi="Arial"/>
                <w:sz w:val="12"/>
                <w:szCs w:val="12"/>
                <w:color w:val="auto"/>
              </w:rPr>
              <w:t>-39.9%</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40"/>
              <w:spacing w:after="0" w:line="125" w:lineRule="exact"/>
              <w:rPr>
                <w:sz w:val="20"/>
                <w:szCs w:val="20"/>
                <w:color w:val="auto"/>
              </w:rPr>
            </w:pPr>
            <w:r>
              <w:rPr>
                <w:rFonts w:ascii="Arial" w:cs="Arial" w:eastAsia="Arial" w:hAnsi="Arial"/>
                <w:sz w:val="12"/>
                <w:szCs w:val="12"/>
                <w:color w:val="auto"/>
              </w:rPr>
              <w:t>-80.3%</w:t>
            </w: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spacing w:after="0" w:line="125" w:lineRule="exact"/>
              <w:rPr>
                <w:sz w:val="20"/>
                <w:szCs w:val="20"/>
                <w:color w:val="auto"/>
              </w:rPr>
            </w:pPr>
            <w:r>
              <w:rPr>
                <w:rFonts w:ascii="Arial" w:cs="Arial" w:eastAsia="Arial" w:hAnsi="Arial"/>
                <w:sz w:val="12"/>
                <w:szCs w:val="12"/>
                <w:color w:val="auto"/>
              </w:rPr>
              <w:t>(5,295,095)</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w w:val="91"/>
              </w:rPr>
              <w:t>(1,329,147)</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gridSpan w:val="3"/>
            <w:shd w:val="clear" w:color="auto" w:fill="CCEEFF"/>
          </w:tcPr>
          <w:p>
            <w:pPr>
              <w:jc w:val="right"/>
              <w:ind w:right="20"/>
              <w:spacing w:after="0" w:line="125" w:lineRule="exact"/>
              <w:rPr>
                <w:sz w:val="20"/>
                <w:szCs w:val="20"/>
                <w:color w:val="auto"/>
              </w:rPr>
            </w:pPr>
            <w:r>
              <w:rPr>
                <w:rFonts w:ascii="Arial" w:cs="Arial" w:eastAsia="Arial" w:hAnsi="Arial"/>
                <w:sz w:val="12"/>
                <w:szCs w:val="12"/>
                <w:color w:val="auto"/>
              </w:rPr>
              <w:t>-74.9%</w:t>
            </w:r>
          </w:p>
        </w:tc>
        <w:tc>
          <w:tcPr>
            <w:tcW w:w="0" w:type="dxa"/>
            <w:vAlign w:val="bottom"/>
          </w:tcPr>
          <w:p>
            <w:pPr>
              <w:spacing w:after="0"/>
              <w:rPr>
                <w:sz w:val="1"/>
                <w:szCs w:val="1"/>
                <w:color w:val="auto"/>
              </w:rPr>
            </w:pPr>
          </w:p>
        </w:tc>
      </w:tr>
      <w:tr>
        <w:trPr>
          <w:trHeight w:val="131"/>
        </w:trPr>
        <w:tc>
          <w:tcPr>
            <w:tcW w:w="3520" w:type="dxa"/>
            <w:vAlign w:val="bottom"/>
            <w:gridSpan w:val="3"/>
          </w:tcPr>
          <w:p>
            <w:pPr>
              <w:spacing w:after="0" w:line="132" w:lineRule="exact"/>
              <w:rPr>
                <w:sz w:val="20"/>
                <w:szCs w:val="20"/>
                <w:color w:val="auto"/>
              </w:rPr>
            </w:pPr>
            <w:r>
              <w:rPr>
                <w:rFonts w:ascii="Arial" w:cs="Arial" w:eastAsia="Arial" w:hAnsi="Arial"/>
                <w:sz w:val="12"/>
                <w:szCs w:val="12"/>
                <w:color w:val="auto"/>
              </w:rPr>
              <w:t>Recoveries of written-off loans</w:t>
            </w:r>
          </w:p>
        </w:tc>
        <w:tc>
          <w:tcPr>
            <w:tcW w:w="920" w:type="dxa"/>
            <w:vAlign w:val="bottom"/>
            <w:gridSpan w:val="5"/>
          </w:tcPr>
          <w:p>
            <w:pPr>
              <w:jc w:val="right"/>
              <w:ind w:right="120"/>
              <w:spacing w:after="0" w:line="132" w:lineRule="exact"/>
              <w:rPr>
                <w:sz w:val="20"/>
                <w:szCs w:val="20"/>
                <w:color w:val="auto"/>
              </w:rPr>
            </w:pPr>
            <w:r>
              <w:rPr>
                <w:rFonts w:ascii="Arial" w:cs="Arial" w:eastAsia="Arial" w:hAnsi="Arial"/>
                <w:sz w:val="12"/>
                <w:szCs w:val="12"/>
                <w:color w:val="auto"/>
              </w:rPr>
              <w:t>42,821</w:t>
            </w:r>
          </w:p>
        </w:tc>
        <w:tc>
          <w:tcPr>
            <w:tcW w:w="900" w:type="dxa"/>
            <w:vAlign w:val="bottom"/>
            <w:gridSpan w:val="4"/>
          </w:tcPr>
          <w:p>
            <w:pPr>
              <w:jc w:val="right"/>
              <w:ind w:right="100"/>
              <w:spacing w:after="0" w:line="132" w:lineRule="exact"/>
              <w:rPr>
                <w:sz w:val="20"/>
                <w:szCs w:val="20"/>
                <w:color w:val="auto"/>
              </w:rPr>
            </w:pPr>
            <w:r>
              <w:rPr>
                <w:rFonts w:ascii="Arial" w:cs="Arial" w:eastAsia="Arial" w:hAnsi="Arial"/>
                <w:sz w:val="12"/>
                <w:szCs w:val="12"/>
                <w:color w:val="auto"/>
              </w:rPr>
              <w:t>77,627</w:t>
            </w: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2" w:lineRule="exact"/>
              <w:rPr>
                <w:sz w:val="20"/>
                <w:szCs w:val="20"/>
                <w:color w:val="auto"/>
              </w:rPr>
            </w:pPr>
            <w:r>
              <w:rPr>
                <w:rFonts w:ascii="Arial" w:cs="Arial" w:eastAsia="Arial" w:hAnsi="Arial"/>
                <w:sz w:val="12"/>
                <w:szCs w:val="12"/>
                <w:color w:val="auto"/>
              </w:rPr>
              <w:t>100,744</w:t>
            </w:r>
          </w:p>
        </w:tc>
        <w:tc>
          <w:tcPr>
            <w:tcW w:w="820" w:type="dxa"/>
            <w:vAlign w:val="bottom"/>
            <w:gridSpan w:val="3"/>
          </w:tcPr>
          <w:p>
            <w:pPr>
              <w:jc w:val="right"/>
              <w:spacing w:after="0" w:line="132" w:lineRule="exact"/>
              <w:rPr>
                <w:sz w:val="20"/>
                <w:szCs w:val="20"/>
                <w:color w:val="auto"/>
              </w:rPr>
            </w:pPr>
            <w:r>
              <w:rPr>
                <w:rFonts w:ascii="Arial" w:cs="Arial" w:eastAsia="Arial" w:hAnsi="Arial"/>
                <w:sz w:val="12"/>
                <w:szCs w:val="12"/>
                <w:color w:val="auto"/>
              </w:rPr>
              <w:t>29.8%</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135.3%</w:t>
            </w:r>
          </w:p>
        </w:tc>
        <w:tc>
          <w:tcPr>
            <w:tcW w:w="100" w:type="dxa"/>
            <w:vAlign w:val="bottom"/>
          </w:tcPr>
          <w:p>
            <w:pPr>
              <w:spacing w:after="0"/>
              <w:rPr>
                <w:sz w:val="11"/>
                <w:szCs w:val="11"/>
                <w:color w:val="auto"/>
              </w:rPr>
            </w:pPr>
          </w:p>
        </w:tc>
        <w:tc>
          <w:tcPr>
            <w:tcW w:w="880" w:type="dxa"/>
            <w:vAlign w:val="bottom"/>
            <w:gridSpan w:val="3"/>
          </w:tcPr>
          <w:p>
            <w:pPr>
              <w:jc w:val="right"/>
              <w:ind w:right="59"/>
              <w:spacing w:after="0" w:line="132" w:lineRule="exact"/>
              <w:rPr>
                <w:sz w:val="20"/>
                <w:szCs w:val="20"/>
                <w:color w:val="auto"/>
              </w:rPr>
            </w:pPr>
            <w:r>
              <w:rPr>
                <w:rFonts w:ascii="Arial" w:cs="Arial" w:eastAsia="Arial" w:hAnsi="Arial"/>
                <w:sz w:val="12"/>
                <w:szCs w:val="12"/>
                <w:color w:val="auto"/>
              </w:rPr>
              <w:t>107,252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right"/>
              <w:ind w:right="160"/>
              <w:spacing w:after="0" w:line="132" w:lineRule="exact"/>
              <w:rPr>
                <w:sz w:val="20"/>
                <w:szCs w:val="20"/>
                <w:color w:val="auto"/>
              </w:rPr>
            </w:pPr>
            <w:r>
              <w:rPr>
                <w:rFonts w:ascii="Arial" w:cs="Arial" w:eastAsia="Arial" w:hAnsi="Arial"/>
                <w:sz w:val="12"/>
                <w:szCs w:val="12"/>
                <w:color w:val="auto"/>
              </w:rPr>
              <w:t>243,706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3"/>
          </w:tcPr>
          <w:p>
            <w:pPr>
              <w:jc w:val="right"/>
              <w:ind w:right="20"/>
              <w:spacing w:after="0" w:line="132" w:lineRule="exact"/>
              <w:rPr>
                <w:sz w:val="20"/>
                <w:szCs w:val="20"/>
                <w:color w:val="auto"/>
              </w:rPr>
            </w:pPr>
            <w:r>
              <w:rPr>
                <w:rFonts w:ascii="Arial" w:cs="Arial" w:eastAsia="Arial" w:hAnsi="Arial"/>
                <w:sz w:val="12"/>
                <w:szCs w:val="12"/>
                <w:color w:val="auto"/>
              </w:rPr>
              <w:t>127.2%</w:t>
            </w:r>
          </w:p>
        </w:tc>
        <w:tc>
          <w:tcPr>
            <w:tcW w:w="0" w:type="dxa"/>
            <w:vAlign w:val="bottom"/>
          </w:tcPr>
          <w:p>
            <w:pPr>
              <w:spacing w:after="0"/>
              <w:rPr>
                <w:sz w:val="1"/>
                <w:szCs w:val="1"/>
                <w:color w:val="auto"/>
              </w:rPr>
            </w:pPr>
          </w:p>
        </w:tc>
      </w:tr>
      <w:tr>
        <w:trPr>
          <w:trHeight w:val="131"/>
        </w:trPr>
        <w:tc>
          <w:tcPr>
            <w:tcW w:w="3520" w:type="dxa"/>
            <w:vAlign w:val="bottom"/>
            <w:gridSpan w:val="3"/>
            <w:shd w:val="clear" w:color="auto" w:fill="CCEEFF"/>
          </w:tcPr>
          <w:p>
            <w:pPr>
              <w:spacing w:after="0" w:line="132" w:lineRule="exact"/>
              <w:rPr>
                <w:sz w:val="20"/>
                <w:szCs w:val="20"/>
                <w:color w:val="auto"/>
              </w:rPr>
            </w:pPr>
            <w:r>
              <w:rPr>
                <w:rFonts w:ascii="Arial" w:cs="Arial" w:eastAsia="Arial" w:hAnsi="Arial"/>
                <w:sz w:val="12"/>
                <w:szCs w:val="12"/>
                <w:b w:val="1"/>
                <w:bCs w:val="1"/>
                <w:color w:val="auto"/>
                <w:w w:val="99"/>
              </w:rPr>
              <w:t>Provision for credit losses on loan portfolio, net of recoveries</w:t>
            </w:r>
          </w:p>
        </w:tc>
        <w:tc>
          <w:tcPr>
            <w:tcW w:w="920" w:type="dxa"/>
            <w:vAlign w:val="bottom"/>
            <w:gridSpan w:val="5"/>
            <w:shd w:val="clear" w:color="auto" w:fill="CCEEFF"/>
          </w:tcPr>
          <w:p>
            <w:pPr>
              <w:jc w:val="right"/>
              <w:ind w:right="80"/>
              <w:spacing w:after="0" w:line="132" w:lineRule="exact"/>
              <w:rPr>
                <w:sz w:val="20"/>
                <w:szCs w:val="20"/>
                <w:color w:val="auto"/>
              </w:rPr>
            </w:pPr>
            <w:r>
              <w:rPr>
                <w:rFonts w:ascii="Arial" w:cs="Arial" w:eastAsia="Arial" w:hAnsi="Arial"/>
                <w:sz w:val="12"/>
                <w:szCs w:val="12"/>
                <w:b w:val="1"/>
                <w:bCs w:val="1"/>
                <w:color w:val="auto"/>
              </w:rPr>
              <w:t>(1,305,905)</w:t>
            </w:r>
          </w:p>
        </w:tc>
        <w:tc>
          <w:tcPr>
            <w:tcW w:w="900" w:type="dxa"/>
            <w:vAlign w:val="bottom"/>
            <w:gridSpan w:val="4"/>
            <w:shd w:val="clear" w:color="auto" w:fill="CCEEFF"/>
          </w:tcPr>
          <w:p>
            <w:pPr>
              <w:jc w:val="right"/>
              <w:ind w:right="60"/>
              <w:spacing w:after="0" w:line="132" w:lineRule="exact"/>
              <w:rPr>
                <w:sz w:val="20"/>
                <w:szCs w:val="20"/>
                <w:color w:val="auto"/>
              </w:rPr>
            </w:pPr>
            <w:r>
              <w:rPr>
                <w:rFonts w:ascii="Arial" w:cs="Arial" w:eastAsia="Arial" w:hAnsi="Arial"/>
                <w:sz w:val="12"/>
                <w:szCs w:val="12"/>
                <w:b w:val="1"/>
                <w:bCs w:val="1"/>
                <w:color w:val="auto"/>
              </w:rPr>
              <w:t>(363,380)</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b w:val="1"/>
                <w:bCs w:val="1"/>
                <w:color w:val="auto"/>
              </w:rPr>
              <w:t>(164,414)</w:t>
            </w:r>
          </w:p>
        </w:tc>
        <w:tc>
          <w:tcPr>
            <w:tcW w:w="960" w:type="dxa"/>
            <w:vAlign w:val="bottom"/>
            <w:gridSpan w:val="4"/>
            <w:shd w:val="clear" w:color="auto" w:fill="CCEEFF"/>
          </w:tcPr>
          <w:p>
            <w:pPr>
              <w:jc w:val="right"/>
              <w:ind w:right="120"/>
              <w:spacing w:after="0" w:line="132" w:lineRule="exact"/>
              <w:rPr>
                <w:sz w:val="20"/>
                <w:szCs w:val="20"/>
                <w:color w:val="auto"/>
              </w:rPr>
            </w:pPr>
            <w:r>
              <w:rPr>
                <w:rFonts w:ascii="Arial" w:cs="Arial" w:eastAsia="Arial" w:hAnsi="Arial"/>
                <w:sz w:val="12"/>
                <w:szCs w:val="12"/>
                <w:b w:val="1"/>
                <w:bCs w:val="1"/>
                <w:color w:val="auto"/>
              </w:rPr>
              <w:t>-54.8%</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2" w:lineRule="exact"/>
              <w:rPr>
                <w:sz w:val="20"/>
                <w:szCs w:val="20"/>
                <w:color w:val="auto"/>
              </w:rPr>
            </w:pPr>
            <w:r>
              <w:rPr>
                <w:rFonts w:ascii="Arial" w:cs="Arial" w:eastAsia="Arial" w:hAnsi="Arial"/>
                <w:sz w:val="12"/>
                <w:szCs w:val="12"/>
                <w:b w:val="1"/>
                <w:bCs w:val="1"/>
                <w:color w:val="auto"/>
              </w:rPr>
              <w:t>-87.4%</w:t>
            </w:r>
          </w:p>
        </w:tc>
        <w:tc>
          <w:tcPr>
            <w:tcW w:w="10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19"/>
              <w:spacing w:after="0" w:line="132" w:lineRule="exact"/>
              <w:rPr>
                <w:sz w:val="20"/>
                <w:szCs w:val="20"/>
                <w:color w:val="auto"/>
              </w:rPr>
            </w:pPr>
            <w:r>
              <w:rPr>
                <w:rFonts w:ascii="Arial" w:cs="Arial" w:eastAsia="Arial" w:hAnsi="Arial"/>
                <w:sz w:val="12"/>
                <w:szCs w:val="12"/>
                <w:b w:val="1"/>
                <w:bCs w:val="1"/>
                <w:color w:val="auto"/>
              </w:rPr>
              <w:t>(5,187,843)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b w:val="1"/>
                <w:bCs w:val="1"/>
                <w:color w:val="auto"/>
                <w:w w:val="97"/>
              </w:rPr>
              <w:t>(1,085,441)</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spacing w:after="0" w:line="132" w:lineRule="exact"/>
              <w:rPr>
                <w:sz w:val="20"/>
                <w:szCs w:val="20"/>
                <w:color w:val="auto"/>
              </w:rPr>
            </w:pPr>
            <w:r>
              <w:rPr>
                <w:rFonts w:ascii="Arial" w:cs="Arial" w:eastAsia="Arial" w:hAnsi="Arial"/>
                <w:sz w:val="12"/>
                <w:szCs w:val="12"/>
                <w:b w:val="1"/>
                <w:bCs w:val="1"/>
                <w:color w:val="auto"/>
              </w:rPr>
              <w:t>-79.1%</w:t>
            </w:r>
          </w:p>
        </w:tc>
        <w:tc>
          <w:tcPr>
            <w:tcW w:w="0" w:type="dxa"/>
            <w:vAlign w:val="bottom"/>
          </w:tcPr>
          <w:p>
            <w:pPr>
              <w:spacing w:after="0"/>
              <w:rPr>
                <w:sz w:val="1"/>
                <w:szCs w:val="1"/>
                <w:color w:val="auto"/>
              </w:rPr>
            </w:pPr>
          </w:p>
        </w:tc>
      </w:tr>
      <w:tr>
        <w:trPr>
          <w:trHeight w:val="354"/>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5"/>
          </w:tcPr>
          <w:p>
            <w:pPr>
              <w:ind w:left="60"/>
              <w:spacing w:after="0"/>
              <w:rPr>
                <w:sz w:val="20"/>
                <w:szCs w:val="20"/>
                <w:color w:val="auto"/>
              </w:rPr>
            </w:pPr>
            <w:r>
              <w:rPr>
                <w:rFonts w:ascii="Arial" w:cs="Arial" w:eastAsia="Arial" w:hAnsi="Arial"/>
                <w:sz w:val="12"/>
                <w:szCs w:val="12"/>
                <w:b w:val="1"/>
                <w:bCs w:val="1"/>
                <w:color w:val="auto"/>
              </w:rPr>
              <w:t>Quarter</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5"/>
          </w:tcPr>
          <w:p>
            <w:pPr>
              <w:ind w:left="640"/>
              <w:spacing w:after="0"/>
              <w:rPr>
                <w:sz w:val="20"/>
                <w:szCs w:val="20"/>
                <w:color w:val="auto"/>
              </w:rPr>
            </w:pPr>
            <w:r>
              <w:rPr>
                <w:rFonts w:ascii="Arial" w:cs="Arial" w:eastAsia="Arial" w:hAnsi="Arial"/>
                <w:sz w:val="12"/>
                <w:szCs w:val="12"/>
                <w:b w:val="1"/>
                <w:bCs w:val="1"/>
                <w:color w:val="auto"/>
                <w:w w:val="92"/>
              </w:rPr>
              <w:t>% change</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gridSpan w:val="4"/>
          </w:tcPr>
          <w:p>
            <w:pPr>
              <w:ind w:left="100"/>
              <w:spacing w:after="0"/>
              <w:rPr>
                <w:sz w:val="20"/>
                <w:szCs w:val="20"/>
                <w:color w:val="auto"/>
              </w:rPr>
            </w:pPr>
            <w:r>
              <w:rPr>
                <w:rFonts w:ascii="Arial" w:cs="Arial" w:eastAsia="Arial" w:hAnsi="Arial"/>
                <w:sz w:val="12"/>
                <w:szCs w:val="12"/>
                <w:b w:val="1"/>
                <w:bCs w:val="1"/>
                <w:color w:val="auto"/>
              </w:rPr>
              <w:t>YTD</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06"/>
        </w:trPr>
        <w:tc>
          <w:tcPr>
            <w:tcW w:w="3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Borders>
              <w:top w:val="single" w:sz="8" w:color="auto"/>
            </w:tcBorders>
            <w:gridSpan w:val="2"/>
          </w:tcPr>
          <w:p>
            <w:pPr>
              <w:jc w:val="right"/>
              <w:ind w:right="20"/>
              <w:spacing w:after="0" w:line="106" w:lineRule="exact"/>
              <w:rPr>
                <w:sz w:val="20"/>
                <w:szCs w:val="20"/>
                <w:color w:val="auto"/>
              </w:rPr>
            </w:pPr>
            <w:r>
              <w:rPr>
                <w:rFonts w:ascii="Arial" w:cs="Arial" w:eastAsia="Arial" w:hAnsi="Arial"/>
                <w:sz w:val="12"/>
                <w:szCs w:val="12"/>
                <w:b w:val="1"/>
                <w:bCs w:val="1"/>
                <w:color w:val="auto"/>
                <w:w w:val="99"/>
              </w:rPr>
              <w:t>9M - 21 / 9M -</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1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Cost of risk and Provisions</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3Q20</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b w:val="1"/>
                <w:bCs w:val="1"/>
                <w:color w:val="auto"/>
              </w:rPr>
              <w:t>2Q21</w:t>
            </w:r>
          </w:p>
        </w:tc>
        <w:tc>
          <w:tcPr>
            <w:tcW w:w="220" w:type="dxa"/>
            <w:vAlign w:val="bottom"/>
            <w:tcBorders>
              <w:bottom w:val="single" w:sz="8" w:color="CCEEFF"/>
            </w:tcBorders>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b w:val="1"/>
                <w:bCs w:val="1"/>
                <w:color w:val="auto"/>
              </w:rPr>
              <w:t>3Q21</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ind w:left="280"/>
              <w:spacing w:after="0"/>
              <w:rPr>
                <w:sz w:val="20"/>
                <w:szCs w:val="20"/>
                <w:color w:val="auto"/>
              </w:rPr>
            </w:pPr>
            <w:r>
              <w:rPr>
                <w:rFonts w:ascii="Arial" w:cs="Arial" w:eastAsia="Arial" w:hAnsi="Arial"/>
                <w:sz w:val="12"/>
                <w:szCs w:val="12"/>
                <w:color w:val="auto"/>
              </w:rPr>
              <w:t>QoQ</w:t>
            </w:r>
          </w:p>
        </w:tc>
        <w:tc>
          <w:tcPr>
            <w:tcW w:w="340" w:type="dxa"/>
            <w:vAlign w:val="bottom"/>
            <w:tcBorders>
              <w:bottom w:val="single" w:sz="8" w:color="CCEEFF"/>
            </w:tcBorders>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YoY</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2"/>
                <w:szCs w:val="12"/>
                <w:b w:val="1"/>
                <w:bCs w:val="1"/>
                <w:color w:val="auto"/>
              </w:rPr>
              <w:t>9M - 20</w:t>
            </w:r>
          </w:p>
        </w:tc>
        <w:tc>
          <w:tcPr>
            <w:tcW w:w="220" w:type="dxa"/>
            <w:vAlign w:val="bottom"/>
            <w:tcBorders>
              <w:bottom w:val="single" w:sz="8" w:color="CCEEFF"/>
            </w:tcBorders>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2"/>
                <w:szCs w:val="12"/>
                <w:b w:val="1"/>
                <w:bCs w:val="1"/>
                <w:color w:val="auto"/>
              </w:rPr>
              <w:t>9M - 21</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b w:val="1"/>
                <w:bCs w:val="1"/>
                <w:color w:val="auto"/>
              </w:rPr>
              <w:t>20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160" w:type="dxa"/>
            <w:vAlign w:val="bottom"/>
            <w:shd w:val="clear" w:color="auto" w:fill="CCEEFF"/>
          </w:tcPr>
          <w:p>
            <w:pPr>
              <w:spacing w:after="0" w:line="164" w:lineRule="exact"/>
              <w:rPr>
                <w:sz w:val="20"/>
                <w:szCs w:val="20"/>
                <w:color w:val="auto"/>
              </w:rPr>
            </w:pPr>
            <w:r>
              <w:rPr>
                <w:rFonts w:ascii="Arial" w:cs="Arial" w:eastAsia="Arial" w:hAnsi="Arial"/>
                <w:sz w:val="11"/>
                <w:szCs w:val="11"/>
                <w:color w:val="auto"/>
              </w:rPr>
              <w:t xml:space="preserve">Cost of risk </w:t>
            </w:r>
            <w:r>
              <w:rPr>
                <w:rFonts w:ascii="Arial" w:cs="Arial" w:eastAsia="Arial" w:hAnsi="Arial"/>
                <w:sz w:val="18"/>
                <w:szCs w:val="18"/>
                <w:color w:val="auto"/>
                <w:vertAlign w:val="superscript"/>
              </w:rPr>
              <w:t>(1)</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3.84%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1.02%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0.45%</w:t>
            </w:r>
          </w:p>
        </w:tc>
        <w:tc>
          <w:tcPr>
            <w:tcW w:w="20" w:type="dxa"/>
            <w:vAlign w:val="bottom"/>
            <w:shd w:val="clear" w:color="auto" w:fill="CCEEFF"/>
          </w:tcPr>
          <w:p>
            <w:pPr>
              <w:spacing w:after="0"/>
              <w:rPr>
                <w:sz w:val="14"/>
                <w:szCs w:val="14"/>
                <w:color w:val="auto"/>
              </w:rPr>
            </w:pPr>
          </w:p>
        </w:tc>
        <w:tc>
          <w:tcPr>
            <w:tcW w:w="1180" w:type="dxa"/>
            <w:vAlign w:val="bottom"/>
            <w:gridSpan w:val="5"/>
            <w:shd w:val="clear" w:color="auto" w:fill="CCEEFF"/>
          </w:tcPr>
          <w:p>
            <w:pPr>
              <w:ind w:left="440"/>
              <w:spacing w:after="0"/>
              <w:rPr>
                <w:sz w:val="20"/>
                <w:szCs w:val="20"/>
                <w:color w:val="auto"/>
              </w:rPr>
            </w:pPr>
            <w:r>
              <w:rPr>
                <w:rFonts w:ascii="Arial" w:cs="Arial" w:eastAsia="Arial" w:hAnsi="Arial"/>
                <w:sz w:val="12"/>
                <w:szCs w:val="12"/>
                <w:color w:val="auto"/>
              </w:rPr>
              <w:t>-57 bps</w:t>
            </w:r>
          </w:p>
        </w:tc>
        <w:tc>
          <w:tcPr>
            <w:tcW w:w="720" w:type="dxa"/>
            <w:vAlign w:val="bottom"/>
            <w:gridSpan w:val="3"/>
            <w:shd w:val="clear" w:color="auto" w:fill="CCEEFF"/>
          </w:tcPr>
          <w:p>
            <w:pPr>
              <w:ind w:left="200"/>
              <w:spacing w:after="0"/>
              <w:rPr>
                <w:sz w:val="20"/>
                <w:szCs w:val="20"/>
                <w:color w:val="auto"/>
              </w:rPr>
            </w:pPr>
            <w:r>
              <w:rPr>
                <w:rFonts w:ascii="Arial" w:cs="Arial" w:eastAsia="Arial" w:hAnsi="Arial"/>
                <w:sz w:val="12"/>
                <w:szCs w:val="12"/>
                <w:color w:val="auto"/>
              </w:rPr>
              <w:t>-339 bps</w:t>
            </w:r>
          </w:p>
        </w:tc>
        <w:tc>
          <w:tcPr>
            <w:tcW w:w="1100" w:type="dxa"/>
            <w:vAlign w:val="bottom"/>
            <w:gridSpan w:val="5"/>
            <w:shd w:val="clear" w:color="auto" w:fill="CCEEFF"/>
          </w:tcPr>
          <w:p>
            <w:pPr>
              <w:jc w:val="right"/>
              <w:ind w:right="100"/>
              <w:spacing w:after="0"/>
              <w:rPr>
                <w:sz w:val="20"/>
                <w:szCs w:val="20"/>
                <w:color w:val="auto"/>
              </w:rPr>
            </w:pPr>
            <w:r>
              <w:rPr>
                <w:rFonts w:ascii="Arial" w:cs="Arial" w:eastAsia="Arial" w:hAnsi="Arial"/>
                <w:sz w:val="12"/>
                <w:szCs w:val="12"/>
                <w:color w:val="auto"/>
              </w:rPr>
              <w:t>5.08%</w:t>
            </w:r>
          </w:p>
        </w:tc>
        <w:tc>
          <w:tcPr>
            <w:tcW w:w="40" w:type="dxa"/>
            <w:vAlign w:val="bottom"/>
            <w:shd w:val="clear" w:color="auto" w:fill="CCEEFF"/>
          </w:tcPr>
          <w:p>
            <w:pPr>
              <w:spacing w:after="0"/>
              <w:rPr>
                <w:sz w:val="14"/>
                <w:szCs w:val="14"/>
                <w:color w:val="auto"/>
              </w:rPr>
            </w:pPr>
          </w:p>
        </w:tc>
        <w:tc>
          <w:tcPr>
            <w:tcW w:w="940" w:type="dxa"/>
            <w:vAlign w:val="bottom"/>
            <w:gridSpan w:val="4"/>
            <w:shd w:val="clear" w:color="auto" w:fill="CCEEFF"/>
          </w:tcPr>
          <w:p>
            <w:pPr>
              <w:jc w:val="right"/>
              <w:ind w:right="39"/>
              <w:spacing w:after="0"/>
              <w:rPr>
                <w:sz w:val="20"/>
                <w:szCs w:val="20"/>
                <w:color w:val="auto"/>
              </w:rPr>
            </w:pPr>
            <w:r>
              <w:rPr>
                <w:rFonts w:ascii="Arial" w:cs="Arial" w:eastAsia="Arial" w:hAnsi="Arial"/>
                <w:sz w:val="12"/>
                <w:szCs w:val="12"/>
                <w:color w:val="auto"/>
              </w:rPr>
              <w:t>0.99%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-409 bps</w:t>
            </w:r>
          </w:p>
        </w:tc>
        <w:tc>
          <w:tcPr>
            <w:tcW w:w="0" w:type="dxa"/>
            <w:vAlign w:val="bottom"/>
          </w:tcPr>
          <w:p>
            <w:pPr>
              <w:spacing w:after="0"/>
              <w:rPr>
                <w:sz w:val="1"/>
                <w:szCs w:val="1"/>
                <w:color w:val="auto"/>
              </w:rPr>
            </w:pPr>
          </w:p>
        </w:tc>
      </w:tr>
      <w:tr>
        <w:trPr>
          <w:trHeight w:val="265"/>
        </w:trPr>
        <w:tc>
          <w:tcPr>
            <w:tcW w:w="3520" w:type="dxa"/>
            <w:vAlign w:val="bottom"/>
            <w:gridSpan w:val="3"/>
          </w:tcPr>
          <w:p>
            <w:pPr>
              <w:spacing w:after="0"/>
              <w:rPr>
                <w:sz w:val="20"/>
                <w:szCs w:val="20"/>
                <w:color w:val="auto"/>
              </w:rPr>
            </w:pPr>
            <w:r>
              <w:rPr>
                <w:rFonts w:ascii="Arial" w:cs="Arial" w:eastAsia="Arial" w:hAnsi="Arial"/>
                <w:sz w:val="12"/>
                <w:szCs w:val="12"/>
                <w:color w:val="auto"/>
              </w:rPr>
              <w:t xml:space="preserve">Structural Cost of risk </w:t>
            </w:r>
            <w:r>
              <w:rPr>
                <w:rFonts w:ascii="Arial" w:cs="Arial" w:eastAsia="Arial" w:hAnsi="Arial"/>
                <w:sz w:val="20"/>
                <w:szCs w:val="20"/>
                <w:color w:val="auto"/>
                <w:vertAlign w:val="superscript"/>
              </w:rPr>
              <w:t>(2)</w:t>
            </w:r>
          </w:p>
        </w:tc>
        <w:tc>
          <w:tcPr>
            <w:tcW w:w="800" w:type="dxa"/>
            <w:vAlign w:val="bottom"/>
            <w:gridSpan w:val="3"/>
          </w:tcPr>
          <w:p>
            <w:pPr>
              <w:jc w:val="right"/>
              <w:ind w:right="140"/>
              <w:spacing w:after="0"/>
              <w:rPr>
                <w:sz w:val="20"/>
                <w:szCs w:val="20"/>
                <w:color w:val="auto"/>
              </w:rPr>
            </w:pPr>
            <w:r>
              <w:rPr>
                <w:rFonts w:ascii="Arial" w:cs="Arial" w:eastAsia="Arial" w:hAnsi="Arial"/>
                <w:sz w:val="12"/>
                <w:szCs w:val="12"/>
                <w:color w:val="auto"/>
              </w:rPr>
              <w:t>4.37%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2"/>
                <w:szCs w:val="12"/>
                <w:color w:val="auto"/>
              </w:rPr>
              <w:t>1.23%</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0.54%</w:t>
            </w:r>
          </w:p>
        </w:tc>
        <w:tc>
          <w:tcPr>
            <w:tcW w:w="20" w:type="dxa"/>
            <w:vAlign w:val="bottom"/>
          </w:tcPr>
          <w:p>
            <w:pPr>
              <w:spacing w:after="0"/>
              <w:rPr>
                <w:sz w:val="23"/>
                <w:szCs w:val="23"/>
                <w:color w:val="auto"/>
              </w:rPr>
            </w:pPr>
          </w:p>
        </w:tc>
        <w:tc>
          <w:tcPr>
            <w:tcW w:w="1180" w:type="dxa"/>
            <w:vAlign w:val="bottom"/>
            <w:gridSpan w:val="5"/>
          </w:tcPr>
          <w:p>
            <w:pPr>
              <w:ind w:left="440"/>
              <w:spacing w:after="0"/>
              <w:rPr>
                <w:sz w:val="20"/>
                <w:szCs w:val="20"/>
                <w:color w:val="auto"/>
              </w:rPr>
            </w:pPr>
            <w:r>
              <w:rPr>
                <w:rFonts w:ascii="Arial" w:cs="Arial" w:eastAsia="Arial" w:hAnsi="Arial"/>
                <w:sz w:val="12"/>
                <w:szCs w:val="12"/>
                <w:color w:val="auto"/>
              </w:rPr>
              <w:t>-69 bps</w:t>
            </w:r>
          </w:p>
        </w:tc>
        <w:tc>
          <w:tcPr>
            <w:tcW w:w="720" w:type="dxa"/>
            <w:vAlign w:val="bottom"/>
            <w:gridSpan w:val="3"/>
          </w:tcPr>
          <w:p>
            <w:pPr>
              <w:ind w:left="200"/>
              <w:spacing w:after="0"/>
              <w:rPr>
                <w:sz w:val="20"/>
                <w:szCs w:val="20"/>
                <w:color w:val="auto"/>
              </w:rPr>
            </w:pPr>
            <w:r>
              <w:rPr>
                <w:rFonts w:ascii="Arial" w:cs="Arial" w:eastAsia="Arial" w:hAnsi="Arial"/>
                <w:sz w:val="12"/>
                <w:szCs w:val="12"/>
                <w:color w:val="auto"/>
              </w:rPr>
              <w:t>-383 bps</w:t>
            </w:r>
          </w:p>
        </w:tc>
        <w:tc>
          <w:tcPr>
            <w:tcW w:w="1100" w:type="dxa"/>
            <w:vAlign w:val="bottom"/>
            <w:gridSpan w:val="5"/>
          </w:tcPr>
          <w:p>
            <w:pPr>
              <w:jc w:val="right"/>
              <w:ind w:right="100"/>
              <w:spacing w:after="0"/>
              <w:rPr>
                <w:sz w:val="20"/>
                <w:szCs w:val="20"/>
                <w:color w:val="auto"/>
              </w:rPr>
            </w:pPr>
            <w:r>
              <w:rPr>
                <w:rFonts w:ascii="Arial" w:cs="Arial" w:eastAsia="Arial" w:hAnsi="Arial"/>
                <w:sz w:val="12"/>
                <w:szCs w:val="12"/>
                <w:color w:val="auto"/>
              </w:rPr>
              <w:t>6.01%</w:t>
            </w:r>
          </w:p>
        </w:tc>
        <w:tc>
          <w:tcPr>
            <w:tcW w:w="40" w:type="dxa"/>
            <w:vAlign w:val="bottom"/>
          </w:tcPr>
          <w:p>
            <w:pPr>
              <w:spacing w:after="0"/>
              <w:rPr>
                <w:sz w:val="23"/>
                <w:szCs w:val="23"/>
                <w:color w:val="auto"/>
              </w:rPr>
            </w:pPr>
          </w:p>
        </w:tc>
        <w:tc>
          <w:tcPr>
            <w:tcW w:w="940" w:type="dxa"/>
            <w:vAlign w:val="bottom"/>
            <w:gridSpan w:val="4"/>
          </w:tcPr>
          <w:p>
            <w:pPr>
              <w:jc w:val="right"/>
              <w:ind w:right="39"/>
              <w:spacing w:after="0"/>
              <w:rPr>
                <w:sz w:val="20"/>
                <w:szCs w:val="20"/>
                <w:color w:val="auto"/>
              </w:rPr>
            </w:pPr>
            <w:r>
              <w:rPr>
                <w:rFonts w:ascii="Arial" w:cs="Arial" w:eastAsia="Arial" w:hAnsi="Arial"/>
                <w:sz w:val="12"/>
                <w:szCs w:val="12"/>
                <w:color w:val="auto"/>
              </w:rPr>
              <w:t>1.15%</w:t>
            </w:r>
          </w:p>
        </w:tc>
        <w:tc>
          <w:tcPr>
            <w:tcW w:w="880" w:type="dxa"/>
            <w:vAlign w:val="bottom"/>
            <w:gridSpan w:val="3"/>
          </w:tcPr>
          <w:p>
            <w:pPr>
              <w:jc w:val="right"/>
              <w:ind w:right="100"/>
              <w:spacing w:after="0"/>
              <w:rPr>
                <w:sz w:val="20"/>
                <w:szCs w:val="20"/>
                <w:color w:val="auto"/>
              </w:rPr>
            </w:pPr>
            <w:r>
              <w:rPr>
                <w:rFonts w:ascii="Arial" w:cs="Arial" w:eastAsia="Arial" w:hAnsi="Arial"/>
                <w:sz w:val="12"/>
                <w:szCs w:val="12"/>
                <w:color w:val="auto"/>
              </w:rPr>
              <w:t>-486 bps</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60" w:hanging="255"/>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Annualized Provision for credit losses on loan portfolio, net of recoveries / Total loans.</w:t>
      </w:r>
    </w:p>
    <w:p>
      <w:pPr>
        <w:spacing w:after="0" w:line="14" w:lineRule="exact"/>
        <w:rPr>
          <w:rFonts w:ascii="Arial" w:cs="Arial" w:eastAsia="Arial" w:hAnsi="Arial"/>
          <w:sz w:val="18"/>
          <w:szCs w:val="18"/>
          <w:color w:val="auto"/>
        </w:rPr>
      </w:pPr>
    </w:p>
    <w:p>
      <w:pPr>
        <w:ind w:right="420" w:firstLine="5"/>
        <w:spacing w:after="0" w:line="247" w:lineRule="auto"/>
        <w:tabs>
          <w:tab w:leader="none" w:pos="2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Structural Cost of risk excludes the provisions for credit losses on loan portfolio, net of recoveries and total loans from the Reactiva Peru and FAE Government Programs.</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Net provisions for loan losses fell -54.8% QoQ, following the same trend seen in previous quarters. This represents the largest drop in expenses in more than 8 years, as the conservative level of allowances for loan losses remains 1.8x above the level reported pre-pandemic. In this context, </w:t>
      </w:r>
      <w:r>
        <w:rPr>
          <w:rFonts w:ascii="Arial" w:cs="Arial" w:eastAsia="Arial" w:hAnsi="Arial"/>
          <w:sz w:val="18"/>
          <w:szCs w:val="18"/>
          <w:b w:val="1"/>
          <w:bCs w:val="1"/>
          <w:color w:val="auto"/>
        </w:rPr>
        <w:t>the cost of risk</w:t>
      </w:r>
      <w:r>
        <w:rPr>
          <w:rFonts w:ascii="Arial" w:cs="Arial" w:eastAsia="Arial" w:hAnsi="Arial"/>
          <w:sz w:val="18"/>
          <w:szCs w:val="18"/>
          <w:color w:val="auto"/>
        </w:rPr>
        <w:t xml:space="preserve"> fell -57 bps. This was primarily due to:</w:t>
      </w:r>
    </w:p>
    <w:p>
      <w:pPr>
        <w:spacing w:after="0" w:line="188" w:lineRule="exact"/>
        <w:rPr>
          <w:sz w:val="20"/>
          <w:szCs w:val="20"/>
          <w:color w:val="auto"/>
        </w:rPr>
      </w:pPr>
    </w:p>
    <w:p>
      <w:pPr>
        <w:jc w:val="both"/>
        <w:ind w:left="640" w:hanging="320"/>
        <w:spacing w:after="0" w:line="298" w:lineRule="auto"/>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BCP Stand-alone: due to the reduction in risk in the Individuals Banking and Wholesale Banking portfolios, which was driven by growth in income levels due to an influx of statutory bi-yearly bonus payments for individuals and companies’ uptick in sales. This positive evolution meant that the volume of loans that advanced from Stage 2 to Stage 3 fell. The provisions contraction was also attributable to an increase in recoveries of write-offs.</w:t>
      </w:r>
    </w:p>
    <w:p>
      <w:pPr>
        <w:spacing w:after="0" w:line="154" w:lineRule="exact"/>
        <w:rPr>
          <w:rFonts w:ascii="Arial" w:cs="Arial" w:eastAsia="Arial" w:hAnsi="Arial"/>
          <w:sz w:val="16"/>
          <w:szCs w:val="16"/>
          <w:color w:val="auto"/>
        </w:rPr>
      </w:pPr>
    </w:p>
    <w:p>
      <w:pPr>
        <w:jc w:val="both"/>
        <w:ind w:left="640" w:hanging="320"/>
        <w:spacing w:after="0" w:line="298" w:lineRule="auto"/>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Mibanco: due to lower passes between Stages and a decrease in the PD Bottom Up, which is related to better payment behaviors, an improvement in the portfolio quality of the new disbursements, and due to methodological adjustments. The aforementioned was slightly offset by higher provisions related to adjustments in write-offs policies, which require the establishment of total expenses for subsequent write-offs.</w:t>
      </w:r>
    </w:p>
    <w:p>
      <w:pPr>
        <w:spacing w:after="0" w:line="154" w:lineRule="exact"/>
        <w:rPr>
          <w:rFonts w:ascii="Arial" w:cs="Arial" w:eastAsia="Arial" w:hAnsi="Arial"/>
          <w:sz w:val="16"/>
          <w:szCs w:val="16"/>
          <w:color w:val="auto"/>
        </w:rPr>
      </w:pPr>
    </w:p>
    <w:p>
      <w:pPr>
        <w:ind w:left="640"/>
        <w:spacing w:after="0" w:line="361" w:lineRule="auto"/>
        <w:rPr>
          <w:rFonts w:ascii="Arial" w:cs="Arial" w:eastAsia="Arial" w:hAnsi="Arial"/>
          <w:sz w:val="16"/>
          <w:szCs w:val="16"/>
          <w:color w:val="auto"/>
        </w:rPr>
      </w:pPr>
      <w:r>
        <w:rPr>
          <w:rFonts w:ascii="Arial" w:cs="Arial" w:eastAsia="Arial" w:hAnsi="Arial"/>
          <w:sz w:val="15"/>
          <w:szCs w:val="15"/>
          <w:color w:val="auto"/>
        </w:rPr>
        <w:t>The aforementioned was partially attenuated by an increase in expenses at BCP Bolivia, which was attributable to an extraordinary provisions reversal in 2Q21, and adjustments to the PD model, which reflected operations pending to reprogram loans as mandated by the government of Bolivia.</w:t>
      </w:r>
    </w:p>
    <w:p>
      <w:pPr>
        <w:spacing w:after="0" w:line="10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If we exclude the effects of government loans, the </w:t>
      </w:r>
      <w:r>
        <w:rPr>
          <w:rFonts w:ascii="Arial" w:cs="Arial" w:eastAsia="Arial" w:hAnsi="Arial"/>
          <w:sz w:val="18"/>
          <w:szCs w:val="18"/>
          <w:b w:val="1"/>
          <w:bCs w:val="1"/>
          <w:color w:val="auto"/>
        </w:rPr>
        <w:t>structural cost of risk</w:t>
      </w:r>
      <w:r>
        <w:rPr>
          <w:rFonts w:ascii="Arial" w:cs="Arial" w:eastAsia="Arial" w:hAnsi="Arial"/>
          <w:sz w:val="18"/>
          <w:szCs w:val="18"/>
          <w:color w:val="auto"/>
        </w:rPr>
        <w:t xml:space="preserve"> stands at 0.54%, +9 bps higher than the total ratio given that S/21 billion in government loans are excluded from the denominator.</w:t>
      </w:r>
    </w:p>
    <w:p>
      <w:pPr>
        <w:spacing w:after="0" w:line="170" w:lineRule="exact"/>
        <w:rPr>
          <w:sz w:val="20"/>
          <w:szCs w:val="20"/>
          <w:color w:val="auto"/>
        </w:rPr>
      </w:pPr>
    </w:p>
    <w:p>
      <w:pPr>
        <w:ind w:left="1560"/>
        <w:spacing w:after="0"/>
        <w:tabs>
          <w:tab w:leader="none" w:pos="7180" w:val="left"/>
        </w:tabs>
        <w:rPr>
          <w:sz w:val="20"/>
          <w:szCs w:val="20"/>
          <w:color w:val="auto"/>
        </w:rPr>
      </w:pPr>
      <w:r>
        <w:rPr>
          <w:rFonts w:ascii="Arial" w:cs="Arial" w:eastAsia="Arial" w:hAnsi="Arial"/>
          <w:sz w:val="18"/>
          <w:szCs w:val="18"/>
          <w:b w:val="1"/>
          <w:bCs w:val="1"/>
          <w:color w:val="auto"/>
        </w:rPr>
        <w:t>QoQ evolution of the Cost of Risk</w:t>
      </w:r>
      <w:r>
        <w:rPr>
          <w:sz w:val="20"/>
          <w:szCs w:val="20"/>
          <w:color w:val="auto"/>
        </w:rPr>
        <w:tab/>
      </w:r>
      <w:r>
        <w:rPr>
          <w:rFonts w:ascii="Arial" w:cs="Arial" w:eastAsia="Arial" w:hAnsi="Arial"/>
          <w:sz w:val="15"/>
          <w:szCs w:val="15"/>
          <w:b w:val="1"/>
          <w:bCs w:val="1"/>
          <w:color w:val="auto"/>
        </w:rPr>
        <w:t>YoY evolution of the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147320</wp:posOffset>
            </wp:positionV>
            <wp:extent cx="6260465" cy="11087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60465" cy="1108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(1) Others include BCP Bolivia, ASB and eliminations.</w:t>
      </w:r>
      <w:r>
        <w:rPr>
          <w:sz w:val="20"/>
          <w:szCs w:val="20"/>
          <w:color w:val="auto"/>
        </w:rPr>
        <w:tab/>
      </w:r>
      <w:r>
        <w:rPr>
          <w:rFonts w:ascii="Arial" w:cs="Arial" w:eastAsia="Arial" w:hAnsi="Arial"/>
          <w:sz w:val="16"/>
          <w:szCs w:val="16"/>
          <w:color w:val="auto"/>
        </w:rPr>
        <w:t>(1) Others include BCP Bolivia, ASB and eliminations.</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the YoY analysis, provisions fell -87.4% due to (i) significant provisioning in 3Q20 in a context of high uncertainty relative to COVID-19 and (ii) the recovery in macroeconomic projections. This improvement was driven by all the banking subsidiaries, and was reflected in a drop of -339 bps in the </w:t>
      </w:r>
      <w:r>
        <w:rPr>
          <w:rFonts w:ascii="Arial" w:cs="Arial" w:eastAsia="Arial" w:hAnsi="Arial"/>
          <w:sz w:val="18"/>
          <w:szCs w:val="18"/>
          <w:b w:val="1"/>
          <w:bCs w:val="1"/>
          <w:color w:val="auto"/>
        </w:rPr>
        <w:t>cost of</w:t>
      </w:r>
      <w:r>
        <w:rPr>
          <w:rFonts w:ascii="Arial" w:cs="Arial" w:eastAsia="Arial" w:hAnsi="Arial"/>
          <w:sz w:val="18"/>
          <w:szCs w:val="18"/>
          <w:color w:val="auto"/>
        </w:rPr>
        <w:t xml:space="preserve"> </w:t>
      </w:r>
      <w:r>
        <w:rPr>
          <w:rFonts w:ascii="Arial" w:cs="Arial" w:eastAsia="Arial" w:hAnsi="Arial"/>
          <w:sz w:val="18"/>
          <w:szCs w:val="18"/>
          <w:b w:val="1"/>
          <w:bCs w:val="1"/>
          <w:color w:val="auto"/>
        </w:rPr>
        <w:t>risk</w:t>
      </w:r>
      <w:r>
        <w:rPr>
          <w:rFonts w:ascii="Arial" w:cs="Arial" w:eastAsia="Arial" w:hAnsi="Arial"/>
          <w:sz w:val="18"/>
          <w:szCs w:val="18"/>
          <w:color w:val="auto"/>
        </w:rPr>
        <w:t>. This contraction was spurred by:</w:t>
      </w:r>
    </w:p>
    <w:p>
      <w:pPr>
        <w:spacing w:after="0" w:line="188" w:lineRule="exact"/>
        <w:rPr>
          <w:sz w:val="20"/>
          <w:szCs w:val="20"/>
          <w:color w:val="auto"/>
        </w:rPr>
      </w:pPr>
    </w:p>
    <w:p>
      <w:pPr>
        <w:jc w:val="both"/>
        <w:ind w:left="640" w:hanging="320"/>
        <w:spacing w:after="0" w:line="298" w:lineRule="auto"/>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BCP Stand-alone: particularly in the SME-Pyme segments and Wholesale Banking. In SME-Pyme, the drop was driven by the fact that provisions were higher in 3Q20 due to adjustments to the LGD model to incorporate the impact of COVID-19. On the Wholesale Banking end, the reduction in provisions was due to positive client payment behavior, the fact that an important client emerged from default and a decrease in risk levels.</w:t>
      </w:r>
    </w:p>
    <w:p>
      <w:pPr>
        <w:spacing w:after="0" w:line="154" w:lineRule="exact"/>
        <w:rPr>
          <w:rFonts w:ascii="Arial" w:cs="Arial" w:eastAsia="Arial" w:hAnsi="Arial"/>
          <w:sz w:val="16"/>
          <w:szCs w:val="16"/>
          <w:color w:val="auto"/>
        </w:rPr>
      </w:pPr>
    </w:p>
    <w:p>
      <w:pPr>
        <w:ind w:left="640" w:hanging="320"/>
        <w:spacing w:after="0" w:line="26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Mibanco: due to improvements in clients payment behavior, which generated adjustments to the stress levels in the models, requiring lower provisions in the new disbursements, and a significant increase in the recovery of written-off loans.</w:t>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ind w:left="640" w:hanging="320"/>
        <w:spacing w:after="0" w:line="260"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BCP Bolivia: attributable to the fact that provisioning levels were very high last year and included earmarked expenses for SME-Pyme clients and the Consumer portfolio in anticipation of an increase in the probability of loan losses.</w:t>
      </w:r>
    </w:p>
    <w:p>
      <w:pPr>
        <w:spacing w:after="0" w:line="182" w:lineRule="exact"/>
        <w:rPr>
          <w:sz w:val="20"/>
          <w:szCs w:val="20"/>
          <w:color w:val="auto"/>
        </w:rPr>
      </w:pPr>
    </w:p>
    <w:p>
      <w:pPr>
        <w:ind w:left="640"/>
        <w:spacing w:after="0" w:line="323" w:lineRule="auto"/>
        <w:rPr>
          <w:sz w:val="20"/>
          <w:szCs w:val="20"/>
          <w:color w:val="auto"/>
        </w:rPr>
      </w:pPr>
      <w:r>
        <w:rPr>
          <w:rFonts w:ascii="Arial" w:cs="Arial" w:eastAsia="Arial" w:hAnsi="Arial"/>
          <w:sz w:val="16"/>
          <w:szCs w:val="16"/>
          <w:color w:val="auto"/>
        </w:rPr>
        <w:t>The aforementioned was partially attenuated by growth in provisions for larger loans volumes in the structural portfolios at all subsidiaries, which increased +12.2% YoY in aggregate. It is important to note that the devaluation of local currency also spurred growth in loans.</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If we exclude government loans and provisions, the </w:t>
      </w:r>
      <w:r>
        <w:rPr>
          <w:rFonts w:ascii="Arial" w:cs="Arial" w:eastAsia="Arial" w:hAnsi="Arial"/>
          <w:sz w:val="18"/>
          <w:szCs w:val="18"/>
          <w:b w:val="1"/>
          <w:bCs w:val="1"/>
          <w:color w:val="auto"/>
        </w:rPr>
        <w:t>structural cost of risk</w:t>
      </w:r>
      <w:r>
        <w:rPr>
          <w:rFonts w:ascii="Arial" w:cs="Arial" w:eastAsia="Arial" w:hAnsi="Arial"/>
          <w:sz w:val="18"/>
          <w:szCs w:val="18"/>
          <w:color w:val="auto"/>
        </w:rPr>
        <w:t xml:space="preserve"> was 0.54%, +9 bps higher than the total ratio. This evolution was driven primarily by the loan effect.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YTD Evolution of the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1878965</wp:posOffset>
            </wp:positionH>
            <wp:positionV relativeFrom="paragraph">
              <wp:posOffset>147320</wp:posOffset>
            </wp:positionV>
            <wp:extent cx="3351530" cy="1525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5153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(1) Others include BCP Bolivia, ASB and eliminations.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In the YTD analysis, net provisions for loan losses decreased -79.1% given that forward-looking provisions were set aside in 2020 in context of greater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uncertainty. The contractions at each subsidiary were driven by the same factors as those mentioned in the YoY analysis. In this scenario, the </w:t>
      </w:r>
      <w:r>
        <w:rPr>
          <w:rFonts w:ascii="Arial" w:cs="Arial" w:eastAsia="Arial" w:hAnsi="Arial"/>
          <w:sz w:val="15"/>
          <w:szCs w:val="15"/>
          <w:b w:val="1"/>
          <w:bCs w:val="1"/>
          <w:color w:val="auto"/>
        </w:rPr>
        <w:t>cost of risk</w:t>
      </w:r>
      <w:r>
        <w:rPr>
          <w:rFonts w:ascii="Arial" w:cs="Arial" w:eastAsia="Arial" w:hAnsi="Arial"/>
          <w:sz w:val="15"/>
          <w:szCs w:val="15"/>
          <w:color w:val="auto"/>
        </w:rPr>
        <w:t xml:space="preserve"> fell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0.99% at the end of September, which represented a contraction of -409 bps. If we exclude the effect of government loans, the </w:t>
      </w:r>
      <w:r>
        <w:rPr>
          <w:rFonts w:ascii="Arial" w:cs="Arial" w:eastAsia="Arial" w:hAnsi="Arial"/>
          <w:sz w:val="15"/>
          <w:szCs w:val="15"/>
          <w:b w:val="1"/>
          <w:bCs w:val="1"/>
          <w:color w:val="auto"/>
        </w:rPr>
        <w:t>structural cost of risk</w:t>
      </w:r>
      <w:r>
        <w:rPr>
          <w:rFonts w:ascii="Arial" w:cs="Arial" w:eastAsia="Arial" w:hAnsi="Arial"/>
          <w:sz w:val="15"/>
          <w:szCs w:val="15"/>
          <w:color w:val="auto"/>
        </w:rPr>
        <w:t xml:space="preserve"> stands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1.15%.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Delinquency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In terms of portfolio delinquency, it is important to divide the analysis to contemplate the evolution of the Structural Portfolio and the Government Portfolio:</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Structural Loan Portfolio:</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60"/>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Structural Portfolio quality and Delinquency ratios </w:t>
            </w:r>
            <w:r>
              <w:rPr>
                <w:rFonts w:ascii="Arial" w:cs="Arial" w:eastAsia="Arial" w:hAnsi="Arial"/>
                <w:sz w:val="29"/>
                <w:szCs w:val="29"/>
                <w:b w:val="1"/>
                <w:bCs w:val="1"/>
                <w:color w:val="auto"/>
                <w:vertAlign w:val="superscript"/>
              </w:rPr>
              <w:t>(1)</w:t>
            </w: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8"/>
                <w:szCs w:val="18"/>
                <w:b w:val="1"/>
                <w:bCs w:val="1"/>
                <w:color w:val="auto"/>
              </w:rPr>
              <w:t>As of</w:t>
            </w:r>
          </w:p>
        </w:tc>
        <w:tc>
          <w:tcPr>
            <w:tcW w:w="10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90"/>
              </w:rPr>
              <w:t>% change</w:t>
            </w:r>
          </w:p>
        </w:tc>
        <w:tc>
          <w:tcPr>
            <w:tcW w:w="7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S/ 000</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Sep 20</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Jun 21</w:t>
            </w:r>
          </w:p>
        </w:tc>
        <w:tc>
          <w:tcPr>
            <w:tcW w:w="1000" w:type="dxa"/>
            <w:vAlign w:val="bottom"/>
          </w:tcPr>
          <w:p>
            <w:pPr>
              <w:jc w:val="right"/>
              <w:ind w:right="172"/>
              <w:spacing w:after="0"/>
              <w:rPr>
                <w:sz w:val="20"/>
                <w:szCs w:val="20"/>
                <w:color w:val="auto"/>
              </w:rPr>
            </w:pPr>
            <w:r>
              <w:rPr>
                <w:rFonts w:ascii="Arial" w:cs="Arial" w:eastAsia="Arial" w:hAnsi="Arial"/>
                <w:sz w:val="18"/>
                <w:szCs w:val="18"/>
                <w:b w:val="1"/>
                <w:bCs w:val="1"/>
                <w:color w:val="auto"/>
              </w:rPr>
              <w:t>Sep 21</w:t>
            </w:r>
          </w:p>
        </w:tc>
        <w:tc>
          <w:tcPr>
            <w:tcW w:w="280" w:type="dxa"/>
            <w:vAlign w:val="bottom"/>
          </w:tcPr>
          <w:p>
            <w:pPr>
              <w:spacing w:after="0"/>
              <w:rPr>
                <w:sz w:val="18"/>
                <w:szCs w:val="18"/>
                <w:color w:val="auto"/>
              </w:rPr>
            </w:pPr>
          </w:p>
        </w:tc>
        <w:tc>
          <w:tcPr>
            <w:tcW w:w="154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720" w:type="dxa"/>
            <w:vAlign w:val="bottom"/>
          </w:tcPr>
          <w:p>
            <w:pPr>
              <w:jc w:val="right"/>
              <w:ind w:right="252"/>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8"/>
                <w:szCs w:val="18"/>
                <w:color w:val="auto"/>
              </w:rPr>
            </w:pPr>
          </w:p>
        </w:tc>
      </w:tr>
      <w:tr>
        <w:trPr>
          <w:trHeight w:val="216"/>
        </w:trPr>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Structural Total loans (Quarter-end balance)</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111,873,729</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120,095,401</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125,528,623</w:t>
            </w: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300" w:type="dxa"/>
            <w:vAlign w:val="bottom"/>
            <w:tcBorders>
              <w:top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Structural Allowance for loan losses</w:t>
            </w:r>
          </w:p>
        </w:tc>
        <w:tc>
          <w:tcPr>
            <w:tcW w:w="1000" w:type="dxa"/>
            <w:vAlign w:val="bottom"/>
          </w:tcPr>
          <w:p>
            <w:pPr>
              <w:jc w:val="right"/>
              <w:spacing w:after="0"/>
              <w:rPr>
                <w:sz w:val="20"/>
                <w:szCs w:val="20"/>
                <w:color w:val="auto"/>
              </w:rPr>
            </w:pPr>
            <w:r>
              <w:rPr>
                <w:rFonts w:ascii="Arial" w:cs="Arial" w:eastAsia="Arial" w:hAnsi="Arial"/>
                <w:sz w:val="18"/>
                <w:szCs w:val="18"/>
                <w:color w:val="auto"/>
              </w:rPr>
              <w:t>9,507,815</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9,245,140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8,934,930</w:t>
            </w:r>
          </w:p>
        </w:tc>
        <w:tc>
          <w:tcPr>
            <w:tcW w:w="280" w:type="dxa"/>
            <w:vAlign w:val="bottom"/>
          </w:tcPr>
          <w:p>
            <w:pPr>
              <w:spacing w:after="0"/>
              <w:rPr>
                <w:sz w:val="19"/>
                <w:szCs w:val="19"/>
                <w:color w:val="auto"/>
              </w:rPr>
            </w:pP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Structural Write-offs</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20,249</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742,211</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670,273</w:t>
            </w:r>
          </w:p>
        </w:tc>
        <w:tc>
          <w:tcPr>
            <w:tcW w:w="1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3210.2%</w:t>
            </w:r>
          </w:p>
        </w:tc>
      </w:tr>
      <w:tr>
        <w:trPr>
          <w:trHeight w:val="210"/>
        </w:trPr>
        <w:tc>
          <w:tcPr>
            <w:tcW w:w="4940" w:type="dxa"/>
            <w:vAlign w:val="bottom"/>
            <w:gridSpan w:val="2"/>
          </w:tcPr>
          <w:p>
            <w:pPr>
              <w:spacing w:after="0"/>
              <w:rPr>
                <w:sz w:val="20"/>
                <w:szCs w:val="20"/>
                <w:color w:val="auto"/>
              </w:rPr>
            </w:pPr>
            <w:r>
              <w:rPr>
                <w:rFonts w:ascii="Arial" w:cs="Arial" w:eastAsia="Arial" w:hAnsi="Arial"/>
                <w:sz w:val="18"/>
                <w:szCs w:val="18"/>
                <w:color w:val="auto"/>
              </w:rPr>
              <w:t>Structural IOLs</w:t>
            </w:r>
          </w:p>
        </w:tc>
        <w:tc>
          <w:tcPr>
            <w:tcW w:w="1000" w:type="dxa"/>
            <w:vAlign w:val="bottom"/>
          </w:tcPr>
          <w:p>
            <w:pPr>
              <w:jc w:val="right"/>
              <w:spacing w:after="0"/>
              <w:rPr>
                <w:sz w:val="20"/>
                <w:szCs w:val="20"/>
                <w:color w:val="auto"/>
              </w:rPr>
            </w:pPr>
            <w:r>
              <w:rPr>
                <w:rFonts w:ascii="Arial" w:cs="Arial" w:eastAsia="Arial" w:hAnsi="Arial"/>
                <w:sz w:val="18"/>
                <w:szCs w:val="18"/>
                <w:color w:val="auto"/>
              </w:rPr>
              <w:t>4,142,844</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4,913,569</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4,776,182</w:t>
            </w:r>
          </w:p>
        </w:tc>
        <w:tc>
          <w:tcPr>
            <w:tcW w:w="280" w:type="dxa"/>
            <w:vAlign w:val="bottom"/>
          </w:tcPr>
          <w:p>
            <w:pPr>
              <w:spacing w:after="0"/>
              <w:rPr>
                <w:sz w:val="18"/>
                <w:szCs w:val="18"/>
                <w:color w:val="auto"/>
              </w:rPr>
            </w:pP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15.3%</w:t>
            </w:r>
          </w:p>
        </w:tc>
      </w:tr>
      <w:tr>
        <w:trPr>
          <w:trHeight w:val="210"/>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Structural Refinanced loans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1,539,484</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1,800,076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1,798,965</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Structural NPLs</w:t>
            </w:r>
          </w:p>
        </w:tc>
        <w:tc>
          <w:tcPr>
            <w:tcW w:w="1000" w:type="dxa"/>
            <w:vAlign w:val="bottom"/>
          </w:tcPr>
          <w:p>
            <w:pPr>
              <w:jc w:val="right"/>
              <w:spacing w:after="0"/>
              <w:rPr>
                <w:sz w:val="20"/>
                <w:szCs w:val="20"/>
                <w:color w:val="auto"/>
              </w:rPr>
            </w:pPr>
            <w:r>
              <w:rPr>
                <w:rFonts w:ascii="Arial" w:cs="Arial" w:eastAsia="Arial" w:hAnsi="Arial"/>
                <w:sz w:val="18"/>
                <w:szCs w:val="18"/>
                <w:color w:val="auto"/>
              </w:rPr>
              <w:t>5,682,328</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6,713,645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6,575,146</w:t>
            </w:r>
          </w:p>
        </w:tc>
        <w:tc>
          <w:tcPr>
            <w:tcW w:w="280" w:type="dxa"/>
            <w:vAlign w:val="bottom"/>
          </w:tcPr>
          <w:p>
            <w:pPr>
              <w:spacing w:after="0"/>
              <w:rPr>
                <w:sz w:val="19"/>
                <w:szCs w:val="19"/>
                <w:color w:val="auto"/>
              </w:rPr>
            </w:pP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15.7%</w:t>
            </w:r>
          </w:p>
        </w:tc>
      </w:tr>
      <w:tr>
        <w:trPr>
          <w:trHeight w:val="211"/>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Structural IOL ratio</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3.70%</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3.80%</w:t>
            </w:r>
          </w:p>
        </w:tc>
        <w:tc>
          <w:tcPr>
            <w:tcW w:w="15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-29 bps</w:t>
            </w:r>
          </w:p>
        </w:tc>
        <w:tc>
          <w:tcPr>
            <w:tcW w:w="9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10 bps</w:t>
            </w:r>
          </w:p>
        </w:tc>
      </w:tr>
      <w:tr>
        <w:trPr>
          <w:trHeight w:val="249"/>
        </w:trPr>
        <w:tc>
          <w:tcPr>
            <w:tcW w:w="4940" w:type="dxa"/>
            <w:vAlign w:val="bottom"/>
            <w:gridSpan w:val="2"/>
          </w:tcPr>
          <w:p>
            <w:pPr>
              <w:spacing w:after="0" w:line="249" w:lineRule="exact"/>
              <w:rPr>
                <w:sz w:val="20"/>
                <w:szCs w:val="20"/>
                <w:color w:val="auto"/>
              </w:rPr>
            </w:pPr>
            <w:r>
              <w:rPr>
                <w:rFonts w:ascii="Arial" w:cs="Arial" w:eastAsia="Arial" w:hAnsi="Arial"/>
                <w:sz w:val="17"/>
                <w:szCs w:val="17"/>
                <w:b w:val="1"/>
                <w:bCs w:val="1"/>
                <w:color w:val="auto"/>
              </w:rPr>
              <w:t xml:space="preserve">Structural NPL ratio </w:t>
            </w:r>
            <w:r>
              <w:rPr>
                <w:rFonts w:ascii="Arial" w:cs="Arial" w:eastAsia="Arial" w:hAnsi="Arial"/>
                <w:sz w:val="28"/>
                <w:szCs w:val="28"/>
                <w:b w:val="1"/>
                <w:bCs w:val="1"/>
                <w:color w:val="auto"/>
                <w:vertAlign w:val="superscript"/>
              </w:rPr>
              <w:t>(2)</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5.08%</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5.59%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5.24%</w:t>
            </w:r>
          </w:p>
        </w:tc>
        <w:tc>
          <w:tcPr>
            <w:tcW w:w="1540" w:type="dxa"/>
            <w:vAlign w:val="bottom"/>
            <w:gridSpan w:val="3"/>
          </w:tcPr>
          <w:p>
            <w:pPr>
              <w:jc w:val="right"/>
              <w:ind w:right="560"/>
              <w:spacing w:after="0"/>
              <w:rPr>
                <w:sz w:val="20"/>
                <w:szCs w:val="20"/>
                <w:color w:val="auto"/>
              </w:rPr>
            </w:pPr>
            <w:r>
              <w:rPr>
                <w:rFonts w:ascii="Arial" w:cs="Arial" w:eastAsia="Arial" w:hAnsi="Arial"/>
                <w:sz w:val="18"/>
                <w:szCs w:val="18"/>
                <w:color w:val="auto"/>
              </w:rPr>
              <w:t>-35 bps</w:t>
            </w:r>
          </w:p>
        </w:tc>
        <w:tc>
          <w:tcPr>
            <w:tcW w:w="900" w:type="dxa"/>
            <w:vAlign w:val="bottom"/>
            <w:gridSpan w:val="2"/>
          </w:tcPr>
          <w:p>
            <w:pPr>
              <w:jc w:val="right"/>
              <w:ind w:right="92"/>
              <w:spacing w:after="0"/>
              <w:rPr>
                <w:sz w:val="20"/>
                <w:szCs w:val="20"/>
                <w:color w:val="auto"/>
              </w:rPr>
            </w:pPr>
            <w:r>
              <w:rPr>
                <w:rFonts w:ascii="Arial" w:cs="Arial" w:eastAsia="Arial" w:hAnsi="Arial"/>
                <w:sz w:val="18"/>
                <w:szCs w:val="18"/>
                <w:color w:val="auto"/>
              </w:rPr>
              <w:t>16 bps</w:t>
            </w:r>
          </w:p>
        </w:tc>
      </w:tr>
      <w:tr>
        <w:trPr>
          <w:trHeight w:val="210"/>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0"/>
              </w:rPr>
              <w:t>Structural Allowance for loan losses over Structural Total loans</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8.5%</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7.1%</w:t>
            </w:r>
          </w:p>
        </w:tc>
        <w:tc>
          <w:tcPr>
            <w:tcW w:w="15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-58 bps</w:t>
            </w:r>
          </w:p>
        </w:tc>
        <w:tc>
          <w:tcPr>
            <w:tcW w:w="9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9"/>
              </w:rPr>
              <w:t>-138 bps</w:t>
            </w: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Structural Coverage ratio of NPLs</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167.3%</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137.7%</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135.9%</w:t>
            </w:r>
          </w:p>
        </w:tc>
        <w:tc>
          <w:tcPr>
            <w:tcW w:w="1540" w:type="dxa"/>
            <w:vAlign w:val="bottom"/>
            <w:gridSpan w:val="3"/>
          </w:tcPr>
          <w:p>
            <w:pPr>
              <w:jc w:val="right"/>
              <w:ind w:right="560"/>
              <w:spacing w:after="0"/>
              <w:rPr>
                <w:sz w:val="20"/>
                <w:szCs w:val="20"/>
                <w:color w:val="auto"/>
              </w:rPr>
            </w:pPr>
            <w:r>
              <w:rPr>
                <w:rFonts w:ascii="Arial" w:cs="Arial" w:eastAsia="Arial" w:hAnsi="Arial"/>
                <w:sz w:val="18"/>
                <w:szCs w:val="18"/>
                <w:color w:val="auto"/>
              </w:rPr>
              <w:t>-182 bps</w:t>
            </w:r>
          </w:p>
        </w:tc>
        <w:tc>
          <w:tcPr>
            <w:tcW w:w="900" w:type="dxa"/>
            <w:vAlign w:val="bottom"/>
            <w:gridSpan w:val="2"/>
          </w:tcPr>
          <w:p>
            <w:pPr>
              <w:jc w:val="right"/>
              <w:ind w:right="92"/>
              <w:spacing w:after="0"/>
              <w:rPr>
                <w:sz w:val="20"/>
                <w:szCs w:val="20"/>
                <w:color w:val="auto"/>
              </w:rPr>
            </w:pPr>
            <w:r>
              <w:rPr>
                <w:rFonts w:ascii="Arial" w:cs="Arial" w:eastAsia="Arial" w:hAnsi="Arial"/>
                <w:sz w:val="18"/>
                <w:szCs w:val="18"/>
                <w:color w:val="auto"/>
                <w:w w:val="87"/>
              </w:rPr>
              <w:t>-3143 bps</w:t>
            </w:r>
          </w:p>
        </w:tc>
      </w:tr>
    </w:tbl>
    <w:p>
      <w:pPr>
        <w:spacing w:after="0" w:line="198" w:lineRule="exact"/>
        <w:rPr>
          <w:sz w:val="20"/>
          <w:szCs w:val="20"/>
          <w:color w:val="auto"/>
        </w:rPr>
      </w:pPr>
    </w:p>
    <w:p>
      <w:pPr>
        <w:ind w:left="260" w:hanging="255"/>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Structural Portfolio excludes Government Programs (GP) effects.</w:t>
      </w:r>
    </w:p>
    <w:p>
      <w:pPr>
        <w:spacing w:after="0" w:line="14" w:lineRule="exact"/>
        <w:rPr>
          <w:rFonts w:ascii="Arial" w:cs="Arial" w:eastAsia="Arial" w:hAnsi="Arial"/>
          <w:sz w:val="18"/>
          <w:szCs w:val="18"/>
          <w:color w:val="auto"/>
        </w:rPr>
      </w:pPr>
    </w:p>
    <w:p>
      <w:pPr>
        <w:ind w:firstLine="5"/>
        <w:spacing w:after="0" w:line="247" w:lineRule="auto"/>
        <w:tabs>
          <w:tab w:leader="none" w:pos="258"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Figures differ from previously reported, due to the methodological change in the calculation, which includes the overdue portfolio instead of the Portfolio Management figures.</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1" w:name="page32"/>
    <w:bookmarkEnd w:id="31"/>
    <w:p>
      <w:pPr>
        <w:ind w:left="640"/>
        <w:spacing w:after="0"/>
        <w:rPr>
          <w:sz w:val="20"/>
          <w:szCs w:val="20"/>
          <w:color w:val="auto"/>
        </w:rPr>
      </w:pPr>
      <w:r>
        <w:rPr>
          <w:rFonts w:ascii="Arial" w:cs="Arial" w:eastAsia="Arial" w:hAnsi="Arial"/>
          <w:sz w:val="18"/>
          <w:szCs w:val="18"/>
          <w:color w:val="auto"/>
        </w:rPr>
        <w:t>In the QoQ analysis:</w:t>
      </w:r>
    </w:p>
    <w:p>
      <w:pPr>
        <w:spacing w:after="0" w:line="207" w:lineRule="exact"/>
        <w:rPr>
          <w:sz w:val="20"/>
          <w:szCs w:val="20"/>
          <w:color w:val="auto"/>
        </w:rPr>
      </w:pPr>
    </w:p>
    <w:p>
      <w:pPr>
        <w:ind w:left="1260" w:hanging="625"/>
        <w:spacing w:after="0" w:line="267"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IOL portfolio: </w:t>
      </w:r>
      <w:r>
        <w:rPr>
          <w:rFonts w:ascii="Arial" w:cs="Arial" w:eastAsia="Arial" w:hAnsi="Arial"/>
          <w:sz w:val="18"/>
          <w:szCs w:val="18"/>
          <w:color w:val="auto"/>
        </w:rPr>
        <w:t>a drop of -2.8% in IOL loans, primarily in Mibanco and Individuals at BCP Stand-alone, which posted an improvement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behavior.</w:t>
      </w:r>
    </w:p>
    <w:p>
      <w:pPr>
        <w:spacing w:after="0" w:line="169" w:lineRule="exact"/>
        <w:rPr>
          <w:rFonts w:ascii="Arial" w:cs="Arial" w:eastAsia="Arial" w:hAnsi="Arial"/>
          <w:sz w:val="18"/>
          <w:szCs w:val="18"/>
          <w:color w:val="auto"/>
        </w:rPr>
      </w:pPr>
    </w:p>
    <w:p>
      <w:pPr>
        <w:ind w:left="1260" w:hanging="625"/>
        <w:spacing w:after="0" w:line="267"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Refinanced portfolio</w:t>
      </w:r>
      <w:r>
        <w:rPr>
          <w:rFonts w:ascii="Arial" w:cs="Arial" w:eastAsia="Arial" w:hAnsi="Arial"/>
          <w:sz w:val="18"/>
          <w:szCs w:val="18"/>
          <w:color w:val="auto"/>
        </w:rPr>
        <w:t>: the slight reduction of -0.1% was attributable to a decrease in the volume of refinanced loans in Individuals and</w:t>
      </w:r>
      <w:r>
        <w:rPr>
          <w:rFonts w:ascii="Arial" w:cs="Arial" w:eastAsia="Arial" w:hAnsi="Arial"/>
          <w:sz w:val="18"/>
          <w:szCs w:val="18"/>
          <w:b w:val="1"/>
          <w:bCs w:val="1"/>
          <w:color w:val="auto"/>
        </w:rPr>
        <w:t xml:space="preserve"> </w:t>
      </w:r>
      <w:r>
        <w:rPr>
          <w:rFonts w:ascii="Arial" w:cs="Arial" w:eastAsia="Arial" w:hAnsi="Arial"/>
          <w:sz w:val="18"/>
          <w:szCs w:val="18"/>
          <w:color w:val="auto"/>
        </w:rPr>
        <w:t>Wholesale Banking at BCP Stand-alone and at Mibanco.</w:t>
      </w:r>
    </w:p>
    <w:p>
      <w:pPr>
        <w:spacing w:after="0" w:line="169" w:lineRule="exact"/>
        <w:rPr>
          <w:rFonts w:ascii="Arial" w:cs="Arial" w:eastAsia="Arial" w:hAnsi="Arial"/>
          <w:sz w:val="18"/>
          <w:szCs w:val="18"/>
          <w:color w:val="auto"/>
        </w:rPr>
      </w:pPr>
    </w:p>
    <w:p>
      <w:pPr>
        <w:ind w:left="1260" w:hanging="625"/>
        <w:spacing w:after="0" w:line="267"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Write-offs</w:t>
      </w:r>
      <w:r>
        <w:rPr>
          <w:rFonts w:ascii="Arial" w:cs="Arial" w:eastAsia="Arial" w:hAnsi="Arial"/>
          <w:sz w:val="18"/>
          <w:szCs w:val="18"/>
          <w:color w:val="auto"/>
        </w:rPr>
        <w:t>: the drop of -9.7% was associated with BCP Stand-alone, after a significant rebound was registered in the levels of write-offs in</w:t>
      </w:r>
      <w:r>
        <w:rPr>
          <w:rFonts w:ascii="Arial" w:cs="Arial" w:eastAsia="Arial" w:hAnsi="Arial"/>
          <w:sz w:val="18"/>
          <w:szCs w:val="18"/>
          <w:b w:val="1"/>
          <w:bCs w:val="1"/>
          <w:color w:val="auto"/>
        </w:rPr>
        <w:t xml:space="preserve"> </w:t>
      </w:r>
      <w:r>
        <w:rPr>
          <w:rFonts w:ascii="Arial" w:cs="Arial" w:eastAsia="Arial" w:hAnsi="Arial"/>
          <w:sz w:val="18"/>
          <w:szCs w:val="18"/>
          <w:color w:val="auto"/>
        </w:rPr>
        <w:t>2Q21. This was partially attenuated by growth in charge-offs at Mibanco.</w:t>
      </w:r>
    </w:p>
    <w:p>
      <w:pPr>
        <w:spacing w:after="0" w:line="169" w:lineRule="exact"/>
        <w:rPr>
          <w:rFonts w:ascii="Arial" w:cs="Arial" w:eastAsia="Arial" w:hAnsi="Arial"/>
          <w:sz w:val="18"/>
          <w:szCs w:val="18"/>
          <w:color w:val="auto"/>
        </w:rPr>
      </w:pPr>
    </w:p>
    <w:p>
      <w:pPr>
        <w:ind w:left="1260" w:hanging="625"/>
        <w:spacing w:after="0" w:line="267"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NPL ratio</w:t>
      </w:r>
      <w:r>
        <w:rPr>
          <w:rFonts w:ascii="Arial" w:cs="Arial" w:eastAsia="Arial" w:hAnsi="Arial"/>
          <w:sz w:val="18"/>
          <w:szCs w:val="18"/>
          <w:color w:val="auto"/>
        </w:rPr>
        <w:t>: in the aforementioned context, the NPL ratio fell -35 bps, which was primarily attributable to a -2.1% reduction in NPL loans and</w:t>
      </w:r>
      <w:r>
        <w:rPr>
          <w:rFonts w:ascii="Arial" w:cs="Arial" w:eastAsia="Arial" w:hAnsi="Arial"/>
          <w:sz w:val="18"/>
          <w:szCs w:val="18"/>
          <w:b w:val="1"/>
          <w:bCs w:val="1"/>
          <w:color w:val="auto"/>
        </w:rPr>
        <w:t xml:space="preserve"> </w:t>
      </w:r>
      <w:r>
        <w:rPr>
          <w:rFonts w:ascii="Arial" w:cs="Arial" w:eastAsia="Arial" w:hAnsi="Arial"/>
          <w:sz w:val="18"/>
          <w:szCs w:val="18"/>
          <w:color w:val="auto"/>
        </w:rPr>
        <w:t>an increase of +4.5% in total loans.</w:t>
      </w:r>
    </w:p>
    <w:p>
      <w:pPr>
        <w:spacing w:after="0" w:line="169" w:lineRule="exact"/>
        <w:rPr>
          <w:rFonts w:ascii="Arial" w:cs="Arial" w:eastAsia="Arial" w:hAnsi="Arial"/>
          <w:sz w:val="18"/>
          <w:szCs w:val="18"/>
          <w:color w:val="auto"/>
        </w:rPr>
      </w:pPr>
    </w:p>
    <w:p>
      <w:pPr>
        <w:ind w:left="1260" w:hanging="625"/>
        <w:spacing w:after="0" w:line="267"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Coverage ratio of NPLs</w:t>
      </w:r>
      <w:r>
        <w:rPr>
          <w:rFonts w:ascii="Arial" w:cs="Arial" w:eastAsia="Arial" w:hAnsi="Arial"/>
          <w:sz w:val="18"/>
          <w:szCs w:val="18"/>
          <w:color w:val="auto"/>
        </w:rPr>
        <w:t>: the ratio fell -182 bps this quarter, which was attributable to the fact that the reduction in the allowance for loan</w:t>
      </w:r>
      <w:r>
        <w:rPr>
          <w:rFonts w:ascii="Arial" w:cs="Arial" w:eastAsia="Arial" w:hAnsi="Arial"/>
          <w:sz w:val="18"/>
          <w:szCs w:val="18"/>
          <w:b w:val="1"/>
          <w:bCs w:val="1"/>
          <w:color w:val="auto"/>
        </w:rPr>
        <w:t xml:space="preserve"> </w:t>
      </w:r>
      <w:r>
        <w:rPr>
          <w:rFonts w:ascii="Arial" w:cs="Arial" w:eastAsia="Arial" w:hAnsi="Arial"/>
          <w:sz w:val="18"/>
          <w:szCs w:val="18"/>
          <w:color w:val="auto"/>
        </w:rPr>
        <w:t>losses was greater than the decrease posted for NPL loans.</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YoY analysis:</w:t>
      </w:r>
    </w:p>
    <w:p>
      <w:pPr>
        <w:spacing w:after="0" w:line="207" w:lineRule="exact"/>
        <w:rPr>
          <w:sz w:val="20"/>
          <w:szCs w:val="20"/>
          <w:color w:val="auto"/>
        </w:rPr>
      </w:pPr>
    </w:p>
    <w:p>
      <w:pPr>
        <w:jc w:val="both"/>
        <w:ind w:left="1260" w:hanging="625"/>
        <w:spacing w:after="0" w:line="249"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IOL portfolio</w:t>
      </w:r>
      <w:r>
        <w:rPr>
          <w:rFonts w:ascii="Arial" w:cs="Arial" w:eastAsia="Arial" w:hAnsi="Arial"/>
          <w:sz w:val="18"/>
          <w:szCs w:val="18"/>
          <w:color w:val="auto"/>
        </w:rPr>
        <w:t>: the +15.3% increase was driven by the fact that in 3Q20, the vast majority of loans were within grace period. Growth in IOLs</w:t>
      </w:r>
      <w:r>
        <w:rPr>
          <w:rFonts w:ascii="Arial" w:cs="Arial" w:eastAsia="Arial" w:hAnsi="Arial"/>
          <w:sz w:val="18"/>
          <w:szCs w:val="18"/>
          <w:b w:val="1"/>
          <w:bCs w:val="1"/>
          <w:color w:val="auto"/>
        </w:rPr>
        <w:t xml:space="preserve"> </w:t>
      </w:r>
      <w:r>
        <w:rPr>
          <w:rFonts w:ascii="Arial" w:cs="Arial" w:eastAsia="Arial" w:hAnsi="Arial"/>
          <w:sz w:val="18"/>
          <w:szCs w:val="18"/>
          <w:color w:val="auto"/>
        </w:rPr>
        <w:t>was registered primarily by (i) SMEs, due to the expiration of grace periods of clients with loan facilities granted during the pandemic, (ii) Wholesale Banking, after specific clients in the transportation and energy sector reported deterioration, and (iii) Mibanco, which was affected by a dip in transactional activity in the microbusiness segment due to the economic closure and the maturity of reprogrammed loans during the pandemic.</w:t>
      </w:r>
    </w:p>
    <w:p>
      <w:pPr>
        <w:spacing w:after="0" w:line="186" w:lineRule="exact"/>
        <w:rPr>
          <w:rFonts w:ascii="Arial" w:cs="Arial" w:eastAsia="Arial" w:hAnsi="Arial"/>
          <w:sz w:val="18"/>
          <w:szCs w:val="18"/>
          <w:color w:val="auto"/>
        </w:rPr>
      </w:pPr>
    </w:p>
    <w:p>
      <w:pPr>
        <w:ind w:left="1260" w:hanging="625"/>
        <w:spacing w:after="0" w:line="267"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Refinanced portfolio</w:t>
      </w:r>
      <w:r>
        <w:rPr>
          <w:rFonts w:ascii="Arial" w:cs="Arial" w:eastAsia="Arial" w:hAnsi="Arial"/>
          <w:sz w:val="18"/>
          <w:szCs w:val="18"/>
          <w:color w:val="auto"/>
        </w:rPr>
        <w:t>: the increase of +16.9% was attributable to an uptick in reprogramming in Retail Banking at BCP Stand-alone as</w:t>
      </w:r>
      <w:r>
        <w:rPr>
          <w:rFonts w:ascii="Arial" w:cs="Arial" w:eastAsia="Arial" w:hAnsi="Arial"/>
          <w:sz w:val="18"/>
          <w:szCs w:val="18"/>
          <w:b w:val="1"/>
          <w:bCs w:val="1"/>
          <w:color w:val="auto"/>
        </w:rPr>
        <w:t xml:space="preserve"> </w:t>
      </w:r>
      <w:r>
        <w:rPr>
          <w:rFonts w:ascii="Arial" w:cs="Arial" w:eastAsia="Arial" w:hAnsi="Arial"/>
          <w:sz w:val="18"/>
          <w:szCs w:val="18"/>
          <w:color w:val="auto"/>
        </w:rPr>
        <w:t>clients continued to struggle under the weight of the pandemic.</w:t>
      </w:r>
    </w:p>
    <w:p>
      <w:pPr>
        <w:spacing w:after="0" w:line="169" w:lineRule="exact"/>
        <w:rPr>
          <w:rFonts w:ascii="Arial" w:cs="Arial" w:eastAsia="Arial" w:hAnsi="Arial"/>
          <w:sz w:val="18"/>
          <w:szCs w:val="18"/>
          <w:color w:val="auto"/>
        </w:rPr>
      </w:pPr>
    </w:p>
    <w:p>
      <w:pPr>
        <w:ind w:left="1260" w:hanging="625"/>
        <w:spacing w:after="0" w:line="267"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Write-offs</w:t>
      </w:r>
      <w:r>
        <w:rPr>
          <w:rFonts w:ascii="Arial" w:cs="Arial" w:eastAsia="Arial" w:hAnsi="Arial"/>
          <w:sz w:val="18"/>
          <w:szCs w:val="18"/>
          <w:color w:val="auto"/>
        </w:rPr>
        <w:t>: growth was reported in all banking subsidiaries, led by Mibanco and BCP Stand-alone, given that write-offs were temporally</w:t>
      </w:r>
      <w:r>
        <w:rPr>
          <w:rFonts w:ascii="Arial" w:cs="Arial" w:eastAsia="Arial" w:hAnsi="Arial"/>
          <w:sz w:val="18"/>
          <w:szCs w:val="18"/>
          <w:b w:val="1"/>
          <w:bCs w:val="1"/>
          <w:color w:val="auto"/>
        </w:rPr>
        <w:t xml:space="preserve"> </w:t>
      </w:r>
      <w:r>
        <w:rPr>
          <w:rFonts w:ascii="Arial" w:cs="Arial" w:eastAsia="Arial" w:hAnsi="Arial"/>
          <w:sz w:val="18"/>
          <w:szCs w:val="18"/>
          <w:color w:val="auto"/>
        </w:rPr>
        <w:t>suspended in 3Q20.</w:t>
      </w:r>
    </w:p>
    <w:p>
      <w:pPr>
        <w:spacing w:after="0" w:line="169" w:lineRule="exact"/>
        <w:rPr>
          <w:rFonts w:ascii="Arial" w:cs="Arial" w:eastAsia="Arial" w:hAnsi="Arial"/>
          <w:sz w:val="18"/>
          <w:szCs w:val="18"/>
          <w:color w:val="auto"/>
        </w:rPr>
      </w:pPr>
    </w:p>
    <w:p>
      <w:pPr>
        <w:ind w:left="1260" w:hanging="625"/>
        <w:spacing w:after="0" w:line="267"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NPL Ratio</w:t>
      </w:r>
      <w:r>
        <w:rPr>
          <w:rFonts w:ascii="Arial" w:cs="Arial" w:eastAsia="Arial" w:hAnsi="Arial"/>
          <w:sz w:val="18"/>
          <w:szCs w:val="18"/>
          <w:color w:val="auto"/>
        </w:rPr>
        <w:t>: in the aforementioned context, growth of +16 bps in this ratio was attributable to grace period expirations, which was</w:t>
      </w:r>
      <w:r>
        <w:rPr>
          <w:rFonts w:ascii="Arial" w:cs="Arial" w:eastAsia="Arial" w:hAnsi="Arial"/>
          <w:sz w:val="18"/>
          <w:szCs w:val="18"/>
          <w:b w:val="1"/>
          <w:bCs w:val="1"/>
          <w:color w:val="auto"/>
        </w:rPr>
        <w:t xml:space="preserve"> </w:t>
      </w:r>
      <w:r>
        <w:rPr>
          <w:rFonts w:ascii="Arial" w:cs="Arial" w:eastAsia="Arial" w:hAnsi="Arial"/>
          <w:sz w:val="18"/>
          <w:szCs w:val="18"/>
          <w:color w:val="auto"/>
        </w:rPr>
        <w:t>subsequently reflected in an uptick in non-payments. The aforementioned was partially offset by loan growth (+12.2%).</w:t>
      </w:r>
    </w:p>
    <w:p>
      <w:pPr>
        <w:spacing w:after="0" w:line="169" w:lineRule="exact"/>
        <w:rPr>
          <w:rFonts w:ascii="Arial" w:cs="Arial" w:eastAsia="Arial" w:hAnsi="Arial"/>
          <w:sz w:val="18"/>
          <w:szCs w:val="18"/>
          <w:color w:val="auto"/>
        </w:rPr>
      </w:pPr>
    </w:p>
    <w:p>
      <w:pPr>
        <w:ind w:left="1260" w:hanging="625"/>
        <w:spacing w:after="0" w:line="267"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Coverage of the NPL portfolio</w:t>
      </w:r>
      <w:r>
        <w:rPr>
          <w:rFonts w:ascii="Arial" w:cs="Arial" w:eastAsia="Arial" w:hAnsi="Arial"/>
          <w:sz w:val="18"/>
          <w:szCs w:val="18"/>
          <w:color w:val="auto"/>
        </w:rPr>
        <w:t>: the contraction was driven by growth in IOL loans, given that the pandemic continues to generate negative</w:t>
      </w:r>
      <w:r>
        <w:rPr>
          <w:rFonts w:ascii="Arial" w:cs="Arial" w:eastAsia="Arial" w:hAnsi="Arial"/>
          <w:sz w:val="18"/>
          <w:szCs w:val="18"/>
          <w:b w:val="1"/>
          <w:bCs w:val="1"/>
          <w:color w:val="auto"/>
        </w:rPr>
        <w:t xml:space="preserve"> </w:t>
      </w:r>
      <w:r>
        <w:rPr>
          <w:rFonts w:ascii="Arial" w:cs="Arial" w:eastAsia="Arial" w:hAnsi="Arial"/>
          <w:sz w:val="18"/>
          <w:szCs w:val="18"/>
          <w:color w:val="auto"/>
        </w:rPr>
        <w:t>impacts, and by a drop of -6.0% in allowances.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Government Loan Portfolio:</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60"/>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GP Portfolio quality and Delinquency ratios </w:t>
            </w:r>
            <w:r>
              <w:rPr>
                <w:rFonts w:ascii="Arial" w:cs="Arial" w:eastAsia="Arial" w:hAnsi="Arial"/>
                <w:sz w:val="29"/>
                <w:szCs w:val="29"/>
                <w:b w:val="1"/>
                <w:bCs w:val="1"/>
                <w:color w:val="auto"/>
                <w:vertAlign w:val="superscript"/>
              </w:rPr>
              <w:t>(1)</w:t>
            </w: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8"/>
                <w:szCs w:val="18"/>
                <w:b w:val="1"/>
                <w:bCs w:val="1"/>
                <w:color w:val="auto"/>
              </w:rPr>
              <w:t>As of</w:t>
            </w:r>
          </w:p>
        </w:tc>
        <w:tc>
          <w:tcPr>
            <w:tcW w:w="10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92"/>
              </w:rPr>
              <w:t>% change</w:t>
            </w:r>
          </w:p>
        </w:tc>
        <w:tc>
          <w:tcPr>
            <w:tcW w:w="7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S/ 000</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Sep 20</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Jun 21</w:t>
            </w:r>
          </w:p>
        </w:tc>
        <w:tc>
          <w:tcPr>
            <w:tcW w:w="1000" w:type="dxa"/>
            <w:vAlign w:val="bottom"/>
          </w:tcPr>
          <w:p>
            <w:pPr>
              <w:jc w:val="right"/>
              <w:ind w:right="172"/>
              <w:spacing w:after="0"/>
              <w:rPr>
                <w:sz w:val="20"/>
                <w:szCs w:val="20"/>
                <w:color w:val="auto"/>
              </w:rPr>
            </w:pPr>
            <w:r>
              <w:rPr>
                <w:rFonts w:ascii="Arial" w:cs="Arial" w:eastAsia="Arial" w:hAnsi="Arial"/>
                <w:sz w:val="18"/>
                <w:szCs w:val="18"/>
                <w:b w:val="1"/>
                <w:bCs w:val="1"/>
                <w:color w:val="auto"/>
              </w:rPr>
              <w:t>Sep 21</w:t>
            </w:r>
          </w:p>
        </w:tc>
        <w:tc>
          <w:tcPr>
            <w:tcW w:w="280" w:type="dxa"/>
            <w:vAlign w:val="bottom"/>
          </w:tcPr>
          <w:p>
            <w:pPr>
              <w:spacing w:after="0"/>
              <w:rPr>
                <w:sz w:val="18"/>
                <w:szCs w:val="18"/>
                <w:color w:val="auto"/>
              </w:rPr>
            </w:pPr>
          </w:p>
        </w:tc>
        <w:tc>
          <w:tcPr>
            <w:tcW w:w="156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700" w:type="dxa"/>
            <w:vAlign w:val="bottom"/>
          </w:tcPr>
          <w:p>
            <w:pPr>
              <w:jc w:val="right"/>
              <w:ind w:right="252"/>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Pr>
          <w:p>
            <w:pPr>
              <w:spacing w:after="0"/>
              <w:rPr>
                <w:sz w:val="18"/>
                <w:szCs w:val="18"/>
                <w:color w:val="auto"/>
              </w:rPr>
            </w:pPr>
          </w:p>
        </w:tc>
      </w:tr>
      <w:tr>
        <w:trPr>
          <w:trHeight w:val="216"/>
        </w:trPr>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GP Total loans (Quarter-end balance)</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24,274,982</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22,996,351</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21,022,603</w:t>
            </w: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300" w:type="dxa"/>
            <w:vAlign w:val="bottom"/>
            <w:tcBorders>
              <w:top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GP Allowance for loan losses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148,568</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146,011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142,519</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1"/>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GP IOLs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140,784</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697,503</w:t>
            </w:r>
          </w:p>
        </w:tc>
        <w:tc>
          <w:tcPr>
            <w:tcW w:w="1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395.4%</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GP NPLs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140,784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697,503</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395.4%</w:t>
            </w:r>
          </w:p>
        </w:tc>
        <w:tc>
          <w:tcPr>
            <w:tcW w:w="280" w:type="dxa"/>
            <w:vAlign w:val="bottom"/>
          </w:tcPr>
          <w:p>
            <w:pPr>
              <w:spacing w:after="0"/>
              <w:rPr>
                <w:sz w:val="19"/>
                <w:szCs w:val="19"/>
                <w:color w:val="auto"/>
              </w:rPr>
            </w:pPr>
          </w:p>
        </w:tc>
        <w:tc>
          <w:tcPr>
            <w:tcW w:w="8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r>
      <w:tr>
        <w:trPr>
          <w:trHeight w:val="211"/>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GP IOL ratio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0.61%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3.32%</w:t>
            </w:r>
          </w:p>
        </w:tc>
        <w:tc>
          <w:tcPr>
            <w:tcW w:w="15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271 bps</w:t>
            </w:r>
          </w:p>
        </w:tc>
        <w:tc>
          <w:tcPr>
            <w:tcW w:w="8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10"/>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GP NPL ratio</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0.61%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3.32%</w:t>
            </w:r>
          </w:p>
        </w:tc>
        <w:tc>
          <w:tcPr>
            <w:tcW w:w="1560" w:type="dxa"/>
            <w:vAlign w:val="bottom"/>
            <w:gridSpan w:val="3"/>
          </w:tcPr>
          <w:p>
            <w:pPr>
              <w:jc w:val="right"/>
              <w:ind w:right="580"/>
              <w:spacing w:after="0"/>
              <w:rPr>
                <w:sz w:val="20"/>
                <w:szCs w:val="20"/>
                <w:color w:val="auto"/>
              </w:rPr>
            </w:pPr>
            <w:r>
              <w:rPr>
                <w:rFonts w:ascii="Arial" w:cs="Arial" w:eastAsia="Arial" w:hAnsi="Arial"/>
                <w:sz w:val="18"/>
                <w:szCs w:val="18"/>
                <w:color w:val="auto"/>
              </w:rPr>
              <w:t>271 bps</w:t>
            </w:r>
          </w:p>
        </w:tc>
        <w:tc>
          <w:tcPr>
            <w:tcW w:w="8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r>
      <w:tr>
        <w:trPr>
          <w:trHeight w:val="210"/>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GP Allowance for loan losses over GP Total loans</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0.6%</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0.7%</w:t>
            </w:r>
          </w:p>
        </w:tc>
        <w:tc>
          <w:tcPr>
            <w:tcW w:w="15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 bps</w:t>
            </w:r>
          </w:p>
        </w:tc>
        <w:tc>
          <w:tcPr>
            <w:tcW w:w="8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7 bps</w:t>
            </w: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GP Coverage ratio of NPLs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103.7%</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20.4%</w:t>
            </w:r>
          </w:p>
        </w:tc>
        <w:tc>
          <w:tcPr>
            <w:tcW w:w="1560" w:type="dxa"/>
            <w:vAlign w:val="bottom"/>
            <w:gridSpan w:val="3"/>
          </w:tcPr>
          <w:p>
            <w:pPr>
              <w:jc w:val="right"/>
              <w:ind w:right="580"/>
              <w:spacing w:after="0"/>
              <w:rPr>
                <w:sz w:val="20"/>
                <w:szCs w:val="20"/>
                <w:color w:val="auto"/>
              </w:rPr>
            </w:pPr>
            <w:r>
              <w:rPr>
                <w:rFonts w:ascii="Arial" w:cs="Arial" w:eastAsia="Arial" w:hAnsi="Arial"/>
                <w:sz w:val="18"/>
                <w:szCs w:val="18"/>
                <w:color w:val="auto"/>
              </w:rPr>
              <w:t>-8328 bps</w:t>
            </w:r>
          </w:p>
        </w:tc>
        <w:tc>
          <w:tcPr>
            <w:tcW w:w="8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ind w:left="640" w:right="6740" w:hanging="635"/>
        <w:spacing w:after="0" w:line="483" w:lineRule="auto"/>
        <w:tabs>
          <w:tab w:leader="none" w:pos="258" w:val="left"/>
        </w:tabs>
        <w:numPr>
          <w:ilvl w:val="0"/>
          <w:numId w:val="35"/>
        </w:numPr>
        <w:rPr>
          <w:rFonts w:ascii="Arial" w:cs="Arial" w:eastAsia="Arial" w:hAnsi="Arial"/>
          <w:sz w:val="18"/>
          <w:szCs w:val="18"/>
          <w:color w:val="auto"/>
        </w:rPr>
      </w:pPr>
      <w:r>
        <w:rPr>
          <w:rFonts w:ascii="Arial" w:cs="Arial" w:eastAsia="Arial" w:hAnsi="Arial"/>
          <w:sz w:val="18"/>
          <w:szCs w:val="18"/>
          <w:color w:val="auto"/>
        </w:rPr>
        <w:t>Government Programs (GP) include Reactiva Peru and FAE. In the QoQ analysis:</w:t>
      </w:r>
    </w:p>
    <w:p>
      <w:pPr>
        <w:spacing w:after="0" w:line="1" w:lineRule="exact"/>
        <w:rPr>
          <w:rFonts w:ascii="Arial" w:cs="Arial" w:eastAsia="Arial" w:hAnsi="Arial"/>
          <w:sz w:val="18"/>
          <w:szCs w:val="18"/>
          <w:color w:val="auto"/>
        </w:rPr>
      </w:pPr>
    </w:p>
    <w:p>
      <w:pPr>
        <w:ind w:left="1260" w:hanging="625"/>
        <w:spacing w:after="0"/>
        <w:tabs>
          <w:tab w:leader="none" w:pos="1260" w:val="left"/>
        </w:tabs>
        <w:numPr>
          <w:ilvl w:val="1"/>
          <w:numId w:val="35"/>
        </w:numPr>
        <w:rPr>
          <w:rFonts w:ascii="Arial" w:cs="Arial" w:eastAsia="Arial" w:hAnsi="Arial"/>
          <w:sz w:val="18"/>
          <w:szCs w:val="18"/>
          <w:color w:val="auto"/>
        </w:rPr>
      </w:pPr>
      <w:r>
        <w:rPr>
          <w:rFonts w:ascii="Arial" w:cs="Arial" w:eastAsia="Arial" w:hAnsi="Arial"/>
          <w:sz w:val="18"/>
          <w:szCs w:val="18"/>
          <w:b w:val="1"/>
          <w:bCs w:val="1"/>
          <w:color w:val="auto"/>
        </w:rPr>
        <w:t>IOL portfolio</w:t>
      </w:r>
      <w:r>
        <w:rPr>
          <w:rFonts w:ascii="Arial" w:cs="Arial" w:eastAsia="Arial" w:hAnsi="Arial"/>
          <w:sz w:val="18"/>
          <w:szCs w:val="18"/>
          <w:color w:val="auto"/>
        </w:rPr>
        <w:t>: growth was attributable to grace period expirations, particularly in the SME-Pyme segment.</w:t>
      </w:r>
    </w:p>
    <w:p>
      <w:pPr>
        <w:spacing w:after="0" w:line="213" w:lineRule="exact"/>
        <w:rPr>
          <w:rFonts w:ascii="Arial" w:cs="Arial" w:eastAsia="Arial" w:hAnsi="Arial"/>
          <w:sz w:val="18"/>
          <w:szCs w:val="18"/>
          <w:color w:val="auto"/>
        </w:rPr>
      </w:pPr>
    </w:p>
    <w:p>
      <w:pPr>
        <w:ind w:left="1260" w:hanging="625"/>
        <w:spacing w:after="0"/>
        <w:tabs>
          <w:tab w:leader="none" w:pos="1260" w:val="left"/>
        </w:tabs>
        <w:numPr>
          <w:ilvl w:val="1"/>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NPL ratio: </w:t>
      </w:r>
      <w:r>
        <w:rPr>
          <w:rFonts w:ascii="Arial" w:cs="Arial" w:eastAsia="Arial" w:hAnsi="Arial"/>
          <w:sz w:val="18"/>
          <w:szCs w:val="18"/>
          <w:color w:val="auto"/>
        </w:rPr>
        <w:t>the increase was attributable to an increase in the volume of overdue loans and to a reduction in total loans.</w:t>
      </w:r>
    </w:p>
    <w:p>
      <w:pPr>
        <w:spacing w:after="0" w:line="213" w:lineRule="exact"/>
        <w:rPr>
          <w:rFonts w:ascii="Arial" w:cs="Arial" w:eastAsia="Arial" w:hAnsi="Arial"/>
          <w:sz w:val="18"/>
          <w:szCs w:val="18"/>
          <w:color w:val="auto"/>
        </w:rPr>
      </w:pPr>
    </w:p>
    <w:p>
      <w:pPr>
        <w:ind w:left="1260" w:hanging="625"/>
        <w:spacing w:after="0"/>
        <w:tabs>
          <w:tab w:leader="none" w:pos="1260" w:val="left"/>
        </w:tabs>
        <w:numPr>
          <w:ilvl w:val="1"/>
          <w:numId w:val="35"/>
        </w:numPr>
        <w:rPr>
          <w:rFonts w:ascii="Arial" w:cs="Arial" w:eastAsia="Arial" w:hAnsi="Arial"/>
          <w:sz w:val="18"/>
          <w:szCs w:val="18"/>
          <w:color w:val="auto"/>
        </w:rPr>
      </w:pPr>
      <w:r>
        <w:rPr>
          <w:rFonts w:ascii="Arial" w:cs="Arial" w:eastAsia="Arial" w:hAnsi="Arial"/>
          <w:sz w:val="18"/>
          <w:szCs w:val="18"/>
          <w:b w:val="1"/>
          <w:bCs w:val="1"/>
          <w:color w:val="auto"/>
        </w:rPr>
        <w:t>Coverage of NPL loans</w:t>
      </w:r>
      <w:r>
        <w:rPr>
          <w:rFonts w:ascii="Arial" w:cs="Arial" w:eastAsia="Arial" w:hAnsi="Arial"/>
          <w:sz w:val="18"/>
          <w:szCs w:val="18"/>
          <w:color w:val="auto"/>
        </w:rPr>
        <w:t>: the reduction in this ratio was due primarily to growth in IOL loans.</w:t>
      </w:r>
    </w:p>
    <w:p>
      <w:pPr>
        <w:spacing w:after="0" w:line="21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Next, we will discuss the evolution of consolidated figures, which incorporate the effects of the evolutions of both the structural portfolio and government loan portfolio:</w:t>
      </w:r>
    </w:p>
    <w:p>
      <w:pPr>
        <w:spacing w:after="0" w:line="392"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1361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8"/>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Total Portfolio:</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20"/>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Portfolio quality and Delinquency ratios</w:t>
            </w: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8"/>
                <w:szCs w:val="18"/>
                <w:b w:val="1"/>
                <w:bCs w:val="1"/>
                <w:color w:val="auto"/>
              </w:rPr>
              <w:t>As of</w:t>
            </w:r>
          </w:p>
        </w:tc>
        <w:tc>
          <w:tcPr>
            <w:tcW w:w="10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90"/>
              </w:rPr>
              <w:t>% change</w:t>
            </w:r>
          </w:p>
        </w:tc>
        <w:tc>
          <w:tcPr>
            <w:tcW w:w="7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S/ 000</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Sep 20</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Jun 21</w:t>
            </w:r>
          </w:p>
        </w:tc>
        <w:tc>
          <w:tcPr>
            <w:tcW w:w="1000" w:type="dxa"/>
            <w:vAlign w:val="bottom"/>
          </w:tcPr>
          <w:p>
            <w:pPr>
              <w:jc w:val="right"/>
              <w:ind w:right="172"/>
              <w:spacing w:after="0"/>
              <w:rPr>
                <w:sz w:val="20"/>
                <w:szCs w:val="20"/>
                <w:color w:val="auto"/>
              </w:rPr>
            </w:pPr>
            <w:r>
              <w:rPr>
                <w:rFonts w:ascii="Arial" w:cs="Arial" w:eastAsia="Arial" w:hAnsi="Arial"/>
                <w:sz w:val="18"/>
                <w:szCs w:val="18"/>
                <w:b w:val="1"/>
                <w:bCs w:val="1"/>
                <w:color w:val="auto"/>
              </w:rPr>
              <w:t>Sep 21</w:t>
            </w:r>
          </w:p>
        </w:tc>
        <w:tc>
          <w:tcPr>
            <w:tcW w:w="280" w:type="dxa"/>
            <w:vAlign w:val="bottom"/>
          </w:tcPr>
          <w:p>
            <w:pPr>
              <w:spacing w:after="0"/>
              <w:rPr>
                <w:sz w:val="18"/>
                <w:szCs w:val="18"/>
                <w:color w:val="auto"/>
              </w:rPr>
            </w:pPr>
          </w:p>
        </w:tc>
        <w:tc>
          <w:tcPr>
            <w:tcW w:w="154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720" w:type="dxa"/>
            <w:vAlign w:val="bottom"/>
          </w:tcPr>
          <w:p>
            <w:pPr>
              <w:jc w:val="right"/>
              <w:ind w:right="252"/>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8"/>
                <w:szCs w:val="18"/>
                <w:color w:val="auto"/>
              </w:rPr>
            </w:pPr>
          </w:p>
        </w:tc>
      </w:tr>
      <w:tr>
        <w:trPr>
          <w:trHeight w:val="216"/>
        </w:trPr>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loans (Quarter-end balance)</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136,148,711</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143,091,752</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146,551,226</w:t>
            </w: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300" w:type="dxa"/>
            <w:vAlign w:val="bottom"/>
            <w:tcBorders>
              <w:top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Allowance for loan losses</w:t>
            </w:r>
          </w:p>
        </w:tc>
        <w:tc>
          <w:tcPr>
            <w:tcW w:w="1000" w:type="dxa"/>
            <w:vAlign w:val="bottom"/>
          </w:tcPr>
          <w:p>
            <w:pPr>
              <w:jc w:val="right"/>
              <w:spacing w:after="0"/>
              <w:rPr>
                <w:sz w:val="20"/>
                <w:szCs w:val="20"/>
                <w:color w:val="auto"/>
              </w:rPr>
            </w:pPr>
            <w:r>
              <w:rPr>
                <w:rFonts w:ascii="Arial" w:cs="Arial" w:eastAsia="Arial" w:hAnsi="Arial"/>
                <w:sz w:val="18"/>
                <w:szCs w:val="18"/>
                <w:color w:val="auto"/>
              </w:rPr>
              <w:t>9,656,383</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9,391,151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9,077,449</w:t>
            </w:r>
          </w:p>
        </w:tc>
        <w:tc>
          <w:tcPr>
            <w:tcW w:w="280" w:type="dxa"/>
            <w:vAlign w:val="bottom"/>
          </w:tcPr>
          <w:p>
            <w:pPr>
              <w:spacing w:after="0"/>
              <w:rPr>
                <w:sz w:val="19"/>
                <w:szCs w:val="19"/>
                <w:color w:val="auto"/>
              </w:rPr>
            </w:pP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Write-offs</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20,249</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742,211</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670,273</w:t>
            </w:r>
          </w:p>
        </w:tc>
        <w:tc>
          <w:tcPr>
            <w:tcW w:w="1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n.a</w:t>
            </w:r>
          </w:p>
        </w:tc>
      </w:tr>
      <w:tr>
        <w:trPr>
          <w:trHeight w:val="249"/>
        </w:trPr>
        <w:tc>
          <w:tcPr>
            <w:tcW w:w="4940" w:type="dxa"/>
            <w:vAlign w:val="bottom"/>
            <w:gridSpan w:val="2"/>
          </w:tcPr>
          <w:p>
            <w:pPr>
              <w:spacing w:after="0" w:line="249" w:lineRule="exact"/>
              <w:rPr>
                <w:sz w:val="20"/>
                <w:szCs w:val="20"/>
                <w:color w:val="auto"/>
              </w:rPr>
            </w:pPr>
            <w:r>
              <w:rPr>
                <w:rFonts w:ascii="Arial" w:cs="Arial" w:eastAsia="Arial" w:hAnsi="Arial"/>
                <w:sz w:val="17"/>
                <w:szCs w:val="17"/>
                <w:color w:val="auto"/>
              </w:rPr>
              <w:t xml:space="preserve">Internal overdue loans (IOLs) </w:t>
            </w:r>
            <w:r>
              <w:rPr>
                <w:rFonts w:ascii="Arial" w:cs="Arial" w:eastAsia="Arial" w:hAnsi="Arial"/>
                <w:sz w:val="28"/>
                <w:szCs w:val="28"/>
                <w:color w:val="auto"/>
                <w:vertAlign w:val="superscript"/>
              </w:rPr>
              <w:t>(1)</w:t>
            </w:r>
          </w:p>
        </w:tc>
        <w:tc>
          <w:tcPr>
            <w:tcW w:w="1000" w:type="dxa"/>
            <w:vAlign w:val="bottom"/>
          </w:tcPr>
          <w:p>
            <w:pPr>
              <w:jc w:val="right"/>
              <w:spacing w:after="0"/>
              <w:rPr>
                <w:sz w:val="20"/>
                <w:szCs w:val="20"/>
                <w:color w:val="auto"/>
              </w:rPr>
            </w:pPr>
            <w:r>
              <w:rPr>
                <w:rFonts w:ascii="Arial" w:cs="Arial" w:eastAsia="Arial" w:hAnsi="Arial"/>
                <w:sz w:val="18"/>
                <w:szCs w:val="18"/>
                <w:color w:val="auto"/>
              </w:rPr>
              <w:t>4,142,844</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5,054,353</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5,473,685</w:t>
            </w:r>
          </w:p>
        </w:tc>
        <w:tc>
          <w:tcPr>
            <w:tcW w:w="280" w:type="dxa"/>
            <w:vAlign w:val="bottom"/>
          </w:tcPr>
          <w:p>
            <w:pPr>
              <w:spacing w:after="0"/>
              <w:rPr>
                <w:sz w:val="21"/>
                <w:szCs w:val="21"/>
                <w:color w:val="auto"/>
              </w:rPr>
            </w:pP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32.1%</w:t>
            </w:r>
          </w:p>
        </w:tc>
      </w:tr>
      <w:tr>
        <w:trPr>
          <w:trHeight w:val="249"/>
        </w:trPr>
        <w:tc>
          <w:tcPr>
            <w:tcW w:w="494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 xml:space="preserve">Internal overdue loans over 90-days </w:t>
            </w:r>
            <w:r>
              <w:rPr>
                <w:rFonts w:ascii="Arial" w:cs="Arial" w:eastAsia="Arial" w:hAnsi="Arial"/>
                <w:sz w:val="28"/>
                <w:szCs w:val="28"/>
                <w:color w:val="auto"/>
                <w:vertAlign w:val="superscript"/>
              </w:rPr>
              <w:t>(1)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3,442,908</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3,817,463</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4,051,717</w:t>
            </w: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10"/>
        </w:trPr>
        <w:tc>
          <w:tcPr>
            <w:tcW w:w="4940" w:type="dxa"/>
            <w:vAlign w:val="bottom"/>
            <w:gridSpan w:val="2"/>
          </w:tcPr>
          <w:p>
            <w:pPr>
              <w:spacing w:after="0"/>
              <w:rPr>
                <w:sz w:val="20"/>
                <w:szCs w:val="20"/>
                <w:color w:val="auto"/>
              </w:rPr>
            </w:pPr>
            <w:r>
              <w:rPr>
                <w:rFonts w:ascii="Arial" w:cs="Arial" w:eastAsia="Arial" w:hAnsi="Arial"/>
                <w:sz w:val="18"/>
                <w:szCs w:val="18"/>
                <w:color w:val="auto"/>
              </w:rPr>
              <w:t>Refinanced loans</w:t>
            </w:r>
          </w:p>
        </w:tc>
        <w:tc>
          <w:tcPr>
            <w:tcW w:w="1000" w:type="dxa"/>
            <w:vAlign w:val="bottom"/>
          </w:tcPr>
          <w:p>
            <w:pPr>
              <w:jc w:val="right"/>
              <w:spacing w:after="0"/>
              <w:rPr>
                <w:sz w:val="20"/>
                <w:szCs w:val="20"/>
                <w:color w:val="auto"/>
              </w:rPr>
            </w:pPr>
            <w:r>
              <w:rPr>
                <w:rFonts w:ascii="Arial" w:cs="Arial" w:eastAsia="Arial" w:hAnsi="Arial"/>
                <w:sz w:val="18"/>
                <w:szCs w:val="18"/>
                <w:color w:val="auto"/>
              </w:rPr>
              <w:t>1,539,484</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1,800,076</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1,798,965</w:t>
            </w:r>
          </w:p>
        </w:tc>
        <w:tc>
          <w:tcPr>
            <w:tcW w:w="280" w:type="dxa"/>
            <w:vAlign w:val="bottom"/>
          </w:tcPr>
          <w:p>
            <w:pPr>
              <w:spacing w:after="0"/>
              <w:rPr>
                <w:sz w:val="18"/>
                <w:szCs w:val="18"/>
                <w:color w:val="auto"/>
              </w:rPr>
            </w:pP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16.9%</w:t>
            </w:r>
          </w:p>
        </w:tc>
      </w:tr>
      <w:tr>
        <w:trPr>
          <w:trHeight w:val="249"/>
        </w:trPr>
        <w:tc>
          <w:tcPr>
            <w:tcW w:w="494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 xml:space="preserve">Non-performing loans (NPLs) </w:t>
            </w:r>
            <w:r>
              <w:rPr>
                <w:rFonts w:ascii="Arial" w:cs="Arial" w:eastAsia="Arial" w:hAnsi="Arial"/>
                <w:sz w:val="28"/>
                <w:szCs w:val="28"/>
                <w:color w:val="auto"/>
                <w:vertAlign w:val="superscript"/>
              </w:rPr>
              <w:t>(2)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5,682,328</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6,854,429</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7,272,649</w:t>
            </w: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10"/>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IOL ratio</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3.04%</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3.73%</w:t>
            </w:r>
          </w:p>
        </w:tc>
        <w:tc>
          <w:tcPr>
            <w:tcW w:w="1540" w:type="dxa"/>
            <w:vAlign w:val="bottom"/>
            <w:gridSpan w:val="3"/>
          </w:tcPr>
          <w:p>
            <w:pPr>
              <w:jc w:val="right"/>
              <w:ind w:right="560"/>
              <w:spacing w:after="0"/>
              <w:rPr>
                <w:sz w:val="20"/>
                <w:szCs w:val="20"/>
                <w:color w:val="auto"/>
              </w:rPr>
            </w:pPr>
            <w:r>
              <w:rPr>
                <w:rFonts w:ascii="Arial" w:cs="Arial" w:eastAsia="Arial" w:hAnsi="Arial"/>
                <w:sz w:val="18"/>
                <w:szCs w:val="18"/>
                <w:color w:val="auto"/>
              </w:rPr>
              <w:t>20 bps</w:t>
            </w:r>
          </w:p>
        </w:tc>
        <w:tc>
          <w:tcPr>
            <w:tcW w:w="900" w:type="dxa"/>
            <w:vAlign w:val="bottom"/>
            <w:gridSpan w:val="2"/>
          </w:tcPr>
          <w:p>
            <w:pPr>
              <w:jc w:val="right"/>
              <w:ind w:right="92"/>
              <w:spacing w:after="0"/>
              <w:rPr>
                <w:sz w:val="20"/>
                <w:szCs w:val="20"/>
                <w:color w:val="auto"/>
              </w:rPr>
            </w:pPr>
            <w:r>
              <w:rPr>
                <w:rFonts w:ascii="Arial" w:cs="Arial" w:eastAsia="Arial" w:hAnsi="Arial"/>
                <w:sz w:val="18"/>
                <w:szCs w:val="18"/>
                <w:color w:val="auto"/>
              </w:rPr>
              <w:t>69 bps</w:t>
            </w:r>
          </w:p>
        </w:tc>
      </w:tr>
      <w:tr>
        <w:trPr>
          <w:trHeight w:val="210"/>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IOL over 90-days ratio</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2.53%</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2.76%</w:t>
            </w:r>
          </w:p>
        </w:tc>
        <w:tc>
          <w:tcPr>
            <w:tcW w:w="15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 bps</w:t>
            </w:r>
          </w:p>
        </w:tc>
        <w:tc>
          <w:tcPr>
            <w:tcW w:w="9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23 bps</w:t>
            </w:r>
          </w:p>
        </w:tc>
      </w:tr>
      <w:tr>
        <w:trPr>
          <w:trHeight w:val="210"/>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NPL ratio</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4.17%</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4.79%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4.96%</w:t>
            </w:r>
          </w:p>
        </w:tc>
        <w:tc>
          <w:tcPr>
            <w:tcW w:w="1540" w:type="dxa"/>
            <w:vAlign w:val="bottom"/>
            <w:gridSpan w:val="3"/>
          </w:tcPr>
          <w:p>
            <w:pPr>
              <w:jc w:val="right"/>
              <w:ind w:right="560"/>
              <w:spacing w:after="0"/>
              <w:rPr>
                <w:sz w:val="20"/>
                <w:szCs w:val="20"/>
                <w:color w:val="auto"/>
              </w:rPr>
            </w:pPr>
            <w:r>
              <w:rPr>
                <w:rFonts w:ascii="Arial" w:cs="Arial" w:eastAsia="Arial" w:hAnsi="Arial"/>
                <w:sz w:val="18"/>
                <w:szCs w:val="18"/>
                <w:color w:val="auto"/>
              </w:rPr>
              <w:t>17 bps</w:t>
            </w:r>
          </w:p>
        </w:tc>
        <w:tc>
          <w:tcPr>
            <w:tcW w:w="900" w:type="dxa"/>
            <w:vAlign w:val="bottom"/>
            <w:gridSpan w:val="2"/>
          </w:tcPr>
          <w:p>
            <w:pPr>
              <w:jc w:val="right"/>
              <w:ind w:right="92"/>
              <w:spacing w:after="0"/>
              <w:rPr>
                <w:sz w:val="20"/>
                <w:szCs w:val="20"/>
                <w:color w:val="auto"/>
              </w:rPr>
            </w:pPr>
            <w:r>
              <w:rPr>
                <w:rFonts w:ascii="Arial" w:cs="Arial" w:eastAsia="Arial" w:hAnsi="Arial"/>
                <w:sz w:val="18"/>
                <w:szCs w:val="18"/>
                <w:color w:val="auto"/>
              </w:rPr>
              <w:t>79 bps</w:t>
            </w:r>
          </w:p>
        </w:tc>
      </w:tr>
      <w:tr>
        <w:trPr>
          <w:trHeight w:val="210"/>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Allowance for loan losses over Total loans</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7.1%</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6.2%</w:t>
            </w:r>
          </w:p>
        </w:tc>
        <w:tc>
          <w:tcPr>
            <w:tcW w:w="15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-37 bps</w:t>
            </w:r>
          </w:p>
        </w:tc>
        <w:tc>
          <w:tcPr>
            <w:tcW w:w="9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-90 bps</w:t>
            </w:r>
          </w:p>
        </w:tc>
      </w:tr>
      <w:tr>
        <w:trPr>
          <w:trHeight w:val="210"/>
        </w:trPr>
        <w:tc>
          <w:tcPr>
            <w:tcW w:w="4940" w:type="dxa"/>
            <w:vAlign w:val="bottom"/>
            <w:gridSpan w:val="2"/>
          </w:tcPr>
          <w:p>
            <w:pPr>
              <w:spacing w:after="0"/>
              <w:rPr>
                <w:sz w:val="20"/>
                <w:szCs w:val="20"/>
                <w:color w:val="auto"/>
              </w:rPr>
            </w:pPr>
            <w:r>
              <w:rPr>
                <w:rFonts w:ascii="Arial" w:cs="Arial" w:eastAsia="Arial" w:hAnsi="Arial"/>
                <w:sz w:val="18"/>
                <w:szCs w:val="18"/>
                <w:color w:val="auto"/>
              </w:rPr>
              <w:t>Coverage ratio of IOLs</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233.1%</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185.8%</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165.8%</w:t>
            </w:r>
          </w:p>
        </w:tc>
        <w:tc>
          <w:tcPr>
            <w:tcW w:w="1540" w:type="dxa"/>
            <w:vAlign w:val="bottom"/>
            <w:gridSpan w:val="3"/>
          </w:tcPr>
          <w:p>
            <w:pPr>
              <w:jc w:val="right"/>
              <w:ind w:right="560"/>
              <w:spacing w:after="0"/>
              <w:rPr>
                <w:sz w:val="20"/>
                <w:szCs w:val="20"/>
                <w:color w:val="auto"/>
              </w:rPr>
            </w:pPr>
            <w:r>
              <w:rPr>
                <w:rFonts w:ascii="Arial" w:cs="Arial" w:eastAsia="Arial" w:hAnsi="Arial"/>
                <w:sz w:val="18"/>
                <w:szCs w:val="18"/>
                <w:color w:val="auto"/>
              </w:rPr>
              <w:t>-1996 bps</w:t>
            </w:r>
          </w:p>
        </w:tc>
        <w:tc>
          <w:tcPr>
            <w:tcW w:w="900" w:type="dxa"/>
            <w:vAlign w:val="bottom"/>
            <w:gridSpan w:val="2"/>
          </w:tcPr>
          <w:p>
            <w:pPr>
              <w:jc w:val="right"/>
              <w:ind w:right="92"/>
              <w:spacing w:after="0"/>
              <w:rPr>
                <w:sz w:val="20"/>
                <w:szCs w:val="20"/>
                <w:color w:val="auto"/>
              </w:rPr>
            </w:pPr>
            <w:r>
              <w:rPr>
                <w:rFonts w:ascii="Arial" w:cs="Arial" w:eastAsia="Arial" w:hAnsi="Arial"/>
                <w:sz w:val="18"/>
                <w:szCs w:val="18"/>
                <w:color w:val="auto"/>
                <w:w w:val="87"/>
              </w:rPr>
              <w:t>-6725 bps</w:t>
            </w:r>
          </w:p>
        </w:tc>
      </w:tr>
      <w:tr>
        <w:trPr>
          <w:trHeight w:val="210"/>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ratio of IOL 90-days</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280.5%</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224.0%</w:t>
            </w:r>
          </w:p>
        </w:tc>
        <w:tc>
          <w:tcPr>
            <w:tcW w:w="15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-2197 bps</w:t>
            </w:r>
          </w:p>
        </w:tc>
        <w:tc>
          <w:tcPr>
            <w:tcW w:w="9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7"/>
              </w:rPr>
              <w:t>-5643 bps</w:t>
            </w: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Coverage ratio of NPLs</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169.9%</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137.0%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124.8%</w:t>
            </w:r>
          </w:p>
        </w:tc>
        <w:tc>
          <w:tcPr>
            <w:tcW w:w="1540" w:type="dxa"/>
            <w:vAlign w:val="bottom"/>
            <w:gridSpan w:val="3"/>
          </w:tcPr>
          <w:p>
            <w:pPr>
              <w:jc w:val="right"/>
              <w:ind w:right="560"/>
              <w:spacing w:after="0"/>
              <w:rPr>
                <w:sz w:val="20"/>
                <w:szCs w:val="20"/>
                <w:color w:val="auto"/>
              </w:rPr>
            </w:pPr>
            <w:r>
              <w:rPr>
                <w:rFonts w:ascii="Arial" w:cs="Arial" w:eastAsia="Arial" w:hAnsi="Arial"/>
                <w:sz w:val="18"/>
                <w:szCs w:val="18"/>
                <w:color w:val="auto"/>
              </w:rPr>
              <w:t>-1219 bps</w:t>
            </w:r>
          </w:p>
        </w:tc>
        <w:tc>
          <w:tcPr>
            <w:tcW w:w="900" w:type="dxa"/>
            <w:vAlign w:val="bottom"/>
            <w:gridSpan w:val="2"/>
          </w:tcPr>
          <w:p>
            <w:pPr>
              <w:jc w:val="right"/>
              <w:ind w:right="92"/>
              <w:spacing w:after="0"/>
              <w:rPr>
                <w:sz w:val="20"/>
                <w:szCs w:val="20"/>
                <w:color w:val="auto"/>
              </w:rPr>
            </w:pPr>
            <w:r>
              <w:rPr>
                <w:rFonts w:ascii="Arial" w:cs="Arial" w:eastAsia="Arial" w:hAnsi="Arial"/>
                <w:sz w:val="18"/>
                <w:szCs w:val="18"/>
                <w:color w:val="auto"/>
                <w:w w:val="87"/>
              </w:rPr>
              <w:t>-4512 bps</w:t>
            </w:r>
          </w:p>
        </w:tc>
      </w:tr>
    </w:tbl>
    <w:p>
      <w:pPr>
        <w:spacing w:after="0" w:line="198" w:lineRule="exact"/>
        <w:rPr>
          <w:sz w:val="20"/>
          <w:szCs w:val="20"/>
          <w:color w:val="auto"/>
        </w:rPr>
      </w:pPr>
    </w:p>
    <w:p>
      <w:pPr>
        <w:ind w:left="260" w:hanging="255"/>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overdue loans and loans under legal collection. (Quarter-end balances).</w:t>
      </w:r>
    </w:p>
    <w:p>
      <w:pPr>
        <w:spacing w:after="0" w:line="14" w:lineRule="exact"/>
        <w:rPr>
          <w:rFonts w:ascii="Arial" w:cs="Arial" w:eastAsia="Arial" w:hAnsi="Arial"/>
          <w:sz w:val="18"/>
          <w:szCs w:val="18"/>
          <w:color w:val="auto"/>
        </w:rPr>
      </w:pPr>
    </w:p>
    <w:p>
      <w:pPr>
        <w:ind w:left="260" w:hanging="255"/>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Non-performing loans include internal overdue loans and refinanced loans. (Quarter-end balances).</w:t>
      </w:r>
    </w:p>
    <w:p>
      <w:pPr>
        <w:spacing w:after="0" w:line="201" w:lineRule="exact"/>
        <w:rPr>
          <w:sz w:val="20"/>
          <w:szCs w:val="20"/>
          <w:color w:val="auto"/>
        </w:rPr>
      </w:pPr>
    </w:p>
    <w:p>
      <w:pPr>
        <w:jc w:val="both"/>
        <w:ind w:left="7100"/>
        <w:spacing w:after="0" w:line="280" w:lineRule="auto"/>
        <w:rPr>
          <w:sz w:val="20"/>
          <w:szCs w:val="20"/>
          <w:color w:val="auto"/>
        </w:rPr>
      </w:pPr>
      <w:r>
        <w:rPr>
          <w:rFonts w:ascii="Arial" w:cs="Arial" w:eastAsia="Arial" w:hAnsi="Arial"/>
          <w:sz w:val="16"/>
          <w:szCs w:val="16"/>
          <w:i w:val="1"/>
          <w:iCs w:val="1"/>
          <w:color w:val="auto"/>
        </w:rPr>
        <w:t>When analyzing the evolution of delinquency indicators, it is necessary to note that: (i) traditional delinquency indicators (IOL and NPL ratios) continue to be distorted by the presence of loans that have collateral (commercial and residential properties). This means that a significant portion of loans that are more than 150 days overdue cannot be written off, despite being fully provisioned, given that the judicial process to liquidate the collateral can take up to five years on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-1217930</wp:posOffset>
            </wp:positionV>
            <wp:extent cx="3818255" cy="19672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18255" cy="1967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firstLine="5"/>
        <w:spacing w:after="0" w:line="260" w:lineRule="auto"/>
        <w:tabs>
          <w:tab w:leader="none" w:pos="2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Structural Cost of risk excludes the provisions for credit losses on loan portfolio, net of recoveries and total loans from the Reactiva Peru and FAE Government Programs.</w:t>
      </w:r>
    </w:p>
    <w:p>
      <w:pPr>
        <w:spacing w:after="0" w:line="18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 the aforementioned context, the NPL ratio at Credicorp increased +17 bps QoQ, which was primarily driven by a deterioration in the IOL portfolio from the Government Program loans.</w:t>
      </w:r>
    </w:p>
    <w:p>
      <w:pPr>
        <w:spacing w:after="0" w:line="182"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In the YoY analysis, the ratio increased +79 bps. This evolution was fueled by grace period expirations in both the Structural Portfolio and Government Loan Portfolio, which reflected growth in both IOL and refinanced loans. Expansion in both of these portfolios was fueled by the on-going effects of the pandemic.</w:t>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4.2.1 Delinquency by Segment</w:t>
      </w:r>
    </w:p>
    <w:p>
      <w:pPr>
        <w:spacing w:after="0" w:line="213"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NPL Ratio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1353820</wp:posOffset>
            </wp:positionH>
            <wp:positionV relativeFrom="paragraph">
              <wp:posOffset>147320</wp:posOffset>
            </wp:positionV>
            <wp:extent cx="4410075" cy="26174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410075" cy="2617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In the analysis of the NPL ratio by segment, it is important to note the following movements: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Structural Portfolio</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QoQ analysis:</w:t>
      </w:r>
    </w:p>
    <w:p>
      <w:pPr>
        <w:spacing w:after="0" w:line="207" w:lineRule="exact"/>
        <w:rPr>
          <w:sz w:val="20"/>
          <w:szCs w:val="20"/>
          <w:color w:val="auto"/>
        </w:rPr>
      </w:pPr>
    </w:p>
    <w:p>
      <w:pPr>
        <w:ind w:left="1260" w:hanging="625"/>
        <w:spacing w:after="0" w:line="267" w:lineRule="auto"/>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the ratio fell -22 bps due to loan growth, as indicated in section 1.2.1. Loan evolution by business segment, and to a drop in</w:t>
      </w:r>
      <w:r>
        <w:rPr>
          <w:rFonts w:ascii="Arial" w:cs="Arial" w:eastAsia="Arial" w:hAnsi="Arial"/>
          <w:sz w:val="18"/>
          <w:szCs w:val="18"/>
          <w:b w:val="1"/>
          <w:bCs w:val="1"/>
          <w:color w:val="auto"/>
        </w:rPr>
        <w:t xml:space="preserve"> </w:t>
      </w:r>
      <w:r>
        <w:rPr>
          <w:rFonts w:ascii="Arial" w:cs="Arial" w:eastAsia="Arial" w:hAnsi="Arial"/>
          <w:sz w:val="18"/>
          <w:szCs w:val="18"/>
          <w:color w:val="auto"/>
        </w:rPr>
        <w:t>refinanced loans, which was fueled by the exit of a number of clients in the agriculture sector.</w:t>
      </w:r>
    </w:p>
    <w:p>
      <w:pPr>
        <w:spacing w:after="0" w:line="169" w:lineRule="exact"/>
        <w:rPr>
          <w:rFonts w:ascii="Arial" w:cs="Arial" w:eastAsia="Arial" w:hAnsi="Arial"/>
          <w:sz w:val="18"/>
          <w:szCs w:val="18"/>
          <w:color w:val="auto"/>
        </w:rPr>
      </w:pPr>
    </w:p>
    <w:p>
      <w:pPr>
        <w:jc w:val="both"/>
        <w:ind w:left="1260" w:hanging="625"/>
        <w:spacing w:after="0" w:line="255" w:lineRule="auto"/>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SMEs: </w:t>
      </w:r>
      <w:r>
        <w:rPr>
          <w:rFonts w:ascii="Arial" w:cs="Arial" w:eastAsia="Arial" w:hAnsi="Arial"/>
          <w:sz w:val="18"/>
          <w:szCs w:val="18"/>
          <w:color w:val="auto"/>
        </w:rPr>
        <w:t>the ratio increased +19 bps, especially due to clients who also have GP loans and whose grace periods expired in the quarter; however,</w:t>
      </w:r>
      <w:r>
        <w:rPr>
          <w:rFonts w:ascii="Arial" w:cs="Arial" w:eastAsia="Arial" w:hAnsi="Arial"/>
          <w:sz w:val="18"/>
          <w:szCs w:val="18"/>
          <w:b w:val="1"/>
          <w:bCs w:val="1"/>
          <w:color w:val="auto"/>
        </w:rPr>
        <w:t xml:space="preserve"> </w:t>
      </w:r>
      <w:r>
        <w:rPr>
          <w:rFonts w:ascii="Arial" w:cs="Arial" w:eastAsia="Arial" w:hAnsi="Arial"/>
          <w:sz w:val="18"/>
          <w:szCs w:val="18"/>
          <w:color w:val="auto"/>
        </w:rPr>
        <w:t>the majority of overdue loans were in early tranches of delinquency. The aforementioned was partially attenuated by a loan expansion of +5.6%.</w:t>
      </w:r>
    </w:p>
    <w:p>
      <w:pPr>
        <w:spacing w:after="0" w:line="180" w:lineRule="exact"/>
        <w:rPr>
          <w:rFonts w:ascii="Arial" w:cs="Arial" w:eastAsia="Arial" w:hAnsi="Arial"/>
          <w:sz w:val="18"/>
          <w:szCs w:val="18"/>
          <w:color w:val="auto"/>
        </w:rPr>
      </w:pPr>
    </w:p>
    <w:p>
      <w:pPr>
        <w:ind w:left="1260" w:hanging="625"/>
        <w:spacing w:after="0" w:line="267" w:lineRule="auto"/>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Individuals</w:t>
      </w:r>
      <w:r>
        <w:rPr>
          <w:rFonts w:ascii="Arial" w:cs="Arial" w:eastAsia="Arial" w:hAnsi="Arial"/>
          <w:sz w:val="18"/>
          <w:szCs w:val="18"/>
          <w:color w:val="auto"/>
        </w:rPr>
        <w:t>: the drop of -38 bps was attributable to a decrease in overdue loans in the Credit Card and Consumer segments, which was driven</w:t>
      </w:r>
      <w:r>
        <w:rPr>
          <w:rFonts w:ascii="Arial" w:cs="Arial" w:eastAsia="Arial" w:hAnsi="Arial"/>
          <w:sz w:val="18"/>
          <w:szCs w:val="18"/>
          <w:b w:val="1"/>
          <w:bCs w:val="1"/>
          <w:color w:val="auto"/>
        </w:rPr>
        <w:t xml:space="preserve"> </w:t>
      </w:r>
      <w:r>
        <w:rPr>
          <w:rFonts w:ascii="Arial" w:cs="Arial" w:eastAsia="Arial" w:hAnsi="Arial"/>
          <w:sz w:val="18"/>
          <w:szCs w:val="18"/>
          <w:color w:val="auto"/>
        </w:rPr>
        <w:t>by individual’s higher income levels after they received bi-yearly bonuses.</w:t>
      </w:r>
    </w:p>
    <w:p>
      <w:pPr>
        <w:spacing w:after="0" w:line="169" w:lineRule="exact"/>
        <w:rPr>
          <w:rFonts w:ascii="Arial" w:cs="Arial" w:eastAsia="Arial" w:hAnsi="Arial"/>
          <w:sz w:val="18"/>
          <w:szCs w:val="18"/>
          <w:color w:val="auto"/>
        </w:rPr>
      </w:pPr>
    </w:p>
    <w:p>
      <w:pPr>
        <w:jc w:val="both"/>
        <w:ind w:left="1260" w:hanging="625"/>
        <w:spacing w:after="0" w:line="255" w:lineRule="auto"/>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Mibanco</w:t>
      </w:r>
      <w:r>
        <w:rPr>
          <w:rFonts w:ascii="Arial" w:cs="Arial" w:eastAsia="Arial" w:hAnsi="Arial"/>
          <w:sz w:val="18"/>
          <w:szCs w:val="18"/>
          <w:color w:val="auto"/>
        </w:rPr>
        <w:t>: the significant reduction of -185 bps was attributable to a drop in IOL and refinanced loan volumes and to an increase in loans.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contraction in the NPL portfolio is the result of better risk disbursements and collections actions, higher write-offs and lower deterioration of reprogrammed loans in grace period.</w:t>
      </w:r>
    </w:p>
    <w:p>
      <w:pPr>
        <w:spacing w:after="0" w:line="180" w:lineRule="exact"/>
        <w:rPr>
          <w:rFonts w:ascii="Arial" w:cs="Arial" w:eastAsia="Arial" w:hAnsi="Arial"/>
          <w:sz w:val="18"/>
          <w:szCs w:val="18"/>
          <w:color w:val="auto"/>
        </w:rPr>
      </w:pPr>
    </w:p>
    <w:p>
      <w:pPr>
        <w:ind w:left="1260" w:hanging="625"/>
        <w:spacing w:after="0" w:line="267" w:lineRule="auto"/>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BCP Bolivia</w:t>
      </w:r>
      <w:r>
        <w:rPr>
          <w:rFonts w:ascii="Arial" w:cs="Arial" w:eastAsia="Arial" w:hAnsi="Arial"/>
          <w:sz w:val="18"/>
          <w:szCs w:val="18"/>
          <w:color w:val="auto"/>
        </w:rPr>
        <w:t>: the drop of -28 bps was attributable to a decrease in the IOL loan volume due to government reprogramming; these loans are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as current in the loan book.</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YoY analysis:</w:t>
      </w:r>
    </w:p>
    <w:p>
      <w:pPr>
        <w:spacing w:after="0" w:line="207" w:lineRule="exact"/>
        <w:rPr>
          <w:sz w:val="20"/>
          <w:szCs w:val="20"/>
          <w:color w:val="auto"/>
        </w:rPr>
      </w:pPr>
    </w:p>
    <w:p>
      <w:pPr>
        <w:ind w:left="1260" w:hanging="625"/>
        <w:spacing w:after="0" w:line="331" w:lineRule="auto"/>
        <w:tabs>
          <w:tab w:leader="none" w:pos="1260"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auto"/>
        </w:rPr>
        <w:t xml:space="preserve">Wholesale Banking: </w:t>
      </w:r>
      <w:r>
        <w:rPr>
          <w:rFonts w:ascii="Arial" w:cs="Arial" w:eastAsia="Arial" w:hAnsi="Arial"/>
          <w:sz w:val="16"/>
          <w:szCs w:val="16"/>
          <w:color w:val="auto"/>
        </w:rPr>
        <w:t>increase of +42 bps, which reflected an uptick in IOL loans. This evolution was attributable to several clients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leisure, tourism and real estate industries, whose services have been negatively impacted by the pandemic and political instability.</w:t>
      </w:r>
    </w:p>
    <w:p>
      <w:pPr>
        <w:spacing w:after="0" w:line="122" w:lineRule="exact"/>
        <w:rPr>
          <w:rFonts w:ascii="Arial" w:cs="Arial" w:eastAsia="Arial" w:hAnsi="Arial"/>
          <w:sz w:val="16"/>
          <w:szCs w:val="16"/>
          <w:color w:val="auto"/>
        </w:rPr>
      </w:pPr>
    </w:p>
    <w:p>
      <w:pPr>
        <w:ind w:left="1260" w:hanging="625"/>
        <w:spacing w:after="0"/>
        <w:tabs>
          <w:tab w:leader="none" w:pos="1260"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auto"/>
        </w:rPr>
        <w:t xml:space="preserve">SMEs: </w:t>
      </w:r>
      <w:r>
        <w:rPr>
          <w:rFonts w:ascii="Arial" w:cs="Arial" w:eastAsia="Arial" w:hAnsi="Arial"/>
          <w:sz w:val="16"/>
          <w:szCs w:val="16"/>
          <w:color w:val="auto"/>
        </w:rPr>
        <w:t>growth of +60 bps, which was attributable to an increase in refinanced loans in Pyme-SME and in IOL loans in SME-Business.</w:t>
      </w:r>
    </w:p>
    <w:p>
      <w:pPr>
        <w:spacing w:after="0" w:line="236" w:lineRule="exact"/>
        <w:rPr>
          <w:rFonts w:ascii="Arial" w:cs="Arial" w:eastAsia="Arial" w:hAnsi="Arial"/>
          <w:sz w:val="16"/>
          <w:szCs w:val="16"/>
          <w:color w:val="auto"/>
        </w:rPr>
      </w:pPr>
    </w:p>
    <w:p>
      <w:pPr>
        <w:ind w:left="1260" w:hanging="625"/>
        <w:spacing w:after="0" w:line="267" w:lineRule="auto"/>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Individuals: </w:t>
      </w:r>
      <w:r>
        <w:rPr>
          <w:rFonts w:ascii="Arial" w:cs="Arial" w:eastAsia="Arial" w:hAnsi="Arial"/>
          <w:sz w:val="18"/>
          <w:szCs w:val="18"/>
          <w:color w:val="auto"/>
        </w:rPr>
        <w:t>significant drop of -62 bps, spurred by improvements in payment behavior after clients registered higher levels of liquidity</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AFP and Severance Indemnity fund releases.</w:t>
      </w:r>
    </w:p>
    <w:p>
      <w:pPr>
        <w:spacing w:after="0" w:line="169" w:lineRule="exact"/>
        <w:rPr>
          <w:rFonts w:ascii="Arial" w:cs="Arial" w:eastAsia="Arial" w:hAnsi="Arial"/>
          <w:sz w:val="18"/>
          <w:szCs w:val="18"/>
          <w:color w:val="auto"/>
        </w:rPr>
      </w:pPr>
    </w:p>
    <w:p>
      <w:pPr>
        <w:ind w:left="1260" w:hanging="625"/>
        <w:spacing w:after="0" w:line="267" w:lineRule="auto"/>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Mibanco</w:t>
      </w:r>
      <w:r>
        <w:rPr>
          <w:rFonts w:ascii="Arial" w:cs="Arial" w:eastAsia="Arial" w:hAnsi="Arial"/>
          <w:sz w:val="18"/>
          <w:szCs w:val="18"/>
          <w:color w:val="auto"/>
        </w:rPr>
        <w:t>: the increase of +64 bps in the ratio was attributable to growth in IOL loans, which was concentrated in the small business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was slightly attenuated by an increase in write-offs and by loan growth.</w:t>
      </w:r>
    </w:p>
    <w:p>
      <w:pPr>
        <w:spacing w:after="0" w:line="169" w:lineRule="exact"/>
        <w:rPr>
          <w:rFonts w:ascii="Arial" w:cs="Arial" w:eastAsia="Arial" w:hAnsi="Arial"/>
          <w:sz w:val="18"/>
          <w:szCs w:val="18"/>
          <w:color w:val="auto"/>
        </w:rPr>
      </w:pPr>
    </w:p>
    <w:p>
      <w:pPr>
        <w:ind w:left="1260" w:hanging="625"/>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BCP Bolivia</w:t>
      </w:r>
      <w:r>
        <w:rPr>
          <w:rFonts w:ascii="Arial" w:cs="Arial" w:eastAsia="Arial" w:hAnsi="Arial"/>
          <w:sz w:val="18"/>
          <w:szCs w:val="18"/>
          <w:color w:val="auto"/>
        </w:rPr>
        <w:t>: the reduction of 14 bps reflects the same trend as that seen QoQ and was also driven by an uptick in loans.</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Government Loan Portfolio:</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QoQ analysis:</w:t>
      </w:r>
    </w:p>
    <w:p>
      <w:pPr>
        <w:spacing w:after="0" w:line="213" w:lineRule="exact"/>
        <w:rPr>
          <w:sz w:val="20"/>
          <w:szCs w:val="20"/>
          <w:color w:val="auto"/>
        </w:rPr>
      </w:pPr>
    </w:p>
    <w:p>
      <w:pPr>
        <w:jc w:val="both"/>
        <w:ind w:left="960"/>
        <w:spacing w:after="0" w:line="247" w:lineRule="auto"/>
        <w:rPr>
          <w:sz w:val="20"/>
          <w:szCs w:val="20"/>
          <w:color w:val="auto"/>
        </w:rPr>
      </w:pPr>
      <w:r>
        <w:rPr>
          <w:rFonts w:ascii="Arial" w:cs="Arial" w:eastAsia="Arial" w:hAnsi="Arial"/>
          <w:sz w:val="18"/>
          <w:szCs w:val="18"/>
          <w:color w:val="auto"/>
        </w:rPr>
        <w:t>The 3Q21 presented the second quarter of installment maturities of the GP Portfolio, which consequently registered an increase of the overdue loans. This growth reflects the on-going impact of the pandemic. In this context, deterioration was registered in all segments, led by SMEs and followed by Mibanco and Wholesale Banking. It is important to note that part of the NPL portfolio is being reprogrammed or has already regularized payment dates. Additionally, lower loan volumes, which reflected advanced amortizations payments, affected delinquency ratios deterioration.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Portfolio:</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QoQ and YoY analysis:</w:t>
      </w:r>
    </w:p>
    <w:p>
      <w:pPr>
        <w:spacing w:after="0" w:line="213" w:lineRule="exact"/>
        <w:rPr>
          <w:sz w:val="20"/>
          <w:szCs w:val="20"/>
          <w:color w:val="auto"/>
        </w:rPr>
      </w:pPr>
    </w:p>
    <w:p>
      <w:pPr>
        <w:jc w:val="both"/>
        <w:ind w:left="960"/>
        <w:spacing w:after="0" w:line="260" w:lineRule="auto"/>
        <w:rPr>
          <w:sz w:val="20"/>
          <w:szCs w:val="20"/>
          <w:color w:val="auto"/>
        </w:rPr>
      </w:pPr>
      <w:r>
        <w:rPr>
          <w:rFonts w:ascii="Arial" w:cs="Arial" w:eastAsia="Arial" w:hAnsi="Arial"/>
          <w:sz w:val="18"/>
          <w:szCs w:val="18"/>
          <w:color w:val="auto"/>
        </w:rPr>
        <w:t>The ratios of the total portfolio reflect the evolution of the structural portfolio, negatively impacted by the recent deterioration of the Government Program portfolio.</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Reprogramming and Payments Management</w:t>
      </w:r>
      <w:r>
        <w:rPr>
          <w:rFonts w:ascii="Arial" w:cs="Arial" w:eastAsia="Arial" w:hAnsi="Arial"/>
          <w:sz w:val="29"/>
          <w:szCs w:val="29"/>
          <w:b w:val="1"/>
          <w:bCs w:val="1"/>
          <w:color w:val="auto"/>
          <w:vertAlign w:val="superscript"/>
        </w:rPr>
        <w:t>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4.3.1 Structural Portfolio</w:t>
      </w:r>
      <w:r>
        <w:rPr>
          <w:rFonts w:ascii="Arial" w:cs="Arial" w:eastAsia="Arial" w:hAnsi="Arial"/>
          <w:sz w:val="29"/>
          <w:szCs w:val="29"/>
          <w:b w:val="1"/>
          <w:bCs w:val="1"/>
          <w:color w:val="auto"/>
          <w:vertAlign w:val="superscript"/>
        </w:rPr>
        <w:t>5</w:t>
      </w:r>
    </w:p>
    <w:p>
      <w:pPr>
        <w:spacing w:after="0" w:line="12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the end of September, Credicorp’s structural portfolio reported growth of +4.5% QoQ and +12.2% YoY. For more information about this evolution, see section 1.2.1. Evolution of loans by business segment. The reprogrammed structural loan portfolio registered an on-going reduction and represent 14% of structural loans, which reflect a contraction of -80 bps QoQ and -330 bps YoY.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of the Payment Ratio</w:t>
      </w:r>
      <w:r>
        <w:rPr>
          <w:rFonts w:ascii="Arial" w:cs="Arial" w:eastAsia="Arial" w:hAnsi="Arial"/>
          <w:sz w:val="29"/>
          <w:szCs w:val="29"/>
          <w:b w:val="1"/>
          <w:bCs w:val="1"/>
          <w:color w:val="auto"/>
          <w:vertAlign w:val="superscript"/>
        </w:rPr>
        <w:t>6</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1778635</wp:posOffset>
            </wp:positionH>
            <wp:positionV relativeFrom="paragraph">
              <wp:posOffset>89535</wp:posOffset>
            </wp:positionV>
            <wp:extent cx="3984625" cy="17005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984625" cy="1700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This quarter, the payment ratio for overdue installments improved QoQ and YoY in all segments given that the volume of expired installments increased alongside expirations in grace periods. The improvements reported for the ratios reflect an uptick in income through growth in transaction levels and sales at companies and an increase in individual funds after deposits of bi-yearly bonus payments (statutory) were made in July and pensions and severance indemnity withdrawals.</w:t>
      </w:r>
    </w:p>
    <w:p>
      <w:pPr>
        <w:spacing w:after="0" w:line="193"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majority of delinquency</w:t>
      </w:r>
      <w:r>
        <w:rPr>
          <w:rFonts w:ascii="Arial" w:cs="Arial" w:eastAsia="Arial" w:hAnsi="Arial"/>
          <w:sz w:val="28"/>
          <w:szCs w:val="28"/>
          <w:color w:val="auto"/>
          <w:vertAlign w:val="superscript"/>
        </w:rPr>
        <w:t>7</w:t>
      </w:r>
      <w:r>
        <w:rPr>
          <w:rFonts w:ascii="Arial" w:cs="Arial" w:eastAsia="Arial" w:hAnsi="Arial"/>
          <w:sz w:val="17"/>
          <w:szCs w:val="17"/>
          <w:color w:val="auto"/>
        </w:rPr>
        <w:t xml:space="preserve"> is concentrated in early delinquency tranches where recovery levels are high, which is not reflected in the loan book overdue portfolio. At Retail Banking, delinquency situates at 5.2%, which represents a contraction of -120 bps QoQ. 75% of this delinquency is contained in the less than 30 days overdue tranches (loans have not migrated to more advanced stages of delinquency). Late delinquency (31 to 120 days), which includes loans that are considered more difficult to recover, improved -20 bps QoQ alongside an uptick in positive payment behavior, particularly among clients that have received 2 or more facilities, which are also considered higher risk profiles. At Mibanco, the overdue loan portfolio decreased -180 bps QoQ, situating at 6.8%, after an uptick in transactions and income levels led to a subsequent improvement in payment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17837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309" w:lineRule="exact"/>
        <w:rPr>
          <w:sz w:val="20"/>
          <w:szCs w:val="20"/>
          <w:color w:val="auto"/>
        </w:rPr>
      </w:pPr>
    </w:p>
    <w:p>
      <w:pPr>
        <w:ind w:left="320" w:hanging="315"/>
        <w:spacing w:after="0" w:line="191" w:lineRule="auto"/>
        <w:tabs>
          <w:tab w:leader="none" w:pos="32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Portfolio Management figures, which focus on analyzing new delinquency. Figures do not include loans that are over 120 days overdue, special accounts and the under legal collections portfolio.</w:t>
      </w:r>
    </w:p>
    <w:p>
      <w:pPr>
        <w:ind w:left="320" w:hanging="315"/>
        <w:spacing w:after="0" w:line="184" w:lineRule="auto"/>
        <w:tabs>
          <w:tab w:leader="none" w:pos="320" w:val="left"/>
        </w:tabs>
        <w:numPr>
          <w:ilvl w:val="0"/>
          <w:numId w:val="41"/>
        </w:numPr>
        <w:rPr>
          <w:rFonts w:ascii="Arial" w:cs="Arial" w:eastAsia="Arial" w:hAnsi="Arial"/>
          <w:sz w:val="24"/>
          <w:szCs w:val="24"/>
          <w:color w:val="auto"/>
          <w:vertAlign w:val="superscript"/>
        </w:rPr>
      </w:pPr>
      <w:r>
        <w:rPr>
          <w:rFonts w:ascii="Arial" w:cs="Arial" w:eastAsia="Arial" w:hAnsi="Arial"/>
          <w:sz w:val="15"/>
          <w:szCs w:val="15"/>
          <w:color w:val="auto"/>
        </w:rPr>
        <w:t>Figures do not include the government loan portfolios (GP).</w:t>
      </w:r>
    </w:p>
    <w:p>
      <w:pPr>
        <w:ind w:left="320" w:hanging="315"/>
        <w:spacing w:after="0" w:line="186" w:lineRule="auto"/>
        <w:tabs>
          <w:tab w:leader="none" w:pos="320" w:val="left"/>
        </w:tabs>
        <w:numPr>
          <w:ilvl w:val="0"/>
          <w:numId w:val="42"/>
        </w:numPr>
        <w:rPr>
          <w:rFonts w:ascii="Arial" w:cs="Arial" w:eastAsia="Arial" w:hAnsi="Arial"/>
          <w:sz w:val="28"/>
          <w:szCs w:val="28"/>
          <w:color w:val="auto"/>
          <w:vertAlign w:val="superscript"/>
        </w:rPr>
      </w:pPr>
      <w:r>
        <w:rPr>
          <w:rFonts w:ascii="Arial" w:cs="Arial" w:eastAsia="Arial" w:hAnsi="Arial"/>
          <w:sz w:val="17"/>
          <w:szCs w:val="17"/>
          <w:color w:val="auto"/>
        </w:rPr>
        <w:t>Payment ratio: loan balances with up-to-date payments/balances of loans with due installments.</w:t>
      </w:r>
    </w:p>
    <w:p>
      <w:pPr>
        <w:ind w:left="320" w:hanging="315"/>
        <w:spacing w:after="0" w:line="186" w:lineRule="auto"/>
        <w:tabs>
          <w:tab w:leader="none" w:pos="320" w:val="left"/>
        </w:tabs>
        <w:numPr>
          <w:ilvl w:val="0"/>
          <w:numId w:val="43"/>
        </w:numPr>
        <w:rPr>
          <w:rFonts w:ascii="Arial" w:cs="Arial" w:eastAsia="Arial" w:hAnsi="Arial"/>
          <w:sz w:val="28"/>
          <w:szCs w:val="28"/>
          <w:color w:val="auto"/>
          <w:vertAlign w:val="superscript"/>
        </w:rPr>
      </w:pPr>
      <w:r>
        <w:rPr>
          <w:rFonts w:ascii="Arial" w:cs="Arial" w:eastAsia="Arial" w:hAnsi="Arial"/>
          <w:sz w:val="17"/>
          <w:szCs w:val="17"/>
          <w:color w:val="auto"/>
        </w:rPr>
        <w:t>The overdue portfolio includes capital and interest on overdue loans beginning on day 1 and ending on day 120.</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361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4.3.2 Government Loans (GP)</w:t>
      </w:r>
      <w:r>
        <w:rPr>
          <w:rFonts w:ascii="Arial" w:cs="Arial" w:eastAsia="Arial" w:hAnsi="Arial"/>
          <w:sz w:val="29"/>
          <w:szCs w:val="29"/>
          <w:b w:val="1"/>
          <w:bCs w:val="1"/>
          <w:color w:val="auto"/>
          <w:vertAlign w:val="superscript"/>
        </w:rPr>
        <w:t>8</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Government Loans by Segment (S/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1778635</wp:posOffset>
            </wp:positionH>
            <wp:positionV relativeFrom="paragraph">
              <wp:posOffset>147320</wp:posOffset>
            </wp:positionV>
            <wp:extent cx="3618230" cy="20256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618230" cy="2025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At the end of 3Q21, government loans decreased -8.8%. The reduction in the portfolio balance is due to the fact that most of the grace periods expired and clients made advanced amortizations, mainly driven by the SME-Business and Middle Market Banking. At quarter-end, government loans represented 14% of Credicorp’s total loans (in comparison to 16% in Jun 21). The reprogrammed portfolio increased QoQ and by quarter-end, represented 32% of total government loans. This growth was spurred by an increase in requests for reprogramming (under facilities mandated by the Peruvian government until 4Q21).</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the YoY analysis, the government loan portfolio decreased -13.1%. The trend is similar to that seen in the QoQ analysis, which translated into a -4pp drop in comparison to the results reported at the end of Sep 20.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the portfolio by segment (S/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1837055</wp:posOffset>
            </wp:positionH>
            <wp:positionV relativeFrom="paragraph">
              <wp:posOffset>147320</wp:posOffset>
            </wp:positionV>
            <wp:extent cx="3476625" cy="13252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76625" cy="1325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3Q21, the reprogrammed portfolio increased across segments after the government mandated facilities in 2Q21 that allowed clients who meet certain criteria to request reprogramming. It is important to note that total maturity of the Wholesale Banking, Retail Banking and Mibanco portfolios expire in 2.2 years, 3.2 years and 2.0 years on average respectively.</w:t>
      </w:r>
    </w:p>
    <w:p>
      <w:pPr>
        <w:spacing w:after="0" w:line="18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Finally, it is important to note that the government loan portfolios are backed by state guarantees. At the end of September, average guarantees were situated at 84%, 92% and 97% for Wholesale Banking, Retail Banking and Mibanco respectively. Loans that enter more than 90 days of delinquency are transferred to Special Accounts and Payment Solutions for subsequent execution of collateral agreements with regulatory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139700</wp:posOffset>
            </wp:positionV>
            <wp:extent cx="17837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224" w:lineRule="exact"/>
        <w:rPr>
          <w:sz w:val="20"/>
          <w:szCs w:val="20"/>
          <w:color w:val="auto"/>
        </w:rPr>
      </w:pPr>
    </w:p>
    <w:p>
      <w:pPr>
        <w:ind w:left="100" w:hanging="95"/>
        <w:spacing w:after="0"/>
        <w:tabs>
          <w:tab w:leader="none" w:pos="100"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Government loans include current, overdue and reprogrammed loans through Reactiva Peru and FAE</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361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572135</wp:posOffset>
            </wp:positionV>
            <wp:extent cx="7136130" cy="65855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6130" cy="6585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5. Other Income</w:t>
      </w:r>
      <w:r>
        <w:rPr>
          <w:rFonts w:ascii="Arial" w:cs="Arial" w:eastAsia="Arial" w:hAnsi="Arial"/>
          <w:sz w:val="29"/>
          <w:szCs w:val="29"/>
          <w:b w:val="1"/>
          <w:bCs w:val="1"/>
          <w:color w:val="auto"/>
          <w:vertAlign w:val="superscript"/>
        </w:rPr>
        <w:t>9</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Other Income</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ind w:left="540"/>
              <w:spacing w:after="0"/>
              <w:rPr>
                <w:sz w:val="20"/>
                <w:szCs w:val="20"/>
                <w:color w:val="auto"/>
              </w:rPr>
            </w:pPr>
            <w:r>
              <w:rPr>
                <w:rFonts w:ascii="Arial" w:cs="Arial" w:eastAsia="Arial" w:hAnsi="Arial"/>
                <w:sz w:val="14"/>
                <w:szCs w:val="14"/>
                <w:b w:val="1"/>
                <w:bCs w:val="1"/>
                <w:color w:val="auto"/>
                <w:w w:val="88"/>
              </w:rPr>
              <w:t>% change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9"/>
              </w:rPr>
              <w:t>YTD</w:t>
            </w:r>
          </w:p>
        </w:tc>
        <w:tc>
          <w:tcPr>
            <w:tcW w:w="80" w:type="dxa"/>
            <w:vAlign w:val="bottom"/>
          </w:tcPr>
          <w:p>
            <w:pPr>
              <w:spacing w:after="0"/>
              <w:rPr>
                <w:sz w:val="14"/>
                <w:szCs w:val="14"/>
                <w:color w:val="auto"/>
              </w:rPr>
            </w:pPr>
          </w:p>
        </w:tc>
        <w:tc>
          <w:tcPr>
            <w:tcW w:w="10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 change</w:t>
            </w:r>
          </w:p>
        </w:tc>
      </w:tr>
      <w:tr>
        <w:trPr>
          <w:trHeight w:val="151"/>
        </w:trPr>
        <w:tc>
          <w:tcPr>
            <w:tcW w:w="3340" w:type="dxa"/>
            <w:vAlign w:val="bottom"/>
            <w:tcBorders>
              <w:bottom w:val="single" w:sz="8" w:color="auto"/>
            </w:tcBorders>
          </w:tcPr>
          <w:p>
            <w:pPr>
              <w:spacing w:after="0" w:line="151" w:lineRule="exact"/>
              <w:rPr>
                <w:sz w:val="20"/>
                <w:szCs w:val="20"/>
                <w:color w:val="auto"/>
              </w:rPr>
            </w:pPr>
            <w:r>
              <w:rPr>
                <w:rFonts w:ascii="Arial" w:cs="Arial" w:eastAsia="Arial" w:hAnsi="Arial"/>
                <w:sz w:val="14"/>
                <w:szCs w:val="14"/>
                <w:b w:val="1"/>
                <w:bCs w:val="1"/>
                <w:color w:val="auto"/>
              </w:rPr>
              <w:t>(S/000)</w:t>
            </w:r>
          </w:p>
        </w:tc>
        <w:tc>
          <w:tcPr>
            <w:tcW w:w="22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70"/>
              <w:spacing w:after="0" w:line="151" w:lineRule="exact"/>
              <w:rPr>
                <w:sz w:val="20"/>
                <w:szCs w:val="20"/>
                <w:color w:val="auto"/>
              </w:rPr>
            </w:pPr>
            <w:r>
              <w:rPr>
                <w:rFonts w:ascii="Arial" w:cs="Arial" w:eastAsia="Arial" w:hAnsi="Arial"/>
                <w:sz w:val="14"/>
                <w:szCs w:val="14"/>
                <w:b w:val="1"/>
                <w:bCs w:val="1"/>
                <w:color w:val="auto"/>
              </w:rPr>
              <w:t>3Q20</w:t>
            </w:r>
          </w:p>
        </w:tc>
        <w:tc>
          <w:tcPr>
            <w:tcW w:w="20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rPr>
              <w:t>2Q21</w:t>
            </w:r>
          </w:p>
        </w:tc>
        <w:tc>
          <w:tcPr>
            <w:tcW w:w="20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50"/>
              <w:spacing w:after="0" w:line="151" w:lineRule="exact"/>
              <w:rPr>
                <w:sz w:val="20"/>
                <w:szCs w:val="20"/>
                <w:color w:val="auto"/>
              </w:rPr>
            </w:pPr>
            <w:r>
              <w:rPr>
                <w:rFonts w:ascii="Arial" w:cs="Arial" w:eastAsia="Arial" w:hAnsi="Arial"/>
                <w:sz w:val="14"/>
                <w:szCs w:val="14"/>
                <w:b w:val="1"/>
                <w:bCs w:val="1"/>
                <w:color w:val="auto"/>
              </w:rPr>
              <w:t>3Q21</w:t>
            </w:r>
          </w:p>
        </w:tc>
        <w:tc>
          <w:tcPr>
            <w:tcW w:w="22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rPr>
              <w:t>QoQ</w:t>
            </w:r>
          </w:p>
        </w:tc>
        <w:tc>
          <w:tcPr>
            <w:tcW w:w="26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90"/>
              <w:spacing w:after="0" w:line="151" w:lineRule="exact"/>
              <w:rPr>
                <w:sz w:val="20"/>
                <w:szCs w:val="20"/>
                <w:color w:val="auto"/>
              </w:rPr>
            </w:pPr>
            <w:r>
              <w:rPr>
                <w:rFonts w:ascii="Arial" w:cs="Arial" w:eastAsia="Arial" w:hAnsi="Arial"/>
                <w:sz w:val="14"/>
                <w:szCs w:val="14"/>
                <w:b w:val="1"/>
                <w:bCs w:val="1"/>
                <w:color w:val="auto"/>
                <w:w w:val="95"/>
              </w:rPr>
              <w:t>YoY</w:t>
            </w:r>
          </w:p>
        </w:tc>
        <w:tc>
          <w:tcPr>
            <w:tcW w:w="24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70"/>
              <w:spacing w:after="0" w:line="151" w:lineRule="exact"/>
              <w:rPr>
                <w:sz w:val="20"/>
                <w:szCs w:val="20"/>
                <w:color w:val="auto"/>
              </w:rPr>
            </w:pPr>
            <w:r>
              <w:rPr>
                <w:rFonts w:ascii="Arial" w:cs="Arial" w:eastAsia="Arial" w:hAnsi="Arial"/>
                <w:sz w:val="14"/>
                <w:szCs w:val="14"/>
                <w:b w:val="1"/>
                <w:bCs w:val="1"/>
                <w:color w:val="auto"/>
              </w:rPr>
              <w:t>Sep 20</w:t>
            </w:r>
          </w:p>
        </w:tc>
        <w:tc>
          <w:tcPr>
            <w:tcW w:w="20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30"/>
              <w:spacing w:after="0" w:line="151" w:lineRule="exact"/>
              <w:rPr>
                <w:sz w:val="20"/>
                <w:szCs w:val="20"/>
                <w:color w:val="auto"/>
              </w:rPr>
            </w:pPr>
            <w:r>
              <w:rPr>
                <w:rFonts w:ascii="Arial" w:cs="Arial" w:eastAsia="Arial" w:hAnsi="Arial"/>
                <w:sz w:val="14"/>
                <w:szCs w:val="14"/>
                <w:b w:val="1"/>
                <w:bCs w:val="1"/>
                <w:color w:val="auto"/>
              </w:rPr>
              <w:t>Sep 21</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86"/>
              </w:rPr>
              <w:t>Sep 21 / Sep 20</w:t>
            </w:r>
          </w:p>
        </w:tc>
        <w:tc>
          <w:tcPr>
            <w:tcW w:w="120" w:type="dxa"/>
            <w:vAlign w:val="bottom"/>
            <w:tcBorders>
              <w:bottom w:val="single" w:sz="8" w:color="CCEEFF"/>
            </w:tcBorders>
          </w:tcPr>
          <w:p>
            <w:pPr>
              <w:spacing w:after="0"/>
              <w:rPr>
                <w:sz w:val="13"/>
                <w:szCs w:val="13"/>
                <w:color w:val="auto"/>
              </w:rPr>
            </w:pPr>
          </w:p>
        </w:tc>
      </w:tr>
      <w:tr>
        <w:trPr>
          <w:trHeight w:val="138"/>
        </w:trPr>
        <w:tc>
          <w:tcPr>
            <w:tcW w:w="3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Fee income</w:t>
            </w: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775,805</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862,411</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876,391</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70"/>
              <w:spacing w:after="0" w:line="138" w:lineRule="exact"/>
              <w:rPr>
                <w:sz w:val="20"/>
                <w:szCs w:val="20"/>
                <w:color w:val="auto"/>
              </w:rPr>
            </w:pPr>
            <w:r>
              <w:rPr>
                <w:rFonts w:ascii="Arial" w:cs="Arial" w:eastAsia="Arial" w:hAnsi="Arial"/>
                <w:sz w:val="14"/>
                <w:szCs w:val="14"/>
                <w:color w:val="auto"/>
              </w:rPr>
              <w:t>1.6%</w:t>
            </w:r>
          </w:p>
        </w:tc>
        <w:tc>
          <w:tcPr>
            <w:tcW w:w="2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70"/>
              <w:spacing w:after="0" w:line="138" w:lineRule="exact"/>
              <w:rPr>
                <w:sz w:val="20"/>
                <w:szCs w:val="20"/>
                <w:color w:val="auto"/>
              </w:rPr>
            </w:pPr>
            <w:r>
              <w:rPr>
                <w:rFonts w:ascii="Arial" w:cs="Arial" w:eastAsia="Arial" w:hAnsi="Arial"/>
                <w:sz w:val="14"/>
                <w:szCs w:val="14"/>
                <w:color w:val="auto"/>
              </w:rPr>
              <w:t>13.0%</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2,039,622</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2,569,573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26.0%</w:t>
            </w:r>
          </w:p>
        </w:tc>
      </w:tr>
      <w:tr>
        <w:trPr>
          <w:trHeight w:val="144"/>
        </w:trPr>
        <w:tc>
          <w:tcPr>
            <w:tcW w:w="3560" w:type="dxa"/>
            <w:vAlign w:val="bottom"/>
            <w:gridSpan w:val="2"/>
          </w:tcPr>
          <w:p>
            <w:pPr>
              <w:spacing w:after="0" w:line="145" w:lineRule="exact"/>
              <w:rPr>
                <w:sz w:val="20"/>
                <w:szCs w:val="20"/>
                <w:color w:val="auto"/>
              </w:rPr>
            </w:pPr>
            <w:r>
              <w:rPr>
                <w:rFonts w:ascii="Arial" w:cs="Arial" w:eastAsia="Arial" w:hAnsi="Arial"/>
                <w:sz w:val="14"/>
                <w:szCs w:val="14"/>
                <w:color w:val="auto"/>
              </w:rPr>
              <w:t>Net gain on foreign exchange transactions</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155,028</w:t>
            </w:r>
          </w:p>
        </w:tc>
        <w:tc>
          <w:tcPr>
            <w:tcW w:w="8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232,668</w:t>
            </w:r>
          </w:p>
        </w:tc>
        <w:tc>
          <w:tcPr>
            <w:tcW w:w="100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238,886</w:t>
            </w:r>
          </w:p>
        </w:tc>
        <w:tc>
          <w:tcPr>
            <w:tcW w:w="900" w:type="dxa"/>
            <w:vAlign w:val="bottom"/>
            <w:gridSpan w:val="2"/>
          </w:tcPr>
          <w:p>
            <w:pPr>
              <w:jc w:val="right"/>
              <w:ind w:right="70"/>
              <w:spacing w:after="0" w:line="145" w:lineRule="exact"/>
              <w:rPr>
                <w:sz w:val="20"/>
                <w:szCs w:val="20"/>
                <w:color w:val="auto"/>
              </w:rPr>
            </w:pPr>
            <w:r>
              <w:rPr>
                <w:rFonts w:ascii="Arial" w:cs="Arial" w:eastAsia="Arial" w:hAnsi="Arial"/>
                <w:sz w:val="14"/>
                <w:szCs w:val="14"/>
                <w:color w:val="auto"/>
              </w:rPr>
              <w:t>2.7%</w:t>
            </w:r>
          </w:p>
        </w:tc>
        <w:tc>
          <w:tcPr>
            <w:tcW w:w="240" w:type="dxa"/>
            <w:vAlign w:val="bottom"/>
          </w:tcPr>
          <w:p>
            <w:pPr>
              <w:spacing w:after="0"/>
              <w:rPr>
                <w:sz w:val="12"/>
                <w:szCs w:val="12"/>
                <w:color w:val="auto"/>
              </w:rPr>
            </w:pPr>
          </w:p>
        </w:tc>
        <w:tc>
          <w:tcPr>
            <w:tcW w:w="780" w:type="dxa"/>
            <w:vAlign w:val="bottom"/>
            <w:gridSpan w:val="2"/>
          </w:tcPr>
          <w:p>
            <w:pPr>
              <w:jc w:val="right"/>
              <w:ind w:right="70"/>
              <w:spacing w:after="0" w:line="145" w:lineRule="exact"/>
              <w:rPr>
                <w:sz w:val="20"/>
                <w:szCs w:val="20"/>
                <w:color w:val="auto"/>
              </w:rPr>
            </w:pPr>
            <w:r>
              <w:rPr>
                <w:rFonts w:ascii="Arial" w:cs="Arial" w:eastAsia="Arial" w:hAnsi="Arial"/>
                <w:sz w:val="14"/>
                <w:szCs w:val="14"/>
                <w:color w:val="auto"/>
              </w:rPr>
              <w:t>54.1%</w:t>
            </w:r>
          </w:p>
        </w:tc>
        <w:tc>
          <w:tcPr>
            <w:tcW w:w="680" w:type="dxa"/>
            <w:vAlign w:val="bottom"/>
          </w:tcPr>
          <w:p>
            <w:pPr>
              <w:jc w:val="right"/>
              <w:spacing w:after="0" w:line="145" w:lineRule="exact"/>
              <w:rPr>
                <w:sz w:val="20"/>
                <w:szCs w:val="20"/>
                <w:color w:val="auto"/>
              </w:rPr>
            </w:pPr>
            <w:r>
              <w:rPr>
                <w:rFonts w:ascii="Arial" w:cs="Arial" w:eastAsia="Arial" w:hAnsi="Arial"/>
                <w:sz w:val="14"/>
                <w:szCs w:val="14"/>
                <w:color w:val="auto"/>
              </w:rPr>
              <w:t>471,319</w:t>
            </w:r>
          </w:p>
        </w:tc>
        <w:tc>
          <w:tcPr>
            <w:tcW w:w="1100" w:type="dxa"/>
            <w:vAlign w:val="bottom"/>
            <w:gridSpan w:val="3"/>
          </w:tcPr>
          <w:p>
            <w:pPr>
              <w:jc w:val="right"/>
              <w:ind w:right="120"/>
              <w:spacing w:after="0" w:line="145" w:lineRule="exact"/>
              <w:rPr>
                <w:sz w:val="20"/>
                <w:szCs w:val="20"/>
                <w:color w:val="auto"/>
              </w:rPr>
            </w:pPr>
            <w:r>
              <w:rPr>
                <w:rFonts w:ascii="Arial" w:cs="Arial" w:eastAsia="Arial" w:hAnsi="Arial"/>
                <w:sz w:val="14"/>
                <w:szCs w:val="14"/>
                <w:color w:val="auto"/>
              </w:rPr>
              <w:t>651,443</w:t>
            </w:r>
          </w:p>
        </w:tc>
        <w:tc>
          <w:tcPr>
            <w:tcW w:w="1120" w:type="dxa"/>
            <w:vAlign w:val="bottom"/>
            <w:gridSpan w:val="3"/>
          </w:tcPr>
          <w:p>
            <w:pPr>
              <w:jc w:val="right"/>
              <w:spacing w:after="0" w:line="145" w:lineRule="exact"/>
              <w:rPr>
                <w:sz w:val="20"/>
                <w:szCs w:val="20"/>
                <w:color w:val="auto"/>
              </w:rPr>
            </w:pPr>
            <w:r>
              <w:rPr>
                <w:rFonts w:ascii="Arial" w:cs="Arial" w:eastAsia="Arial" w:hAnsi="Arial"/>
                <w:sz w:val="14"/>
                <w:szCs w:val="14"/>
                <w:color w:val="auto"/>
              </w:rPr>
              <w:t>38.2%</w:t>
            </w:r>
          </w:p>
        </w:tc>
      </w:tr>
      <w:tr>
        <w:trPr>
          <w:trHeight w:val="144"/>
        </w:trPr>
        <w:tc>
          <w:tcPr>
            <w:tcW w:w="356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Net gain on securities</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135,957</w:t>
            </w:r>
          </w:p>
        </w:tc>
        <w:tc>
          <w:tcPr>
            <w:tcW w:w="8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(69,947)</w:t>
            </w:r>
          </w:p>
        </w:tc>
        <w:tc>
          <w:tcPr>
            <w:tcW w:w="10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5,739</w:t>
            </w:r>
          </w:p>
        </w:tc>
        <w:tc>
          <w:tcPr>
            <w:tcW w:w="90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-108.2%</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-95.8%</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295,887</w:t>
            </w:r>
          </w:p>
        </w:tc>
        <w:tc>
          <w:tcPr>
            <w:tcW w:w="1100" w:type="dxa"/>
            <w:vAlign w:val="bottom"/>
            <w:gridSpan w:val="3"/>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(47,921)</w:t>
            </w:r>
          </w:p>
        </w:tc>
        <w:tc>
          <w:tcPr>
            <w:tcW w:w="1120" w:type="dxa"/>
            <w:vAlign w:val="bottom"/>
            <w:gridSpan w:val="3"/>
            <w:shd w:val="clear" w:color="auto" w:fill="CCEEFF"/>
          </w:tcPr>
          <w:p>
            <w:pPr>
              <w:jc w:val="right"/>
              <w:spacing w:after="0" w:line="145" w:lineRule="exact"/>
              <w:rPr>
                <w:sz w:val="20"/>
                <w:szCs w:val="20"/>
                <w:color w:val="auto"/>
              </w:rPr>
            </w:pPr>
            <w:r>
              <w:rPr>
                <w:rFonts w:ascii="Arial" w:cs="Arial" w:eastAsia="Arial" w:hAnsi="Arial"/>
                <w:sz w:val="14"/>
                <w:szCs w:val="14"/>
                <w:color w:val="auto"/>
              </w:rPr>
              <w:t>-116.2%</w:t>
            </w:r>
          </w:p>
        </w:tc>
      </w:tr>
      <w:tr>
        <w:trPr>
          <w:trHeight w:val="184"/>
        </w:trPr>
        <w:tc>
          <w:tcPr>
            <w:tcW w:w="3560" w:type="dxa"/>
            <w:vAlign w:val="bottom"/>
            <w:gridSpan w:val="2"/>
          </w:tcPr>
          <w:p>
            <w:pPr>
              <w:spacing w:after="0" w:line="184" w:lineRule="exact"/>
              <w:rPr>
                <w:sz w:val="20"/>
                <w:szCs w:val="20"/>
                <w:color w:val="auto"/>
              </w:rPr>
            </w:pPr>
            <w:r>
              <w:rPr>
                <w:rFonts w:ascii="Arial" w:cs="Arial" w:eastAsia="Arial" w:hAnsi="Arial"/>
                <w:sz w:val="13"/>
                <w:szCs w:val="13"/>
                <w:color w:val="auto"/>
              </w:rPr>
              <w:t xml:space="preserve">Net gain from associates </w:t>
            </w:r>
            <w:r>
              <w:rPr>
                <w:rFonts w:ascii="Arial" w:cs="Arial" w:eastAsia="Arial" w:hAnsi="Arial"/>
                <w:sz w:val="21"/>
                <w:szCs w:val="21"/>
                <w:color w:val="auto"/>
                <w:vertAlign w:val="superscript"/>
              </w:rPr>
              <w:t>(1)</w:t>
            </w:r>
          </w:p>
        </w:tc>
        <w:tc>
          <w:tcPr>
            <w:tcW w:w="780" w:type="dxa"/>
            <w:vAlign w:val="bottom"/>
          </w:tcPr>
          <w:p>
            <w:pPr>
              <w:jc w:val="right"/>
              <w:spacing w:after="0"/>
              <w:rPr>
                <w:sz w:val="20"/>
                <w:szCs w:val="20"/>
                <w:color w:val="auto"/>
              </w:rPr>
            </w:pPr>
            <w:r>
              <w:rPr>
                <w:rFonts w:ascii="Arial" w:cs="Arial" w:eastAsia="Arial" w:hAnsi="Arial"/>
                <w:sz w:val="14"/>
                <w:szCs w:val="14"/>
                <w:color w:val="auto"/>
              </w:rPr>
              <w:t>11,245</w:t>
            </w:r>
          </w:p>
        </w:tc>
        <w:tc>
          <w:tcPr>
            <w:tcW w:w="2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12,302</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19,090</w:t>
            </w:r>
          </w:p>
        </w:tc>
        <w:tc>
          <w:tcPr>
            <w:tcW w:w="900" w:type="dxa"/>
            <w:vAlign w:val="bottom"/>
            <w:gridSpan w:val="2"/>
          </w:tcPr>
          <w:p>
            <w:pPr>
              <w:jc w:val="right"/>
              <w:ind w:right="70"/>
              <w:spacing w:after="0"/>
              <w:rPr>
                <w:sz w:val="20"/>
                <w:szCs w:val="20"/>
                <w:color w:val="auto"/>
              </w:rPr>
            </w:pPr>
            <w:r>
              <w:rPr>
                <w:rFonts w:ascii="Arial" w:cs="Arial" w:eastAsia="Arial" w:hAnsi="Arial"/>
                <w:sz w:val="14"/>
                <w:szCs w:val="14"/>
                <w:color w:val="auto"/>
              </w:rPr>
              <w:t>55.2%</w:t>
            </w:r>
          </w:p>
        </w:tc>
        <w:tc>
          <w:tcPr>
            <w:tcW w:w="240" w:type="dxa"/>
            <w:vAlign w:val="bottom"/>
          </w:tcPr>
          <w:p>
            <w:pPr>
              <w:spacing w:after="0"/>
              <w:rPr>
                <w:sz w:val="15"/>
                <w:szCs w:val="15"/>
                <w:color w:val="auto"/>
              </w:rPr>
            </w:pPr>
          </w:p>
        </w:tc>
        <w:tc>
          <w:tcPr>
            <w:tcW w:w="780" w:type="dxa"/>
            <w:vAlign w:val="bottom"/>
            <w:gridSpan w:val="2"/>
          </w:tcPr>
          <w:p>
            <w:pPr>
              <w:jc w:val="right"/>
              <w:ind w:right="70"/>
              <w:spacing w:after="0"/>
              <w:rPr>
                <w:sz w:val="20"/>
                <w:szCs w:val="20"/>
                <w:color w:val="auto"/>
              </w:rPr>
            </w:pPr>
            <w:r>
              <w:rPr>
                <w:rFonts w:ascii="Arial" w:cs="Arial" w:eastAsia="Arial" w:hAnsi="Arial"/>
                <w:sz w:val="14"/>
                <w:szCs w:val="14"/>
                <w:color w:val="auto"/>
              </w:rPr>
              <w:t>69.8%</w:t>
            </w:r>
          </w:p>
        </w:tc>
        <w:tc>
          <w:tcPr>
            <w:tcW w:w="680" w:type="dxa"/>
            <w:vAlign w:val="bottom"/>
          </w:tcPr>
          <w:p>
            <w:pPr>
              <w:jc w:val="right"/>
              <w:spacing w:after="0"/>
              <w:rPr>
                <w:sz w:val="20"/>
                <w:szCs w:val="20"/>
                <w:color w:val="auto"/>
              </w:rPr>
            </w:pPr>
            <w:r>
              <w:rPr>
                <w:rFonts w:ascii="Arial" w:cs="Arial" w:eastAsia="Arial" w:hAnsi="Arial"/>
                <w:sz w:val="14"/>
                <w:szCs w:val="14"/>
                <w:color w:val="auto"/>
              </w:rPr>
              <w:t>45,376</w:t>
            </w:r>
          </w:p>
        </w:tc>
        <w:tc>
          <w:tcPr>
            <w:tcW w:w="1100" w:type="dxa"/>
            <w:vAlign w:val="bottom"/>
            <w:gridSpan w:val="3"/>
          </w:tcPr>
          <w:p>
            <w:pPr>
              <w:jc w:val="right"/>
              <w:ind w:right="120"/>
              <w:spacing w:after="0"/>
              <w:rPr>
                <w:sz w:val="20"/>
                <w:szCs w:val="20"/>
                <w:color w:val="auto"/>
              </w:rPr>
            </w:pPr>
            <w:r>
              <w:rPr>
                <w:rFonts w:ascii="Arial" w:cs="Arial" w:eastAsia="Arial" w:hAnsi="Arial"/>
                <w:sz w:val="14"/>
                <w:szCs w:val="14"/>
                <w:color w:val="auto"/>
              </w:rPr>
              <w:t>60,797</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34.0%</w:t>
            </w:r>
          </w:p>
        </w:tc>
      </w:tr>
      <w:tr>
        <w:trPr>
          <w:trHeight w:val="144"/>
        </w:trPr>
        <w:tc>
          <w:tcPr>
            <w:tcW w:w="356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Net gain on derivatives held for trading</w:t>
            </w:r>
          </w:p>
        </w:tc>
        <w:tc>
          <w:tcPr>
            <w:tcW w:w="9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(21,297)</w:t>
            </w:r>
          </w:p>
        </w:tc>
        <w:tc>
          <w:tcPr>
            <w:tcW w:w="8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45,413</w:t>
            </w:r>
          </w:p>
        </w:tc>
        <w:tc>
          <w:tcPr>
            <w:tcW w:w="10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43,086</w:t>
            </w:r>
          </w:p>
        </w:tc>
        <w:tc>
          <w:tcPr>
            <w:tcW w:w="90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-5.1%</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70"/>
              <w:spacing w:after="0" w:line="145" w:lineRule="exact"/>
              <w:rPr>
                <w:sz w:val="20"/>
                <w:szCs w:val="20"/>
                <w:color w:val="auto"/>
              </w:rPr>
            </w:pPr>
            <w:r>
              <w:rPr>
                <w:rFonts w:ascii="Arial" w:cs="Arial" w:eastAsia="Arial" w:hAnsi="Arial"/>
                <w:sz w:val="14"/>
                <w:szCs w:val="14"/>
                <w:color w:val="auto"/>
              </w:rPr>
              <w:t>n.a.</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22,491</w:t>
            </w:r>
          </w:p>
        </w:tc>
        <w:tc>
          <w:tcPr>
            <w:tcW w:w="1100" w:type="dxa"/>
            <w:vAlign w:val="bottom"/>
            <w:gridSpan w:val="3"/>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158,222</w:t>
            </w:r>
          </w:p>
        </w:tc>
        <w:tc>
          <w:tcPr>
            <w:tcW w:w="1120" w:type="dxa"/>
            <w:vAlign w:val="bottom"/>
            <w:gridSpan w:val="3"/>
            <w:shd w:val="clear" w:color="auto" w:fill="CCEEFF"/>
          </w:tcPr>
          <w:p>
            <w:pPr>
              <w:jc w:val="right"/>
              <w:spacing w:after="0" w:line="145" w:lineRule="exact"/>
              <w:rPr>
                <w:sz w:val="20"/>
                <w:szCs w:val="20"/>
                <w:color w:val="auto"/>
              </w:rPr>
            </w:pPr>
            <w:r>
              <w:rPr>
                <w:rFonts w:ascii="Arial" w:cs="Arial" w:eastAsia="Arial" w:hAnsi="Arial"/>
                <w:sz w:val="14"/>
                <w:szCs w:val="14"/>
                <w:color w:val="auto"/>
              </w:rPr>
              <w:t>603.5%</w:t>
            </w:r>
          </w:p>
        </w:tc>
      </w:tr>
      <w:tr>
        <w:trPr>
          <w:trHeight w:val="144"/>
        </w:trPr>
        <w:tc>
          <w:tcPr>
            <w:tcW w:w="3560" w:type="dxa"/>
            <w:vAlign w:val="bottom"/>
            <w:gridSpan w:val="2"/>
          </w:tcPr>
          <w:p>
            <w:pPr>
              <w:spacing w:after="0" w:line="145" w:lineRule="exact"/>
              <w:rPr>
                <w:sz w:val="20"/>
                <w:szCs w:val="20"/>
                <w:color w:val="auto"/>
              </w:rPr>
            </w:pPr>
            <w:r>
              <w:rPr>
                <w:rFonts w:ascii="Arial" w:cs="Arial" w:eastAsia="Arial" w:hAnsi="Arial"/>
                <w:sz w:val="14"/>
                <w:szCs w:val="14"/>
                <w:color w:val="auto"/>
              </w:rPr>
              <w:t>Net gain from exchange differences</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6,530</w:t>
            </w:r>
          </w:p>
        </w:tc>
        <w:tc>
          <w:tcPr>
            <w:tcW w:w="8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45,924</w:t>
            </w:r>
          </w:p>
        </w:tc>
        <w:tc>
          <w:tcPr>
            <w:tcW w:w="100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3,233</w:t>
            </w:r>
          </w:p>
        </w:tc>
        <w:tc>
          <w:tcPr>
            <w:tcW w:w="900" w:type="dxa"/>
            <w:vAlign w:val="bottom"/>
            <w:gridSpan w:val="2"/>
          </w:tcPr>
          <w:p>
            <w:pPr>
              <w:jc w:val="right"/>
              <w:ind w:right="70"/>
              <w:spacing w:after="0" w:line="145" w:lineRule="exact"/>
              <w:rPr>
                <w:sz w:val="20"/>
                <w:szCs w:val="20"/>
                <w:color w:val="auto"/>
              </w:rPr>
            </w:pPr>
            <w:r>
              <w:rPr>
                <w:rFonts w:ascii="Arial" w:cs="Arial" w:eastAsia="Arial" w:hAnsi="Arial"/>
                <w:sz w:val="14"/>
                <w:szCs w:val="14"/>
                <w:color w:val="auto"/>
              </w:rPr>
              <w:t>-93.0%</w:t>
            </w:r>
          </w:p>
        </w:tc>
        <w:tc>
          <w:tcPr>
            <w:tcW w:w="240" w:type="dxa"/>
            <w:vAlign w:val="bottom"/>
          </w:tcPr>
          <w:p>
            <w:pPr>
              <w:spacing w:after="0"/>
              <w:rPr>
                <w:sz w:val="12"/>
                <w:szCs w:val="12"/>
                <w:color w:val="auto"/>
              </w:rPr>
            </w:pPr>
          </w:p>
        </w:tc>
        <w:tc>
          <w:tcPr>
            <w:tcW w:w="780" w:type="dxa"/>
            <w:vAlign w:val="bottom"/>
            <w:gridSpan w:val="2"/>
          </w:tcPr>
          <w:p>
            <w:pPr>
              <w:jc w:val="right"/>
              <w:ind w:right="70"/>
              <w:spacing w:after="0" w:line="145" w:lineRule="exact"/>
              <w:rPr>
                <w:sz w:val="20"/>
                <w:szCs w:val="20"/>
                <w:color w:val="auto"/>
              </w:rPr>
            </w:pPr>
            <w:r>
              <w:rPr>
                <w:rFonts w:ascii="Arial" w:cs="Arial" w:eastAsia="Arial" w:hAnsi="Arial"/>
                <w:sz w:val="14"/>
                <w:szCs w:val="14"/>
                <w:color w:val="auto"/>
              </w:rPr>
              <w:t>-50.5%</w:t>
            </w:r>
          </w:p>
        </w:tc>
        <w:tc>
          <w:tcPr>
            <w:tcW w:w="680" w:type="dxa"/>
            <w:vAlign w:val="bottom"/>
          </w:tcPr>
          <w:p>
            <w:pPr>
              <w:jc w:val="right"/>
              <w:spacing w:after="0" w:line="145" w:lineRule="exact"/>
              <w:rPr>
                <w:sz w:val="20"/>
                <w:szCs w:val="20"/>
                <w:color w:val="auto"/>
              </w:rPr>
            </w:pPr>
            <w:r>
              <w:rPr>
                <w:rFonts w:ascii="Arial" w:cs="Arial" w:eastAsia="Arial" w:hAnsi="Arial"/>
                <w:sz w:val="14"/>
                <w:szCs w:val="14"/>
                <w:color w:val="auto"/>
              </w:rPr>
              <w:t>9,526</w:t>
            </w:r>
          </w:p>
        </w:tc>
        <w:tc>
          <w:tcPr>
            <w:tcW w:w="1100" w:type="dxa"/>
            <w:vAlign w:val="bottom"/>
            <w:gridSpan w:val="3"/>
          </w:tcPr>
          <w:p>
            <w:pPr>
              <w:jc w:val="right"/>
              <w:ind w:right="120"/>
              <w:spacing w:after="0" w:line="145" w:lineRule="exact"/>
              <w:rPr>
                <w:sz w:val="20"/>
                <w:szCs w:val="20"/>
                <w:color w:val="auto"/>
              </w:rPr>
            </w:pPr>
            <w:r>
              <w:rPr>
                <w:rFonts w:ascii="Arial" w:cs="Arial" w:eastAsia="Arial" w:hAnsi="Arial"/>
                <w:sz w:val="14"/>
                <w:szCs w:val="14"/>
                <w:color w:val="auto"/>
              </w:rPr>
              <w:t>43,621</w:t>
            </w:r>
          </w:p>
        </w:tc>
        <w:tc>
          <w:tcPr>
            <w:tcW w:w="1120" w:type="dxa"/>
            <w:vAlign w:val="bottom"/>
            <w:gridSpan w:val="3"/>
          </w:tcPr>
          <w:p>
            <w:pPr>
              <w:jc w:val="right"/>
              <w:spacing w:after="0" w:line="145" w:lineRule="exact"/>
              <w:rPr>
                <w:sz w:val="20"/>
                <w:szCs w:val="20"/>
                <w:color w:val="auto"/>
              </w:rPr>
            </w:pPr>
            <w:r>
              <w:rPr>
                <w:rFonts w:ascii="Arial" w:cs="Arial" w:eastAsia="Arial" w:hAnsi="Arial"/>
                <w:sz w:val="14"/>
                <w:szCs w:val="14"/>
                <w:color w:val="auto"/>
              </w:rPr>
              <w:t>357.9%</w:t>
            </w:r>
          </w:p>
        </w:tc>
      </w:tr>
      <w:tr>
        <w:trPr>
          <w:trHeight w:val="158"/>
        </w:trPr>
        <w:tc>
          <w:tcPr>
            <w:tcW w:w="356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Other non-financial income</w:t>
            </w:r>
          </w:p>
        </w:tc>
        <w:tc>
          <w:tcPr>
            <w:tcW w:w="98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39,498</w:t>
            </w:r>
          </w:p>
        </w:tc>
        <w:tc>
          <w:tcPr>
            <w:tcW w:w="88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62,923</w:t>
            </w:r>
          </w:p>
        </w:tc>
        <w:tc>
          <w:tcPr>
            <w:tcW w:w="100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52,258</w:t>
            </w:r>
          </w:p>
        </w:tc>
        <w:tc>
          <w:tcPr>
            <w:tcW w:w="900" w:type="dxa"/>
            <w:vAlign w:val="bottom"/>
            <w:gridSpan w:val="2"/>
            <w:shd w:val="clear" w:color="auto" w:fill="CCEEFF"/>
          </w:tcPr>
          <w:p>
            <w:pPr>
              <w:jc w:val="right"/>
              <w:ind w:right="70"/>
              <w:spacing w:after="0" w:line="157" w:lineRule="exact"/>
              <w:rPr>
                <w:sz w:val="20"/>
                <w:szCs w:val="20"/>
                <w:color w:val="auto"/>
              </w:rPr>
            </w:pPr>
            <w:r>
              <w:rPr>
                <w:rFonts w:ascii="Arial" w:cs="Arial" w:eastAsia="Arial" w:hAnsi="Arial"/>
                <w:sz w:val="14"/>
                <w:szCs w:val="14"/>
                <w:color w:val="auto"/>
              </w:rPr>
              <w:t>-16.9%</w:t>
            </w:r>
          </w:p>
        </w:tc>
        <w:tc>
          <w:tcPr>
            <w:tcW w:w="2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70"/>
              <w:spacing w:after="0" w:line="157" w:lineRule="exact"/>
              <w:rPr>
                <w:sz w:val="20"/>
                <w:szCs w:val="20"/>
                <w:color w:val="auto"/>
              </w:rPr>
            </w:pPr>
            <w:r>
              <w:rPr>
                <w:rFonts w:ascii="Arial" w:cs="Arial" w:eastAsia="Arial" w:hAnsi="Arial"/>
                <w:sz w:val="14"/>
                <w:szCs w:val="14"/>
                <w:color w:val="auto"/>
              </w:rPr>
              <w:t>32.3%</w:t>
            </w: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192,463</w:t>
            </w:r>
          </w:p>
        </w:tc>
        <w:tc>
          <w:tcPr>
            <w:tcW w:w="1100" w:type="dxa"/>
            <w:vAlign w:val="bottom"/>
            <w:gridSpan w:val="3"/>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189,172</w:t>
            </w:r>
          </w:p>
        </w:tc>
        <w:tc>
          <w:tcPr>
            <w:tcW w:w="1120" w:type="dxa"/>
            <w:vAlign w:val="bottom"/>
            <w:gridSpan w:val="3"/>
            <w:shd w:val="clear" w:color="auto" w:fill="CCEEFF"/>
          </w:tcPr>
          <w:p>
            <w:pPr>
              <w:jc w:val="right"/>
              <w:spacing w:after="0" w:line="157" w:lineRule="exact"/>
              <w:rPr>
                <w:sz w:val="20"/>
                <w:szCs w:val="20"/>
                <w:color w:val="auto"/>
              </w:rPr>
            </w:pPr>
            <w:r>
              <w:rPr>
                <w:rFonts w:ascii="Arial" w:cs="Arial" w:eastAsia="Arial" w:hAnsi="Arial"/>
                <w:sz w:val="14"/>
                <w:szCs w:val="14"/>
                <w:color w:val="auto"/>
              </w:rPr>
              <w:t>-1.7%</w:t>
            </w:r>
          </w:p>
        </w:tc>
      </w:tr>
      <w:tr>
        <w:trPr>
          <w:trHeight w:val="138"/>
        </w:trPr>
        <w:tc>
          <w:tcPr>
            <w:tcW w:w="3560" w:type="dxa"/>
            <w:vAlign w:val="bottom"/>
            <w:gridSpan w:val="2"/>
          </w:tcPr>
          <w:p>
            <w:pPr>
              <w:spacing w:after="0" w:line="138" w:lineRule="exact"/>
              <w:rPr>
                <w:sz w:val="20"/>
                <w:szCs w:val="20"/>
                <w:color w:val="auto"/>
              </w:rPr>
            </w:pPr>
            <w:r>
              <w:rPr>
                <w:rFonts w:ascii="Arial" w:cs="Arial" w:eastAsia="Arial" w:hAnsi="Arial"/>
                <w:sz w:val="14"/>
                <w:szCs w:val="14"/>
                <w:b w:val="1"/>
                <w:bCs w:val="1"/>
                <w:color w:val="auto"/>
              </w:rPr>
              <w:t>Total non-financial income, net</w:t>
            </w:r>
          </w:p>
        </w:tc>
        <w:tc>
          <w:tcPr>
            <w:tcW w:w="7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rPr>
              <w:t>1,102,766</w:t>
            </w:r>
          </w:p>
        </w:tc>
        <w:tc>
          <w:tcPr>
            <w:tcW w:w="200" w:type="dxa"/>
            <w:vAlign w:val="bottom"/>
          </w:tcPr>
          <w:p>
            <w:pPr>
              <w:spacing w:after="0"/>
              <w:rPr>
                <w:sz w:val="11"/>
                <w:szCs w:val="11"/>
                <w:color w:val="auto"/>
              </w:rPr>
            </w:pPr>
          </w:p>
        </w:tc>
        <w:tc>
          <w:tcPr>
            <w:tcW w:w="6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rPr>
              <w:t>1,191,694</w:t>
            </w:r>
          </w:p>
        </w:tc>
        <w:tc>
          <w:tcPr>
            <w:tcW w:w="200" w:type="dxa"/>
            <w:vAlign w:val="bottom"/>
          </w:tcPr>
          <w:p>
            <w:pPr>
              <w:spacing w:after="0"/>
              <w:rPr>
                <w:sz w:val="11"/>
                <w:szCs w:val="11"/>
                <w:color w:val="auto"/>
              </w:rPr>
            </w:pPr>
          </w:p>
        </w:tc>
        <w:tc>
          <w:tcPr>
            <w:tcW w:w="7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rPr>
              <w:t>1,238,683</w:t>
            </w:r>
          </w:p>
        </w:tc>
        <w:tc>
          <w:tcPr>
            <w:tcW w:w="220" w:type="dxa"/>
            <w:vAlign w:val="bottom"/>
          </w:tcPr>
          <w:p>
            <w:pPr>
              <w:spacing w:after="0"/>
              <w:rPr>
                <w:sz w:val="11"/>
                <w:szCs w:val="11"/>
                <w:color w:val="auto"/>
              </w:rPr>
            </w:pPr>
          </w:p>
        </w:tc>
        <w:tc>
          <w:tcPr>
            <w:tcW w:w="6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rPr>
              <w:t>3.9</w:t>
            </w:r>
          </w:p>
        </w:tc>
        <w:tc>
          <w:tcPr>
            <w:tcW w:w="260" w:type="dxa"/>
            <w:vAlign w:val="bottom"/>
          </w:tcPr>
          <w:p>
            <w:pPr>
              <w:jc w:val="right"/>
              <w:ind w:right="50"/>
              <w:spacing w:after="0" w:line="138"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rPr>
              <w:t>12.3</w:t>
            </w:r>
          </w:p>
        </w:tc>
        <w:tc>
          <w:tcPr>
            <w:tcW w:w="240" w:type="dxa"/>
            <w:vAlign w:val="bottom"/>
          </w:tcPr>
          <w:p>
            <w:pPr>
              <w:jc w:val="right"/>
              <w:ind w:right="30"/>
              <w:spacing w:after="0" w:line="138" w:lineRule="exact"/>
              <w:rPr>
                <w:sz w:val="20"/>
                <w:szCs w:val="20"/>
                <w:color w:val="auto"/>
              </w:rPr>
            </w:pPr>
            <w:r>
              <w:rPr>
                <w:rFonts w:ascii="Arial" w:cs="Arial" w:eastAsia="Arial" w:hAnsi="Arial"/>
                <w:sz w:val="14"/>
                <w:szCs w:val="14"/>
                <w:b w:val="1"/>
                <w:bCs w:val="1"/>
                <w:color w:val="auto"/>
                <w:w w:val="96"/>
              </w:rPr>
              <w:t>%</w:t>
            </w:r>
          </w:p>
        </w:tc>
        <w:tc>
          <w:tcPr>
            <w:tcW w:w="6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rPr>
              <w:t>3,076,684</w:t>
            </w:r>
          </w:p>
        </w:tc>
        <w:tc>
          <w:tcPr>
            <w:tcW w:w="200" w:type="dxa"/>
            <w:vAlign w:val="bottom"/>
          </w:tcPr>
          <w:p>
            <w:pPr>
              <w:spacing w:after="0"/>
              <w:rPr>
                <w:sz w:val="11"/>
                <w:szCs w:val="11"/>
                <w:color w:val="auto"/>
              </w:rPr>
            </w:pPr>
          </w:p>
        </w:tc>
        <w:tc>
          <w:tcPr>
            <w:tcW w:w="7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rPr>
              <w:t>3,624,907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rPr>
              <w:t>17.8</w:t>
            </w:r>
          </w:p>
        </w:tc>
        <w:tc>
          <w:tcPr>
            <w:tcW w:w="120" w:type="dxa"/>
            <w:vAlign w:val="bottom"/>
          </w:tcPr>
          <w:p>
            <w:pPr>
              <w:jc w:val="right"/>
              <w:spacing w:after="0" w:line="138" w:lineRule="exact"/>
              <w:rPr>
                <w:sz w:val="20"/>
                <w:szCs w:val="20"/>
                <w:color w:val="auto"/>
              </w:rPr>
            </w:pPr>
            <w:r>
              <w:rPr>
                <w:rFonts w:ascii="Arial" w:cs="Arial" w:eastAsia="Arial" w:hAnsi="Arial"/>
                <w:sz w:val="14"/>
                <w:szCs w:val="14"/>
                <w:b w:val="1"/>
                <w:bCs w:val="1"/>
                <w:color w:val="auto"/>
                <w:w w:val="79"/>
              </w:rPr>
              <w:t>%</w:t>
            </w:r>
          </w:p>
        </w:tc>
      </w:tr>
      <w:tr>
        <w:trPr>
          <w:trHeight w:val="20"/>
        </w:trPr>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7" w:lineRule="exact"/>
        <w:rPr>
          <w:sz w:val="20"/>
          <w:szCs w:val="20"/>
          <w:color w:val="auto"/>
        </w:rPr>
      </w:pPr>
    </w:p>
    <w:p>
      <w:pPr>
        <w:ind w:left="240" w:hanging="235"/>
        <w:spacing w:after="0"/>
        <w:tabs>
          <w:tab w:leader="none" w:pos="2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gains on other investments, mainly made up of the profit of Banmedica.</w:t>
      </w:r>
    </w:p>
    <w:p>
      <w:pPr>
        <w:ind w:left="240" w:hanging="235"/>
        <w:spacing w:after="0"/>
        <w:tabs>
          <w:tab w:leader="none" w:pos="2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3Q20 Figures differ from what was previously reported by reclassification of IFRS16.</w:t>
      </w:r>
    </w:p>
    <w:p>
      <w:pPr>
        <w:spacing w:after="0" w:line="208" w:lineRule="exact"/>
        <w:rPr>
          <w:sz w:val="20"/>
          <w:szCs w:val="20"/>
          <w:color w:val="auto"/>
        </w:rPr>
      </w:pPr>
    </w:p>
    <w:p>
      <w:pPr>
        <w:ind w:left="1680"/>
        <w:spacing w:after="0"/>
        <w:tabs>
          <w:tab w:leader="none" w:pos="7380" w:val="left"/>
        </w:tabs>
        <w:rPr>
          <w:sz w:val="20"/>
          <w:szCs w:val="20"/>
          <w:color w:val="auto"/>
        </w:rPr>
      </w:pPr>
      <w:r>
        <w:rPr>
          <w:rFonts w:ascii="Arial" w:cs="Arial" w:eastAsia="Arial" w:hAnsi="Arial"/>
          <w:sz w:val="18"/>
          <w:szCs w:val="18"/>
          <w:b w:val="1"/>
          <w:bCs w:val="1"/>
          <w:color w:val="auto"/>
        </w:rPr>
        <w:t>Evolution of Other income</w:t>
      </w:r>
      <w:r>
        <w:rPr>
          <w:sz w:val="20"/>
          <w:szCs w:val="20"/>
          <w:color w:val="auto"/>
        </w:rPr>
        <w:tab/>
      </w:r>
      <w:r>
        <w:rPr>
          <w:rFonts w:ascii="Arial" w:cs="Arial" w:eastAsia="Arial" w:hAnsi="Arial"/>
          <w:sz w:val="15"/>
          <w:szCs w:val="15"/>
          <w:b w:val="1"/>
          <w:bCs w:val="1"/>
          <w:color w:val="auto"/>
        </w:rPr>
        <w:t>QoQ evolution of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147320</wp:posOffset>
            </wp:positionV>
            <wp:extent cx="6510655" cy="23761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10655" cy="2376170"/>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firstLine="5"/>
        <w:spacing w:after="0" w:line="260" w:lineRule="auto"/>
        <w:tabs>
          <w:tab w:leader="none" w:pos="299"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includes Net gain from associates, Net gain from exchange difference and Other non-financial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60" w:lineRule="auto"/>
        <w:tabs>
          <w:tab w:leader="none" w:pos="263"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Others includes Grupo Crédito, Credicorp Stand-alone, elimination and others.</w:t>
      </w:r>
    </w:p>
    <w:p>
      <w:pPr>
        <w:spacing w:after="0" w:line="176" w:lineRule="exact"/>
        <w:rPr>
          <w:sz w:val="20"/>
          <w:szCs w:val="20"/>
          <w:color w:val="auto"/>
        </w:rPr>
      </w:pPr>
    </w:p>
    <w:p>
      <w:pPr>
        <w:sectPr>
          <w:pgSz w:w="11900" w:h="16838" w:orient="portrait"/>
          <w:cols w:equalWidth="0" w:num="2">
            <w:col w:w="5400" w:space="460"/>
            <w:col w:w="5380"/>
          </w:cols>
          <w:pgMar w:left="320" w:top="1096" w:right="339" w:bottom="1440" w:gutter="0" w:footer="0" w:header="0"/>
          <w:type w:val="continuous"/>
        </w:sectPr>
      </w:pPr>
    </w:p>
    <w:p>
      <w:pPr>
        <w:jc w:val="both"/>
        <w:spacing w:after="0" w:line="250"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w:t>
      </w:r>
      <w:r>
        <w:rPr>
          <w:rFonts w:ascii="Arial" w:cs="Arial" w:eastAsia="Arial" w:hAnsi="Arial"/>
          <w:sz w:val="18"/>
          <w:szCs w:val="18"/>
          <w:color w:val="auto"/>
        </w:rPr>
        <w:t xml:space="preserve"> analysis, </w:t>
      </w:r>
      <w:r>
        <w:rPr>
          <w:rFonts w:ascii="Arial" w:cs="Arial" w:eastAsia="Arial" w:hAnsi="Arial"/>
          <w:sz w:val="18"/>
          <w:szCs w:val="18"/>
          <w:b w:val="1"/>
          <w:bCs w:val="1"/>
          <w:color w:val="auto"/>
        </w:rPr>
        <w:t>core other income</w:t>
      </w:r>
      <w:r>
        <w:rPr>
          <w:rFonts w:ascii="Arial" w:cs="Arial" w:eastAsia="Arial" w:hAnsi="Arial"/>
          <w:sz w:val="18"/>
          <w:szCs w:val="18"/>
          <w:color w:val="auto"/>
        </w:rPr>
        <w:t xml:space="preserve"> was relatively stable, reporting a slight increase of +1.84%. This growth was driven by a marginal increase in </w:t>
      </w:r>
      <w:r>
        <w:rPr>
          <w:rFonts w:ascii="Arial" w:cs="Arial" w:eastAsia="Arial" w:hAnsi="Arial"/>
          <w:sz w:val="18"/>
          <w:szCs w:val="18"/>
          <w:b w:val="1"/>
          <w:bCs w:val="1"/>
          <w:color w:val="auto"/>
        </w:rPr>
        <w:t>Fee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Income </w:t>
      </w:r>
      <w:r>
        <w:rPr>
          <w:rFonts w:ascii="Arial" w:cs="Arial" w:eastAsia="Arial" w:hAnsi="Arial"/>
          <w:sz w:val="18"/>
          <w:szCs w:val="18"/>
          <w:color w:val="auto"/>
        </w:rPr>
        <w:t>in</w:t>
      </w:r>
      <w:r>
        <w:rPr>
          <w:rFonts w:ascii="Arial" w:cs="Arial" w:eastAsia="Arial" w:hAnsi="Arial"/>
          <w:sz w:val="18"/>
          <w:szCs w:val="18"/>
          <w:b w:val="1"/>
          <w:bCs w:val="1"/>
          <w:color w:val="auto"/>
        </w:rPr>
        <w:t xml:space="preserve"> Universal Banking </w:t>
      </w:r>
      <w:r>
        <w:rPr>
          <w:rFonts w:ascii="Arial" w:cs="Arial" w:eastAsia="Arial" w:hAnsi="Arial"/>
          <w:sz w:val="18"/>
          <w:szCs w:val="18"/>
          <w:color w:val="auto"/>
        </w:rPr>
        <w:t>(+4.74%) and</w:t>
      </w:r>
      <w:r>
        <w:rPr>
          <w:rFonts w:ascii="Arial" w:cs="Arial" w:eastAsia="Arial" w:hAnsi="Arial"/>
          <w:sz w:val="18"/>
          <w:szCs w:val="18"/>
          <w:b w:val="1"/>
          <w:bCs w:val="1"/>
          <w:color w:val="auto"/>
        </w:rPr>
        <w:t xml:space="preserve"> Microfinanzas </w:t>
      </w:r>
      <w:r>
        <w:rPr>
          <w:rFonts w:ascii="Arial" w:cs="Arial" w:eastAsia="Arial" w:hAnsi="Arial"/>
          <w:sz w:val="18"/>
          <w:szCs w:val="18"/>
          <w:color w:val="auto"/>
        </w:rPr>
        <w:t>(+55.9%), which we will explain in greater detail in the next section; and higher</w:t>
      </w:r>
      <w:r>
        <w:rPr>
          <w:rFonts w:ascii="Arial" w:cs="Arial" w:eastAsia="Arial" w:hAnsi="Arial"/>
          <w:sz w:val="18"/>
          <w:szCs w:val="18"/>
          <w:b w:val="1"/>
          <w:bCs w:val="1"/>
          <w:color w:val="auto"/>
        </w:rPr>
        <w:t xml:space="preserve"> Net gain on foreign exchange transactions </w:t>
      </w:r>
      <w:r>
        <w:rPr>
          <w:rFonts w:ascii="Arial" w:cs="Arial" w:eastAsia="Arial" w:hAnsi="Arial"/>
          <w:sz w:val="18"/>
          <w:szCs w:val="18"/>
          <w:color w:val="auto"/>
        </w:rPr>
        <w:t>in</w:t>
      </w:r>
      <w:r>
        <w:rPr>
          <w:rFonts w:ascii="Arial" w:cs="Arial" w:eastAsia="Arial" w:hAnsi="Arial"/>
          <w:sz w:val="18"/>
          <w:szCs w:val="18"/>
          <w:b w:val="1"/>
          <w:bCs w:val="1"/>
          <w:color w:val="auto"/>
        </w:rPr>
        <w:t xml:space="preserve"> Universal Banking</w:t>
      </w:r>
      <w:r>
        <w:rPr>
          <w:rFonts w:ascii="Arial" w:cs="Arial" w:eastAsia="Arial" w:hAnsi="Arial"/>
          <w:sz w:val="18"/>
          <w:szCs w:val="18"/>
          <w:color w:val="auto"/>
        </w:rPr>
        <w:t>, driven by higher FX transactions at BCP Bolivia.</w:t>
      </w:r>
    </w:p>
    <w:p>
      <w:pPr>
        <w:spacing w:after="0" w:line="1"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 xml:space="preserve">The aforementioned scenario was partially offset by a decrease in </w:t>
      </w:r>
      <w:r>
        <w:rPr>
          <w:rFonts w:ascii="Arial" w:cs="Arial" w:eastAsia="Arial" w:hAnsi="Arial"/>
          <w:sz w:val="16"/>
          <w:szCs w:val="16"/>
          <w:b w:val="1"/>
          <w:bCs w:val="1"/>
          <w:color w:val="auto"/>
        </w:rPr>
        <w:t>Fee Income</w:t>
      </w:r>
      <w:r>
        <w:rPr>
          <w:rFonts w:ascii="Arial" w:cs="Arial" w:eastAsia="Arial" w:hAnsi="Arial"/>
          <w:sz w:val="16"/>
          <w:szCs w:val="16"/>
          <w:color w:val="auto"/>
        </w:rPr>
        <w:t xml:space="preserve"> in </w:t>
      </w:r>
      <w:r>
        <w:rPr>
          <w:rFonts w:ascii="Arial" w:cs="Arial" w:eastAsia="Arial" w:hAnsi="Arial"/>
          <w:sz w:val="16"/>
          <w:szCs w:val="16"/>
          <w:b w:val="1"/>
          <w:bCs w:val="1"/>
          <w:color w:val="auto"/>
        </w:rPr>
        <w:t>Investment Banking and Wealth Management</w:t>
      </w:r>
      <w:r>
        <w:rPr>
          <w:rFonts w:ascii="Arial" w:cs="Arial" w:eastAsia="Arial" w:hAnsi="Arial"/>
          <w:sz w:val="16"/>
          <w:szCs w:val="16"/>
          <w:color w:val="auto"/>
        </w:rPr>
        <w:t xml:space="preserve"> (-11.9%); this was driven by the fact that extraordinary income for brokerage and up-front fees to enter third-party funds was comparatively higher in 2Q21.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Core other income </w:t>
      </w:r>
      <w:r>
        <w:rPr>
          <w:rFonts w:ascii="Arial" w:cs="Arial" w:eastAsia="Arial" w:hAnsi="Arial"/>
          <w:sz w:val="18"/>
          <w:szCs w:val="18"/>
          <w:color w:val="auto"/>
        </w:rPr>
        <w:t>grew +27.7% due to:</w:t>
      </w:r>
    </w:p>
    <w:p>
      <w:pPr>
        <w:spacing w:after="0" w:line="213" w:lineRule="exact"/>
        <w:rPr>
          <w:sz w:val="20"/>
          <w:szCs w:val="20"/>
          <w:color w:val="auto"/>
        </w:rPr>
      </w:pPr>
    </w:p>
    <w:p>
      <w:pPr>
        <w:ind w:left="640" w:hanging="320"/>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positive evolution of </w:t>
      </w:r>
      <w:r>
        <w:rPr>
          <w:rFonts w:ascii="Arial" w:cs="Arial" w:eastAsia="Arial" w:hAnsi="Arial"/>
          <w:sz w:val="18"/>
          <w:szCs w:val="18"/>
          <w:b w:val="1"/>
          <w:bCs w:val="1"/>
          <w:color w:val="auto"/>
        </w:rPr>
        <w:t>Universal Banking</w:t>
      </w:r>
      <w:r>
        <w:rPr>
          <w:rFonts w:ascii="Arial" w:cs="Arial" w:eastAsia="Arial" w:hAnsi="Arial"/>
          <w:sz w:val="18"/>
          <w:szCs w:val="18"/>
          <w:color w:val="auto"/>
        </w:rPr>
        <w:t>, since losses were recorded from sales of sovereign bonds in 2Q21.</w:t>
      </w:r>
    </w:p>
    <w:p>
      <w:pPr>
        <w:spacing w:after="0" w:line="213" w:lineRule="exact"/>
        <w:rPr>
          <w:rFonts w:ascii="Arial" w:cs="Arial" w:eastAsia="Arial" w:hAnsi="Arial"/>
          <w:sz w:val="18"/>
          <w:szCs w:val="18"/>
          <w:color w:val="auto"/>
        </w:rPr>
      </w:pPr>
    </w:p>
    <w:p>
      <w:pPr>
        <w:ind w:left="640" w:hanging="320"/>
        <w:spacing w:after="0" w:line="267"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Net earnings for investment in associates,</w:t>
      </w:r>
      <w:r>
        <w:rPr>
          <w:rFonts w:ascii="Arial" w:cs="Arial" w:eastAsia="Arial" w:hAnsi="Arial"/>
          <w:sz w:val="18"/>
          <w:szCs w:val="18"/>
          <w:color w:val="auto"/>
        </w:rPr>
        <w:t xml:space="preserve"> which was generated by an increase in gains in the EPS business due to a decrease in COVID-19 claims.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aforementioned was partially offset by a decrease in results for the </w:t>
      </w:r>
      <w:r>
        <w:rPr>
          <w:rFonts w:ascii="Arial" w:cs="Arial" w:eastAsia="Arial" w:hAnsi="Arial"/>
          <w:sz w:val="18"/>
          <w:szCs w:val="18"/>
          <w:b w:val="1"/>
          <w:bCs w:val="1"/>
          <w:color w:val="auto"/>
        </w:rPr>
        <w:t>Net gain on derivatives</w:t>
      </w:r>
      <w:r>
        <w:rPr>
          <w:rFonts w:ascii="Arial" w:cs="Arial" w:eastAsia="Arial" w:hAnsi="Arial"/>
          <w:sz w:val="18"/>
          <w:szCs w:val="18"/>
          <w:color w:val="auto"/>
        </w:rPr>
        <w:t xml:space="preserve"> and for the </w:t>
      </w:r>
      <w:r>
        <w:rPr>
          <w:rFonts w:ascii="Arial" w:cs="Arial" w:eastAsia="Arial" w:hAnsi="Arial"/>
          <w:sz w:val="18"/>
          <w:szCs w:val="18"/>
          <w:b w:val="1"/>
          <w:bCs w:val="1"/>
          <w:color w:val="auto"/>
        </w:rPr>
        <w:t>Net gain from exchange differences</w:t>
      </w:r>
      <w:r>
        <w:rPr>
          <w:rFonts w:ascii="Arial" w:cs="Arial" w:eastAsia="Arial" w:hAnsi="Arial"/>
          <w:sz w:val="18"/>
          <w:szCs w:val="18"/>
          <w:color w:val="auto"/>
        </w:rPr>
        <w:t xml:space="preserve"> given that during 2Q21 a large volume of foreign currency was sold, taking advantage of the volatility of the exchange rate to offset the losses generated by the sale of sovereign bonds.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results led </w:t>
      </w:r>
      <w:r>
        <w:rPr>
          <w:rFonts w:ascii="Arial" w:cs="Arial" w:eastAsia="Arial" w:hAnsi="Arial"/>
          <w:sz w:val="18"/>
          <w:szCs w:val="18"/>
          <w:b w:val="1"/>
          <w:bCs w:val="1"/>
          <w:color w:val="auto"/>
        </w:rPr>
        <w:t>other income</w:t>
      </w:r>
      <w:r>
        <w:rPr>
          <w:rFonts w:ascii="Arial" w:cs="Arial" w:eastAsia="Arial" w:hAnsi="Arial"/>
          <w:sz w:val="18"/>
          <w:szCs w:val="18"/>
          <w:color w:val="auto"/>
        </w:rPr>
        <w:t xml:space="preserve"> to increase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17837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271" w:lineRule="exact"/>
        <w:rPr>
          <w:sz w:val="20"/>
          <w:szCs w:val="20"/>
          <w:color w:val="auto"/>
        </w:rPr>
      </w:pPr>
    </w:p>
    <w:p>
      <w:pPr>
        <w:ind w:left="120" w:hanging="115"/>
        <w:spacing w:after="0"/>
        <w:tabs>
          <w:tab w:leader="none" w:pos="120" w:val="left"/>
        </w:tabs>
        <w:numPr>
          <w:ilvl w:val="0"/>
          <w:numId w:val="49"/>
        </w:numPr>
        <w:rPr>
          <w:rFonts w:ascii="Arial" w:cs="Arial" w:eastAsia="Arial" w:hAnsi="Arial"/>
          <w:sz w:val="29"/>
          <w:szCs w:val="29"/>
          <w:color w:val="auto"/>
          <w:vertAlign w:val="superscript"/>
        </w:rPr>
      </w:pPr>
      <w:r>
        <w:rPr>
          <w:rFonts w:ascii="Arial" w:cs="Arial" w:eastAsia="Arial" w:hAnsi="Arial"/>
          <w:sz w:val="18"/>
          <w:szCs w:val="18"/>
          <w:color w:val="auto"/>
        </w:rPr>
        <w:t>Previously reported as Non-financial income</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361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type w:val="continuous"/>
        </w:sectPr>
      </w:pPr>
    </w:p>
    <w:bookmarkStart w:id="38" w:name="page39"/>
    <w:bookmarkEnd w:id="38"/>
    <w:p>
      <w:pPr>
        <w:ind w:left="1540"/>
        <w:spacing w:after="0"/>
        <w:tabs>
          <w:tab w:leader="none" w:pos="7360" w:val="left"/>
        </w:tabs>
        <w:rPr>
          <w:sz w:val="20"/>
          <w:szCs w:val="20"/>
          <w:color w:val="auto"/>
        </w:rPr>
      </w:pPr>
      <w:r>
        <w:rPr>
          <w:rFonts w:ascii="Arial" w:cs="Arial" w:eastAsia="Arial" w:hAnsi="Arial"/>
          <w:sz w:val="18"/>
          <w:szCs w:val="18"/>
          <w:b w:val="1"/>
          <w:bCs w:val="1"/>
          <w:color w:val="auto"/>
        </w:rPr>
        <w:t>YoY evolution of Other Income</w:t>
      </w:r>
      <w:r>
        <w:rPr>
          <w:sz w:val="20"/>
          <w:szCs w:val="20"/>
          <w:color w:val="auto"/>
        </w:rPr>
        <w:tab/>
      </w:r>
      <w:r>
        <w:rPr>
          <w:rFonts w:ascii="Arial" w:cs="Arial" w:eastAsia="Arial" w:hAnsi="Arial"/>
          <w:sz w:val="16"/>
          <w:szCs w:val="16"/>
          <w:b w:val="1"/>
          <w:bCs w:val="1"/>
          <w:color w:val="auto"/>
        </w:rPr>
        <w:t>YTD evolution of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147320</wp:posOffset>
            </wp:positionV>
            <wp:extent cx="6352540" cy="21259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52540" cy="2125980"/>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firstLine="5"/>
        <w:spacing w:after="0" w:line="260" w:lineRule="auto"/>
        <w:tabs>
          <w:tab w:leader="none" w:pos="2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Others includes Grupo Crédito, Credicorp Stand-alone, elimination and others.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YoY, core other income </w:t>
      </w:r>
      <w:r>
        <w:rPr>
          <w:rFonts w:ascii="Arial" w:cs="Arial" w:eastAsia="Arial" w:hAnsi="Arial"/>
          <w:sz w:val="18"/>
          <w:szCs w:val="18"/>
          <w:color w:val="auto"/>
        </w:rPr>
        <w:t>rose due to:</w:t>
      </w:r>
    </w:p>
    <w:p>
      <w:pPr>
        <w:spacing w:after="0" w:line="213" w:lineRule="exact"/>
        <w:rPr>
          <w:sz w:val="20"/>
          <w:szCs w:val="20"/>
          <w:color w:val="auto"/>
        </w:rPr>
      </w:pPr>
    </w:p>
    <w:p>
      <w:pPr>
        <w:jc w:val="both"/>
        <w:ind w:left="320" w:right="20" w:hanging="315"/>
        <w:spacing w:after="0" w:line="285" w:lineRule="auto"/>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An improvement in the results at </w:t>
      </w:r>
      <w:r>
        <w:rPr>
          <w:rFonts w:ascii="Arial" w:cs="Arial" w:eastAsia="Arial" w:hAnsi="Arial"/>
          <w:sz w:val="16"/>
          <w:szCs w:val="16"/>
          <w:b w:val="1"/>
          <w:bCs w:val="1"/>
          <w:color w:val="auto"/>
        </w:rPr>
        <w:t>Universal Banking</w:t>
      </w:r>
      <w:r>
        <w:rPr>
          <w:rFonts w:ascii="Arial" w:cs="Arial" w:eastAsia="Arial" w:hAnsi="Arial"/>
          <w:sz w:val="16"/>
          <w:szCs w:val="16"/>
          <w:color w:val="auto"/>
        </w:rPr>
        <w:t xml:space="preserve">, which was spurred by an increase in </w:t>
      </w:r>
      <w:r>
        <w:rPr>
          <w:rFonts w:ascii="Arial" w:cs="Arial" w:eastAsia="Arial" w:hAnsi="Arial"/>
          <w:sz w:val="16"/>
          <w:szCs w:val="16"/>
          <w:b w:val="1"/>
          <w:bCs w:val="1"/>
          <w:color w:val="auto"/>
        </w:rPr>
        <w:t>Fee Income</w:t>
      </w:r>
      <w:r>
        <w:rPr>
          <w:rFonts w:ascii="Arial" w:cs="Arial" w:eastAsia="Arial" w:hAnsi="Arial"/>
          <w:sz w:val="16"/>
          <w:szCs w:val="16"/>
          <w:color w:val="auto"/>
        </w:rPr>
        <w:t xml:space="preserve"> and by growth in </w:t>
      </w:r>
      <w:r>
        <w:rPr>
          <w:rFonts w:ascii="Arial" w:cs="Arial" w:eastAsia="Arial" w:hAnsi="Arial"/>
          <w:sz w:val="16"/>
          <w:szCs w:val="16"/>
          <w:b w:val="1"/>
          <w:bCs w:val="1"/>
          <w:color w:val="auto"/>
        </w:rPr>
        <w:t>Net gains on</w:t>
      </w:r>
      <w:r>
        <w:rPr>
          <w:rFonts w:ascii="Arial" w:cs="Arial" w:eastAsia="Arial" w:hAnsi="Arial"/>
          <w:sz w:val="16"/>
          <w:szCs w:val="16"/>
          <w:color w:val="auto"/>
        </w:rPr>
        <w:t xml:space="preserve"> </w:t>
      </w:r>
      <w:r>
        <w:rPr>
          <w:rFonts w:ascii="Arial" w:cs="Arial" w:eastAsia="Arial" w:hAnsi="Arial"/>
          <w:sz w:val="16"/>
          <w:szCs w:val="16"/>
          <w:b w:val="1"/>
          <w:bCs w:val="1"/>
          <w:color w:val="auto"/>
        </w:rPr>
        <w:t>Foreign Exchange transactions</w:t>
      </w:r>
      <w:r>
        <w:rPr>
          <w:rFonts w:ascii="Arial" w:cs="Arial" w:eastAsia="Arial" w:hAnsi="Arial"/>
          <w:sz w:val="16"/>
          <w:szCs w:val="16"/>
          <w:color w:val="auto"/>
        </w:rPr>
        <w:t>. Growth in the former was due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elimination of fee exemptions (which were in place during the quarantine last year), while the increase in the latter was attributable to higher transactions due to exchange rate volatility.</w:t>
      </w:r>
    </w:p>
    <w:p>
      <w:pPr>
        <w:spacing w:after="0" w:line="159" w:lineRule="exact"/>
        <w:rPr>
          <w:rFonts w:ascii="Arial" w:cs="Arial" w:eastAsia="Arial" w:hAnsi="Arial"/>
          <w:sz w:val="16"/>
          <w:szCs w:val="16"/>
          <w:color w:val="auto"/>
        </w:rPr>
      </w:pPr>
    </w:p>
    <w:p>
      <w:pPr>
        <w:ind w:left="320" w:right="20" w:hanging="315"/>
        <w:spacing w:after="0" w:line="331" w:lineRule="auto"/>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Growth in </w:t>
      </w:r>
      <w:r>
        <w:rPr>
          <w:rFonts w:ascii="Arial" w:cs="Arial" w:eastAsia="Arial" w:hAnsi="Arial"/>
          <w:sz w:val="16"/>
          <w:szCs w:val="16"/>
          <w:b w:val="1"/>
          <w:bCs w:val="1"/>
          <w:color w:val="auto"/>
        </w:rPr>
        <w:t>Fee Income</w:t>
      </w:r>
      <w:r>
        <w:rPr>
          <w:rFonts w:ascii="Arial" w:cs="Arial" w:eastAsia="Arial" w:hAnsi="Arial"/>
          <w:sz w:val="16"/>
          <w:szCs w:val="16"/>
          <w:color w:val="auto"/>
        </w:rPr>
        <w:t xml:space="preserve"> in </w:t>
      </w:r>
      <w:r>
        <w:rPr>
          <w:rFonts w:ascii="Arial" w:cs="Arial" w:eastAsia="Arial" w:hAnsi="Arial"/>
          <w:sz w:val="16"/>
          <w:szCs w:val="16"/>
          <w:b w:val="1"/>
          <w:bCs w:val="1"/>
          <w:color w:val="auto"/>
        </w:rPr>
        <w:t>Microfinance</w:t>
      </w:r>
      <w:r>
        <w:rPr>
          <w:rFonts w:ascii="Arial" w:cs="Arial" w:eastAsia="Arial" w:hAnsi="Arial"/>
          <w:sz w:val="16"/>
          <w:szCs w:val="16"/>
          <w:color w:val="auto"/>
        </w:rPr>
        <w:t>, given that clients received exemptions in 2020 as part of pandemic relief measures.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contrast, </w:t>
      </w:r>
      <w:r>
        <w:rPr>
          <w:rFonts w:ascii="Arial" w:cs="Arial" w:eastAsia="Arial" w:hAnsi="Arial"/>
          <w:sz w:val="18"/>
          <w:szCs w:val="18"/>
          <w:b w:val="1"/>
          <w:bCs w:val="1"/>
          <w:color w:val="auto"/>
        </w:rPr>
        <w:t>non-core other income</w:t>
      </w:r>
      <w:r>
        <w:rPr>
          <w:rFonts w:ascii="Arial" w:cs="Arial" w:eastAsia="Arial" w:hAnsi="Arial"/>
          <w:sz w:val="18"/>
          <w:szCs w:val="18"/>
          <w:color w:val="auto"/>
        </w:rPr>
        <w:t xml:space="preserve"> fell due to:</w:t>
      </w:r>
    </w:p>
    <w:p>
      <w:pPr>
        <w:spacing w:after="0" w:line="213" w:lineRule="exact"/>
        <w:rPr>
          <w:sz w:val="20"/>
          <w:szCs w:val="20"/>
          <w:color w:val="auto"/>
        </w:rPr>
      </w:pPr>
    </w:p>
    <w:p>
      <w:pPr>
        <w:jc w:val="both"/>
        <w:ind w:left="380" w:right="20" w:hanging="375"/>
        <w:spacing w:after="0" w:line="255"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reduction in </w:t>
      </w:r>
      <w:r>
        <w:rPr>
          <w:rFonts w:ascii="Arial" w:cs="Arial" w:eastAsia="Arial" w:hAnsi="Arial"/>
          <w:sz w:val="18"/>
          <w:szCs w:val="18"/>
          <w:b w:val="1"/>
          <w:bCs w:val="1"/>
          <w:color w:val="auto"/>
        </w:rPr>
        <w:t>Net gains on securities</w:t>
      </w:r>
      <w:r>
        <w:rPr>
          <w:rFonts w:ascii="Arial" w:cs="Arial" w:eastAsia="Arial" w:hAnsi="Arial"/>
          <w:sz w:val="18"/>
          <w:szCs w:val="18"/>
          <w:color w:val="auto"/>
        </w:rPr>
        <w:t xml:space="preserve"> in </w:t>
      </w:r>
      <w:r>
        <w:rPr>
          <w:rFonts w:ascii="Arial" w:cs="Arial" w:eastAsia="Arial" w:hAnsi="Arial"/>
          <w:sz w:val="18"/>
          <w:szCs w:val="18"/>
          <w:b w:val="1"/>
          <w:bCs w:val="1"/>
          <w:color w:val="auto"/>
        </w:rPr>
        <w:t>Universal Banking</w:t>
      </w:r>
      <w:r>
        <w:rPr>
          <w:rFonts w:ascii="Arial" w:cs="Arial" w:eastAsia="Arial" w:hAnsi="Arial"/>
          <w:sz w:val="18"/>
          <w:szCs w:val="18"/>
          <w:color w:val="auto"/>
        </w:rPr>
        <w:t xml:space="preserve"> after sovereign bonds were sold as part of a strategy to reduce portfolio sensitivity.</w:t>
      </w:r>
    </w:p>
    <w:p>
      <w:pPr>
        <w:spacing w:after="0" w:line="1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This was offset by an improvement in results for </w:t>
      </w:r>
      <w:r>
        <w:rPr>
          <w:rFonts w:ascii="Arial" w:cs="Arial" w:eastAsia="Arial" w:hAnsi="Arial"/>
          <w:sz w:val="16"/>
          <w:szCs w:val="16"/>
          <w:b w:val="1"/>
          <w:bCs w:val="1"/>
          <w:color w:val="auto"/>
        </w:rPr>
        <w:t>Investment Banking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Wealth Management </w:t>
      </w:r>
      <w:r>
        <w:rPr>
          <w:rFonts w:ascii="Arial" w:cs="Arial" w:eastAsia="Arial" w:hAnsi="Arial"/>
          <w:sz w:val="16"/>
          <w:szCs w:val="16"/>
          <w:color w:val="auto"/>
        </w:rPr>
        <w:t>given that in 3Q20, losses were reported due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reduction in market values for an investment in the fair values with changes to other comprehensive income portfolio at ASB.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right="140"/>
        <w:spacing w:after="0" w:line="260" w:lineRule="auto"/>
        <w:tabs>
          <w:tab w:leader="none" w:pos="268"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Others includes Grupo Crédito, Credicorp Stand-alone, elimination and others.</w:t>
      </w:r>
    </w:p>
    <w:p>
      <w:pPr>
        <w:spacing w:after="0" w:line="17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At the </w:t>
      </w:r>
      <w:r>
        <w:rPr>
          <w:rFonts w:ascii="Arial" w:cs="Arial" w:eastAsia="Arial" w:hAnsi="Arial"/>
          <w:sz w:val="16"/>
          <w:szCs w:val="16"/>
          <w:b w:val="1"/>
          <w:bCs w:val="1"/>
          <w:color w:val="auto"/>
        </w:rPr>
        <w:t>YTD</w:t>
      </w:r>
      <w:r>
        <w:rPr>
          <w:rFonts w:ascii="Arial" w:cs="Arial" w:eastAsia="Arial" w:hAnsi="Arial"/>
          <w:sz w:val="16"/>
          <w:szCs w:val="16"/>
          <w:color w:val="auto"/>
        </w:rPr>
        <w:t xml:space="preserve"> level, the positive evolution of </w:t>
      </w:r>
      <w:r>
        <w:rPr>
          <w:rFonts w:ascii="Arial" w:cs="Arial" w:eastAsia="Arial" w:hAnsi="Arial"/>
          <w:sz w:val="16"/>
          <w:szCs w:val="16"/>
          <w:b w:val="1"/>
          <w:bCs w:val="1"/>
          <w:color w:val="auto"/>
        </w:rPr>
        <w:t>core other income</w:t>
      </w:r>
      <w:r>
        <w:rPr>
          <w:rFonts w:ascii="Arial" w:cs="Arial" w:eastAsia="Arial" w:hAnsi="Arial"/>
          <w:sz w:val="16"/>
          <w:szCs w:val="16"/>
          <w:color w:val="auto"/>
        </w:rPr>
        <w:t xml:space="preserve"> was attributable to growth in </w:t>
      </w:r>
      <w:r>
        <w:rPr>
          <w:rFonts w:ascii="Arial" w:cs="Arial" w:eastAsia="Arial" w:hAnsi="Arial"/>
          <w:sz w:val="16"/>
          <w:szCs w:val="16"/>
          <w:b w:val="1"/>
          <w:bCs w:val="1"/>
          <w:color w:val="auto"/>
        </w:rPr>
        <w:t>Fee Income</w:t>
      </w:r>
      <w:r>
        <w:rPr>
          <w:rFonts w:ascii="Arial" w:cs="Arial" w:eastAsia="Arial" w:hAnsi="Arial"/>
          <w:sz w:val="16"/>
          <w:szCs w:val="16"/>
          <w:color w:val="auto"/>
        </w:rPr>
        <w:t xml:space="preserve"> in </w:t>
      </w:r>
      <w:r>
        <w:rPr>
          <w:rFonts w:ascii="Arial" w:cs="Arial" w:eastAsia="Arial" w:hAnsi="Arial"/>
          <w:sz w:val="16"/>
          <w:szCs w:val="16"/>
          <w:b w:val="1"/>
          <w:bCs w:val="1"/>
          <w:color w:val="auto"/>
        </w:rPr>
        <w:t>Universal Banking, Microfinance</w:t>
      </w:r>
      <w:r>
        <w:rPr>
          <w:rFonts w:ascii="Arial" w:cs="Arial" w:eastAsia="Arial" w:hAnsi="Arial"/>
          <w:sz w:val="16"/>
          <w:szCs w:val="16"/>
          <w:color w:val="auto"/>
        </w:rPr>
        <w:t xml:space="preserve"> and Investment Banking and </w:t>
      </w:r>
      <w:r>
        <w:rPr>
          <w:rFonts w:ascii="Arial" w:cs="Arial" w:eastAsia="Arial" w:hAnsi="Arial"/>
          <w:sz w:val="16"/>
          <w:szCs w:val="16"/>
          <w:b w:val="1"/>
          <w:bCs w:val="1"/>
          <w:color w:val="auto"/>
        </w:rPr>
        <w:t>Wealth Management.</w:t>
      </w:r>
      <w:r>
        <w:rPr>
          <w:rFonts w:ascii="Arial" w:cs="Arial" w:eastAsia="Arial" w:hAnsi="Arial"/>
          <w:sz w:val="16"/>
          <w:szCs w:val="16"/>
          <w:color w:val="auto"/>
        </w:rPr>
        <w:t xml:space="preserve"> In the first case, growth was attributable to the fact that the fee exemptions that were in place most of last year were not in effect in 2021. In the case of Investment Banking and Wealth Management, the uptick was attributable to an increase in fees reported for brokerage and to enter third-party funds.</w:t>
      </w:r>
    </w:p>
    <w:p>
      <w:pPr>
        <w:spacing w:after="0" w:line="1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During the same period, </w:t>
      </w:r>
      <w:r>
        <w:rPr>
          <w:rFonts w:ascii="Arial" w:cs="Arial" w:eastAsia="Arial" w:hAnsi="Arial"/>
          <w:sz w:val="16"/>
          <w:szCs w:val="16"/>
          <w:b w:val="1"/>
          <w:bCs w:val="1"/>
          <w:color w:val="auto"/>
        </w:rPr>
        <w:t>Non-core other income</w:t>
      </w:r>
      <w:r>
        <w:rPr>
          <w:rFonts w:ascii="Arial" w:cs="Arial" w:eastAsia="Arial" w:hAnsi="Arial"/>
          <w:sz w:val="16"/>
          <w:szCs w:val="16"/>
          <w:color w:val="auto"/>
        </w:rPr>
        <w:t xml:space="preserve"> evolved negatively due to the losses registered in the </w:t>
      </w:r>
      <w:r>
        <w:rPr>
          <w:rFonts w:ascii="Arial" w:cs="Arial" w:eastAsia="Arial" w:hAnsi="Arial"/>
          <w:sz w:val="16"/>
          <w:szCs w:val="16"/>
          <w:b w:val="1"/>
          <w:bCs w:val="1"/>
          <w:color w:val="auto"/>
        </w:rPr>
        <w:t>Net gain on securities</w:t>
      </w:r>
      <w:r>
        <w:rPr>
          <w:rFonts w:ascii="Arial" w:cs="Arial" w:eastAsia="Arial" w:hAnsi="Arial"/>
          <w:sz w:val="16"/>
          <w:szCs w:val="16"/>
          <w:color w:val="auto"/>
        </w:rPr>
        <w:t xml:space="preserve"> in </w:t>
      </w:r>
      <w:r>
        <w:rPr>
          <w:rFonts w:ascii="Arial" w:cs="Arial" w:eastAsia="Arial" w:hAnsi="Arial"/>
          <w:sz w:val="16"/>
          <w:szCs w:val="16"/>
          <w:b w:val="1"/>
          <w:bCs w:val="1"/>
          <w:color w:val="auto"/>
        </w:rPr>
        <w:t>Universal Banking</w:t>
      </w:r>
      <w:r>
        <w:rPr>
          <w:rFonts w:ascii="Arial" w:cs="Arial" w:eastAsia="Arial" w:hAnsi="Arial"/>
          <w:sz w:val="16"/>
          <w:szCs w:val="16"/>
          <w:color w:val="auto"/>
        </w:rPr>
        <w:t>, which was generated by the sale of bonds from BCP Stand-alone’s fixed income portfolio under a strategy to reduce the portfolio’s sensitivity.</w:t>
      </w:r>
    </w:p>
    <w:p>
      <w:pPr>
        <w:spacing w:after="0" w:line="1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aforementioned was partially offset by an increase in </w:t>
      </w:r>
      <w:r>
        <w:rPr>
          <w:rFonts w:ascii="Arial" w:cs="Arial" w:eastAsia="Arial" w:hAnsi="Arial"/>
          <w:sz w:val="16"/>
          <w:szCs w:val="16"/>
          <w:b w:val="1"/>
          <w:bCs w:val="1"/>
          <w:color w:val="auto"/>
        </w:rPr>
        <w:t>Net gains from</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exchange differences </w:t>
      </w:r>
      <w:r>
        <w:rPr>
          <w:rFonts w:ascii="Arial" w:cs="Arial" w:eastAsia="Arial" w:hAnsi="Arial"/>
          <w:sz w:val="16"/>
          <w:szCs w:val="16"/>
          <w:color w:val="auto"/>
        </w:rPr>
        <w:t>in</w:t>
      </w:r>
      <w:r>
        <w:rPr>
          <w:rFonts w:ascii="Arial" w:cs="Arial" w:eastAsia="Arial" w:hAnsi="Arial"/>
          <w:sz w:val="16"/>
          <w:szCs w:val="16"/>
          <w:b w:val="1"/>
          <w:bCs w:val="1"/>
          <w:color w:val="auto"/>
        </w:rPr>
        <w:t xml:space="preserve"> Universal Banking </w:t>
      </w:r>
      <w:r>
        <w:rPr>
          <w:rFonts w:ascii="Arial" w:cs="Arial" w:eastAsia="Arial" w:hAnsi="Arial"/>
          <w:sz w:val="16"/>
          <w:szCs w:val="16"/>
          <w:color w:val="auto"/>
        </w:rPr>
        <w:t>in the first half of the year due</w:t>
      </w:r>
      <w:r>
        <w:rPr>
          <w:rFonts w:ascii="Arial" w:cs="Arial" w:eastAsia="Arial" w:hAnsi="Arial"/>
          <w:sz w:val="16"/>
          <w:szCs w:val="16"/>
          <w:b w:val="1"/>
          <w:bCs w:val="1"/>
          <w:color w:val="auto"/>
        </w:rPr>
        <w:t xml:space="preserve"> </w:t>
      </w:r>
      <w:r>
        <w:rPr>
          <w:rFonts w:ascii="Arial" w:cs="Arial" w:eastAsia="Arial" w:hAnsi="Arial"/>
          <w:sz w:val="16"/>
          <w:szCs w:val="16"/>
          <w:color w:val="auto"/>
        </w:rPr>
        <w:t>to exchange rate volatility during the elections period.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this context, </w:t>
      </w:r>
      <w:r>
        <w:rPr>
          <w:rFonts w:ascii="Arial" w:cs="Arial" w:eastAsia="Arial" w:hAnsi="Arial"/>
          <w:sz w:val="18"/>
          <w:szCs w:val="18"/>
          <w:b w:val="1"/>
          <w:bCs w:val="1"/>
          <w:color w:val="auto"/>
        </w:rPr>
        <w:t>other income</w:t>
      </w:r>
      <w:r>
        <w:rPr>
          <w:rFonts w:ascii="Arial" w:cs="Arial" w:eastAsia="Arial" w:hAnsi="Arial"/>
          <w:sz w:val="18"/>
          <w:szCs w:val="18"/>
          <w:color w:val="auto"/>
        </w:rPr>
        <w:t xml:space="preserve"> rose +17.8%.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-3704590</wp:posOffset>
            </wp:positionH>
            <wp:positionV relativeFrom="paragraph">
              <wp:posOffset>9525</wp:posOffset>
            </wp:positionV>
            <wp:extent cx="71361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2">
            <w:col w:w="5400" w:space="440"/>
            <w:col w:w="5400"/>
          </w:cols>
          <w:pgMar w:left="320" w:top="883"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5.1. Fee Income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5.1.2. Fee income in the Banking Business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Fee Income</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ind w:left="540"/>
              <w:spacing w:after="0"/>
              <w:rPr>
                <w:sz w:val="20"/>
                <w:szCs w:val="20"/>
                <w:color w:val="auto"/>
              </w:rPr>
            </w:pPr>
            <w:r>
              <w:rPr>
                <w:rFonts w:ascii="Arial" w:cs="Arial" w:eastAsia="Arial" w:hAnsi="Arial"/>
                <w:sz w:val="14"/>
                <w:szCs w:val="14"/>
                <w:b w:val="1"/>
                <w:bCs w:val="1"/>
                <w:color w:val="auto"/>
                <w:w w:val="88"/>
              </w:rPr>
              <w:t>% change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YTD</w:t>
            </w:r>
          </w:p>
        </w:tc>
        <w:tc>
          <w:tcPr>
            <w:tcW w:w="100" w:type="dxa"/>
            <w:vAlign w:val="bottom"/>
          </w:tcPr>
          <w:p>
            <w:pPr>
              <w:spacing w:after="0"/>
              <w:rPr>
                <w:sz w:val="14"/>
                <w:szCs w:val="14"/>
                <w:color w:val="auto"/>
              </w:rPr>
            </w:pPr>
          </w:p>
        </w:tc>
        <w:tc>
          <w:tcPr>
            <w:tcW w:w="10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 change</w:t>
            </w:r>
          </w:p>
        </w:tc>
      </w:tr>
      <w:tr>
        <w:trPr>
          <w:trHeight w:val="151"/>
        </w:trPr>
        <w:tc>
          <w:tcPr>
            <w:tcW w:w="3360" w:type="dxa"/>
            <w:vAlign w:val="bottom"/>
            <w:tcBorders>
              <w:bottom w:val="single" w:sz="8" w:color="auto"/>
            </w:tcBorders>
          </w:tcPr>
          <w:p>
            <w:pPr>
              <w:spacing w:after="0" w:line="151" w:lineRule="exact"/>
              <w:rPr>
                <w:sz w:val="20"/>
                <w:szCs w:val="20"/>
                <w:color w:val="auto"/>
              </w:rPr>
            </w:pPr>
            <w:r>
              <w:rPr>
                <w:rFonts w:ascii="Arial" w:cs="Arial" w:eastAsia="Arial" w:hAnsi="Arial"/>
                <w:sz w:val="14"/>
                <w:szCs w:val="14"/>
                <w:b w:val="1"/>
                <w:bCs w:val="1"/>
                <w:color w:val="auto"/>
              </w:rPr>
              <w:t>S/ 000</w:t>
            </w:r>
          </w:p>
        </w:tc>
        <w:tc>
          <w:tcPr>
            <w:tcW w:w="22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70"/>
              <w:spacing w:after="0" w:line="151" w:lineRule="exact"/>
              <w:rPr>
                <w:sz w:val="20"/>
                <w:szCs w:val="20"/>
                <w:color w:val="auto"/>
              </w:rPr>
            </w:pPr>
            <w:r>
              <w:rPr>
                <w:rFonts w:ascii="Arial" w:cs="Arial" w:eastAsia="Arial" w:hAnsi="Arial"/>
                <w:sz w:val="14"/>
                <w:szCs w:val="14"/>
                <w:b w:val="1"/>
                <w:bCs w:val="1"/>
                <w:color w:val="auto"/>
              </w:rPr>
              <w:t>3Q20</w:t>
            </w:r>
          </w:p>
        </w:tc>
        <w:tc>
          <w:tcPr>
            <w:tcW w:w="20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rPr>
              <w:t>2Q21</w:t>
            </w:r>
          </w:p>
        </w:tc>
        <w:tc>
          <w:tcPr>
            <w:tcW w:w="20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50"/>
              <w:spacing w:after="0" w:line="151" w:lineRule="exact"/>
              <w:rPr>
                <w:sz w:val="20"/>
                <w:szCs w:val="20"/>
                <w:color w:val="auto"/>
              </w:rPr>
            </w:pPr>
            <w:r>
              <w:rPr>
                <w:rFonts w:ascii="Arial" w:cs="Arial" w:eastAsia="Arial" w:hAnsi="Arial"/>
                <w:sz w:val="14"/>
                <w:szCs w:val="14"/>
                <w:b w:val="1"/>
                <w:bCs w:val="1"/>
                <w:color w:val="auto"/>
              </w:rPr>
              <w:t>3Q21</w:t>
            </w:r>
          </w:p>
        </w:tc>
        <w:tc>
          <w:tcPr>
            <w:tcW w:w="22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rPr>
              <w:t>QoQ</w:t>
            </w:r>
          </w:p>
        </w:tc>
        <w:tc>
          <w:tcPr>
            <w:tcW w:w="26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90"/>
              <w:spacing w:after="0" w:line="151" w:lineRule="exact"/>
              <w:rPr>
                <w:sz w:val="20"/>
                <w:szCs w:val="20"/>
                <w:color w:val="auto"/>
              </w:rPr>
            </w:pPr>
            <w:r>
              <w:rPr>
                <w:rFonts w:ascii="Arial" w:cs="Arial" w:eastAsia="Arial" w:hAnsi="Arial"/>
                <w:sz w:val="14"/>
                <w:szCs w:val="14"/>
                <w:b w:val="1"/>
                <w:bCs w:val="1"/>
                <w:color w:val="auto"/>
                <w:w w:val="95"/>
              </w:rPr>
              <w:t>YoY</w:t>
            </w:r>
          </w:p>
        </w:tc>
        <w:tc>
          <w:tcPr>
            <w:tcW w:w="24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70"/>
              <w:spacing w:after="0" w:line="151" w:lineRule="exact"/>
              <w:rPr>
                <w:sz w:val="20"/>
                <w:szCs w:val="20"/>
                <w:color w:val="auto"/>
              </w:rPr>
            </w:pPr>
            <w:r>
              <w:rPr>
                <w:rFonts w:ascii="Arial" w:cs="Arial" w:eastAsia="Arial" w:hAnsi="Arial"/>
                <w:sz w:val="14"/>
                <w:szCs w:val="14"/>
                <w:b w:val="1"/>
                <w:bCs w:val="1"/>
                <w:color w:val="auto"/>
              </w:rPr>
              <w:t>Sep 20</w:t>
            </w:r>
          </w:p>
        </w:tc>
        <w:tc>
          <w:tcPr>
            <w:tcW w:w="20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30"/>
              <w:spacing w:after="0" w:line="151" w:lineRule="exact"/>
              <w:rPr>
                <w:sz w:val="20"/>
                <w:szCs w:val="20"/>
                <w:color w:val="auto"/>
              </w:rPr>
            </w:pPr>
            <w:r>
              <w:rPr>
                <w:rFonts w:ascii="Arial" w:cs="Arial" w:eastAsia="Arial" w:hAnsi="Arial"/>
                <w:sz w:val="14"/>
                <w:szCs w:val="14"/>
                <w:b w:val="1"/>
                <w:bCs w:val="1"/>
                <w:color w:val="auto"/>
              </w:rPr>
              <w:t>Sep 21</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86"/>
              </w:rPr>
              <w:t>Sep 21 / Sep 20</w:t>
            </w:r>
          </w:p>
        </w:tc>
        <w:tc>
          <w:tcPr>
            <w:tcW w:w="140" w:type="dxa"/>
            <w:vAlign w:val="bottom"/>
            <w:tcBorders>
              <w:bottom w:val="single" w:sz="8" w:color="CCEEFF"/>
            </w:tcBorders>
          </w:tcPr>
          <w:p>
            <w:pPr>
              <w:spacing w:after="0"/>
              <w:rPr>
                <w:sz w:val="13"/>
                <w:szCs w:val="13"/>
                <w:color w:val="auto"/>
              </w:rPr>
            </w:pPr>
          </w:p>
        </w:tc>
      </w:tr>
      <w:tr>
        <w:trPr>
          <w:trHeight w:val="177"/>
        </w:trPr>
        <w:tc>
          <w:tcPr>
            <w:tcW w:w="3360" w:type="dxa"/>
            <w:vAlign w:val="bottom"/>
            <w:shd w:val="clear" w:color="auto" w:fill="CCEEFF"/>
          </w:tcPr>
          <w:p>
            <w:pPr>
              <w:spacing w:after="0" w:line="177" w:lineRule="exact"/>
              <w:rPr>
                <w:sz w:val="20"/>
                <w:szCs w:val="20"/>
                <w:color w:val="auto"/>
              </w:rPr>
            </w:pPr>
            <w:r>
              <w:rPr>
                <w:rFonts w:ascii="Arial" w:cs="Arial" w:eastAsia="Arial" w:hAnsi="Arial"/>
                <w:sz w:val="12"/>
                <w:szCs w:val="12"/>
                <w:color w:val="auto"/>
              </w:rPr>
              <w:t xml:space="preserve">Miscellaneous accounts </w:t>
            </w:r>
            <w:r>
              <w:rPr>
                <w:rFonts w:ascii="Arial" w:cs="Arial" w:eastAsia="Arial" w:hAnsi="Arial"/>
                <w:sz w:val="20"/>
                <w:szCs w:val="20"/>
                <w:color w:val="auto"/>
                <w:vertAlign w:val="superscript"/>
              </w:rPr>
              <w:t>(1)</w:t>
            </w: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165,699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180,183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211,284</w:t>
            </w: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17.3%</w:t>
            </w:r>
          </w:p>
        </w:tc>
        <w:tc>
          <w:tcPr>
            <w:tcW w:w="2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27.5%</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446,247</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572,531</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28.3%</w:t>
            </w:r>
          </w:p>
        </w:tc>
      </w:tr>
      <w:tr>
        <w:trPr>
          <w:trHeight w:val="184"/>
        </w:trPr>
        <w:tc>
          <w:tcPr>
            <w:tcW w:w="3580" w:type="dxa"/>
            <w:vAlign w:val="bottom"/>
            <w:gridSpan w:val="2"/>
          </w:tcPr>
          <w:p>
            <w:pPr>
              <w:spacing w:after="0" w:line="184" w:lineRule="exact"/>
              <w:rPr>
                <w:sz w:val="20"/>
                <w:szCs w:val="20"/>
                <w:color w:val="auto"/>
              </w:rPr>
            </w:pPr>
            <w:r>
              <w:rPr>
                <w:rFonts w:ascii="Arial" w:cs="Arial" w:eastAsia="Arial" w:hAnsi="Arial"/>
                <w:sz w:val="13"/>
                <w:szCs w:val="13"/>
                <w:color w:val="auto"/>
              </w:rPr>
              <w:t xml:space="preserve">Credit cards </w:t>
            </w:r>
            <w:r>
              <w:rPr>
                <w:rFonts w:ascii="Arial" w:cs="Arial" w:eastAsia="Arial" w:hAnsi="Arial"/>
                <w:sz w:val="21"/>
                <w:szCs w:val="21"/>
                <w:color w:val="auto"/>
                <w:vertAlign w:val="superscript"/>
              </w:rPr>
              <w:t>(2)</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51,781</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56,218</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44,557</w:t>
            </w:r>
          </w:p>
        </w:tc>
        <w:tc>
          <w:tcPr>
            <w:tcW w:w="900" w:type="dxa"/>
            <w:vAlign w:val="bottom"/>
            <w:gridSpan w:val="2"/>
          </w:tcPr>
          <w:p>
            <w:pPr>
              <w:jc w:val="right"/>
              <w:ind w:right="70"/>
              <w:spacing w:after="0"/>
              <w:rPr>
                <w:sz w:val="20"/>
                <w:szCs w:val="20"/>
                <w:color w:val="auto"/>
              </w:rPr>
            </w:pPr>
            <w:r>
              <w:rPr>
                <w:rFonts w:ascii="Arial" w:cs="Arial" w:eastAsia="Arial" w:hAnsi="Arial"/>
                <w:sz w:val="14"/>
                <w:szCs w:val="14"/>
                <w:color w:val="auto"/>
              </w:rPr>
              <w:t>-20.7%</w:t>
            </w:r>
          </w:p>
        </w:tc>
        <w:tc>
          <w:tcPr>
            <w:tcW w:w="240" w:type="dxa"/>
            <w:vAlign w:val="bottom"/>
          </w:tcPr>
          <w:p>
            <w:pPr>
              <w:spacing w:after="0"/>
              <w:rPr>
                <w:sz w:val="15"/>
                <w:szCs w:val="15"/>
                <w:color w:val="auto"/>
              </w:rPr>
            </w:pPr>
          </w:p>
        </w:tc>
        <w:tc>
          <w:tcPr>
            <w:tcW w:w="780" w:type="dxa"/>
            <w:vAlign w:val="bottom"/>
            <w:gridSpan w:val="2"/>
          </w:tcPr>
          <w:p>
            <w:pPr>
              <w:jc w:val="right"/>
              <w:ind w:right="70"/>
              <w:spacing w:after="0"/>
              <w:rPr>
                <w:sz w:val="20"/>
                <w:szCs w:val="20"/>
                <w:color w:val="auto"/>
              </w:rPr>
            </w:pPr>
            <w:r>
              <w:rPr>
                <w:rFonts w:ascii="Arial" w:cs="Arial" w:eastAsia="Arial" w:hAnsi="Arial"/>
                <w:sz w:val="14"/>
                <w:szCs w:val="14"/>
                <w:color w:val="auto"/>
              </w:rPr>
              <w:t>-14.0%</w:t>
            </w:r>
          </w:p>
        </w:tc>
        <w:tc>
          <w:tcPr>
            <w:tcW w:w="680" w:type="dxa"/>
            <w:vAlign w:val="bottom"/>
          </w:tcPr>
          <w:p>
            <w:pPr>
              <w:jc w:val="right"/>
              <w:spacing w:after="0"/>
              <w:rPr>
                <w:sz w:val="20"/>
                <w:szCs w:val="20"/>
                <w:color w:val="auto"/>
              </w:rPr>
            </w:pPr>
            <w:r>
              <w:rPr>
                <w:rFonts w:ascii="Arial" w:cs="Arial" w:eastAsia="Arial" w:hAnsi="Arial"/>
                <w:sz w:val="14"/>
                <w:szCs w:val="14"/>
                <w:color w:val="auto"/>
              </w:rPr>
              <w:t>124,822</w:t>
            </w: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154,794</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24.0%</w:t>
            </w:r>
          </w:p>
        </w:tc>
      </w:tr>
      <w:tr>
        <w:trPr>
          <w:trHeight w:val="144"/>
        </w:trPr>
        <w:tc>
          <w:tcPr>
            <w:tcW w:w="358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Drafts and transfers</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62,106</w:t>
            </w:r>
          </w:p>
        </w:tc>
        <w:tc>
          <w:tcPr>
            <w:tcW w:w="8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98,796</w:t>
            </w:r>
          </w:p>
        </w:tc>
        <w:tc>
          <w:tcPr>
            <w:tcW w:w="10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108,981</w:t>
            </w:r>
          </w:p>
        </w:tc>
        <w:tc>
          <w:tcPr>
            <w:tcW w:w="90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10.3%</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75.5%</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164,947</w:t>
            </w:r>
          </w:p>
        </w:tc>
        <w:tc>
          <w:tcPr>
            <w:tcW w:w="1080" w:type="dxa"/>
            <w:vAlign w:val="bottom"/>
            <w:gridSpan w:val="3"/>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292,403</w:t>
            </w:r>
          </w:p>
        </w:tc>
        <w:tc>
          <w:tcPr>
            <w:tcW w:w="1140" w:type="dxa"/>
            <w:vAlign w:val="bottom"/>
            <w:gridSpan w:val="3"/>
            <w:shd w:val="clear" w:color="auto" w:fill="CCEEFF"/>
          </w:tcPr>
          <w:p>
            <w:pPr>
              <w:jc w:val="right"/>
              <w:spacing w:after="0" w:line="145" w:lineRule="exact"/>
              <w:rPr>
                <w:sz w:val="20"/>
                <w:szCs w:val="20"/>
                <w:color w:val="auto"/>
              </w:rPr>
            </w:pPr>
            <w:r>
              <w:rPr>
                <w:rFonts w:ascii="Arial" w:cs="Arial" w:eastAsia="Arial" w:hAnsi="Arial"/>
                <w:sz w:val="14"/>
                <w:szCs w:val="14"/>
                <w:color w:val="auto"/>
              </w:rPr>
              <w:t>77.3%</w:t>
            </w:r>
          </w:p>
        </w:tc>
      </w:tr>
      <w:tr>
        <w:trPr>
          <w:trHeight w:val="184"/>
        </w:trPr>
        <w:tc>
          <w:tcPr>
            <w:tcW w:w="3580" w:type="dxa"/>
            <w:vAlign w:val="bottom"/>
            <w:gridSpan w:val="2"/>
          </w:tcPr>
          <w:p>
            <w:pPr>
              <w:spacing w:after="0" w:line="184" w:lineRule="exact"/>
              <w:rPr>
                <w:sz w:val="20"/>
                <w:szCs w:val="20"/>
                <w:color w:val="auto"/>
              </w:rPr>
            </w:pPr>
            <w:r>
              <w:rPr>
                <w:rFonts w:ascii="Arial" w:cs="Arial" w:eastAsia="Arial" w:hAnsi="Arial"/>
                <w:sz w:val="13"/>
                <w:szCs w:val="13"/>
                <w:color w:val="auto"/>
              </w:rPr>
              <w:t xml:space="preserve">Personal loans </w:t>
            </w:r>
            <w:r>
              <w:rPr>
                <w:rFonts w:ascii="Arial" w:cs="Arial" w:eastAsia="Arial" w:hAnsi="Arial"/>
                <w:sz w:val="21"/>
                <w:szCs w:val="21"/>
                <w:color w:val="auto"/>
                <w:vertAlign w:val="superscript"/>
              </w:rPr>
              <w:t>(2)</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29,197</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27,608</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17,925</w:t>
            </w:r>
          </w:p>
        </w:tc>
        <w:tc>
          <w:tcPr>
            <w:tcW w:w="900" w:type="dxa"/>
            <w:vAlign w:val="bottom"/>
            <w:gridSpan w:val="2"/>
          </w:tcPr>
          <w:p>
            <w:pPr>
              <w:jc w:val="right"/>
              <w:ind w:right="70"/>
              <w:spacing w:after="0"/>
              <w:rPr>
                <w:sz w:val="20"/>
                <w:szCs w:val="20"/>
                <w:color w:val="auto"/>
              </w:rPr>
            </w:pPr>
            <w:r>
              <w:rPr>
                <w:rFonts w:ascii="Arial" w:cs="Arial" w:eastAsia="Arial" w:hAnsi="Arial"/>
                <w:sz w:val="14"/>
                <w:szCs w:val="14"/>
                <w:color w:val="auto"/>
              </w:rPr>
              <w:t>-35.1%</w:t>
            </w:r>
          </w:p>
        </w:tc>
        <w:tc>
          <w:tcPr>
            <w:tcW w:w="240" w:type="dxa"/>
            <w:vAlign w:val="bottom"/>
          </w:tcPr>
          <w:p>
            <w:pPr>
              <w:spacing w:after="0"/>
              <w:rPr>
                <w:sz w:val="15"/>
                <w:szCs w:val="15"/>
                <w:color w:val="auto"/>
              </w:rPr>
            </w:pPr>
          </w:p>
        </w:tc>
        <w:tc>
          <w:tcPr>
            <w:tcW w:w="780" w:type="dxa"/>
            <w:vAlign w:val="bottom"/>
            <w:gridSpan w:val="2"/>
          </w:tcPr>
          <w:p>
            <w:pPr>
              <w:jc w:val="right"/>
              <w:ind w:right="70"/>
              <w:spacing w:after="0"/>
              <w:rPr>
                <w:sz w:val="20"/>
                <w:szCs w:val="20"/>
                <w:color w:val="auto"/>
              </w:rPr>
            </w:pPr>
            <w:r>
              <w:rPr>
                <w:rFonts w:ascii="Arial" w:cs="Arial" w:eastAsia="Arial" w:hAnsi="Arial"/>
                <w:sz w:val="14"/>
                <w:szCs w:val="14"/>
                <w:color w:val="auto"/>
              </w:rPr>
              <w:t>-38.6%</w:t>
            </w:r>
          </w:p>
        </w:tc>
        <w:tc>
          <w:tcPr>
            <w:tcW w:w="680" w:type="dxa"/>
            <w:vAlign w:val="bottom"/>
          </w:tcPr>
          <w:p>
            <w:pPr>
              <w:jc w:val="right"/>
              <w:spacing w:after="0"/>
              <w:rPr>
                <w:sz w:val="20"/>
                <w:szCs w:val="20"/>
                <w:color w:val="auto"/>
              </w:rPr>
            </w:pPr>
            <w:r>
              <w:rPr>
                <w:rFonts w:ascii="Arial" w:cs="Arial" w:eastAsia="Arial" w:hAnsi="Arial"/>
                <w:sz w:val="14"/>
                <w:szCs w:val="14"/>
                <w:color w:val="auto"/>
              </w:rPr>
              <w:t>68,847</w:t>
            </w: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69,804</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1.4%</w:t>
            </w:r>
          </w:p>
        </w:tc>
      </w:tr>
      <w:tr>
        <w:trPr>
          <w:trHeight w:val="184"/>
        </w:trPr>
        <w:tc>
          <w:tcPr>
            <w:tcW w:w="3580" w:type="dxa"/>
            <w:vAlign w:val="bottom"/>
            <w:gridSpan w:val="2"/>
            <w:shd w:val="clear" w:color="auto" w:fill="CCEEFF"/>
          </w:tcPr>
          <w:p>
            <w:pPr>
              <w:spacing w:after="0" w:line="184" w:lineRule="exact"/>
              <w:rPr>
                <w:sz w:val="20"/>
                <w:szCs w:val="20"/>
                <w:color w:val="auto"/>
              </w:rPr>
            </w:pPr>
            <w:r>
              <w:rPr>
                <w:rFonts w:ascii="Arial" w:cs="Arial" w:eastAsia="Arial" w:hAnsi="Arial"/>
                <w:sz w:val="13"/>
                <w:szCs w:val="13"/>
                <w:color w:val="auto"/>
              </w:rPr>
              <w:t xml:space="preserve">SME loans </w:t>
            </w:r>
            <w:r>
              <w:rPr>
                <w:rFonts w:ascii="Arial" w:cs="Arial" w:eastAsia="Arial" w:hAnsi="Arial"/>
                <w:sz w:val="21"/>
                <w:szCs w:val="21"/>
                <w:color w:val="auto"/>
                <w:vertAlign w:val="superscript"/>
              </w:rPr>
              <w:t>(2)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20,161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16,821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7,441</w:t>
            </w: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-55.8%</w:t>
            </w:r>
          </w:p>
        </w:tc>
        <w:tc>
          <w:tcPr>
            <w:tcW w:w="2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-63.1%</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45,419</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38,797</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-14.6%</w:t>
            </w:r>
          </w:p>
        </w:tc>
      </w:tr>
      <w:tr>
        <w:trPr>
          <w:trHeight w:val="184"/>
        </w:trPr>
        <w:tc>
          <w:tcPr>
            <w:tcW w:w="3580" w:type="dxa"/>
            <w:vAlign w:val="bottom"/>
            <w:gridSpan w:val="2"/>
          </w:tcPr>
          <w:p>
            <w:pPr>
              <w:spacing w:after="0" w:line="184" w:lineRule="exact"/>
              <w:rPr>
                <w:sz w:val="20"/>
                <w:szCs w:val="20"/>
                <w:color w:val="auto"/>
              </w:rPr>
            </w:pPr>
            <w:r>
              <w:rPr>
                <w:rFonts w:ascii="Arial" w:cs="Arial" w:eastAsia="Arial" w:hAnsi="Arial"/>
                <w:sz w:val="13"/>
                <w:szCs w:val="13"/>
                <w:color w:val="auto"/>
              </w:rPr>
              <w:t xml:space="preserve">Insurance </w:t>
            </w:r>
            <w:r>
              <w:rPr>
                <w:rFonts w:ascii="Arial" w:cs="Arial" w:eastAsia="Arial" w:hAnsi="Arial"/>
                <w:sz w:val="21"/>
                <w:szCs w:val="21"/>
                <w:color w:val="auto"/>
                <w:vertAlign w:val="superscript"/>
              </w:rPr>
              <w:t>(2)</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23,990</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26,897</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28,713</w:t>
            </w:r>
          </w:p>
        </w:tc>
        <w:tc>
          <w:tcPr>
            <w:tcW w:w="900" w:type="dxa"/>
            <w:vAlign w:val="bottom"/>
            <w:gridSpan w:val="2"/>
          </w:tcPr>
          <w:p>
            <w:pPr>
              <w:jc w:val="right"/>
              <w:ind w:right="70"/>
              <w:spacing w:after="0"/>
              <w:rPr>
                <w:sz w:val="20"/>
                <w:szCs w:val="20"/>
                <w:color w:val="auto"/>
              </w:rPr>
            </w:pPr>
            <w:r>
              <w:rPr>
                <w:rFonts w:ascii="Arial" w:cs="Arial" w:eastAsia="Arial" w:hAnsi="Arial"/>
                <w:sz w:val="14"/>
                <w:szCs w:val="14"/>
                <w:color w:val="auto"/>
              </w:rPr>
              <w:t>6.8%</w:t>
            </w:r>
          </w:p>
        </w:tc>
        <w:tc>
          <w:tcPr>
            <w:tcW w:w="240" w:type="dxa"/>
            <w:vAlign w:val="bottom"/>
          </w:tcPr>
          <w:p>
            <w:pPr>
              <w:spacing w:after="0"/>
              <w:rPr>
                <w:sz w:val="15"/>
                <w:szCs w:val="15"/>
                <w:color w:val="auto"/>
              </w:rPr>
            </w:pPr>
          </w:p>
        </w:tc>
        <w:tc>
          <w:tcPr>
            <w:tcW w:w="780" w:type="dxa"/>
            <w:vAlign w:val="bottom"/>
            <w:gridSpan w:val="2"/>
          </w:tcPr>
          <w:p>
            <w:pPr>
              <w:jc w:val="right"/>
              <w:ind w:right="70"/>
              <w:spacing w:after="0"/>
              <w:rPr>
                <w:sz w:val="20"/>
                <w:szCs w:val="20"/>
                <w:color w:val="auto"/>
              </w:rPr>
            </w:pPr>
            <w:r>
              <w:rPr>
                <w:rFonts w:ascii="Arial" w:cs="Arial" w:eastAsia="Arial" w:hAnsi="Arial"/>
                <w:sz w:val="14"/>
                <w:szCs w:val="14"/>
                <w:color w:val="auto"/>
              </w:rPr>
              <w:t>19.7%</w:t>
            </w:r>
          </w:p>
        </w:tc>
        <w:tc>
          <w:tcPr>
            <w:tcW w:w="680" w:type="dxa"/>
            <w:vAlign w:val="bottom"/>
          </w:tcPr>
          <w:p>
            <w:pPr>
              <w:jc w:val="right"/>
              <w:spacing w:after="0"/>
              <w:rPr>
                <w:sz w:val="20"/>
                <w:szCs w:val="20"/>
                <w:color w:val="auto"/>
              </w:rPr>
            </w:pPr>
            <w:r>
              <w:rPr>
                <w:rFonts w:ascii="Arial" w:cs="Arial" w:eastAsia="Arial" w:hAnsi="Arial"/>
                <w:sz w:val="14"/>
                <w:szCs w:val="14"/>
                <w:color w:val="auto"/>
              </w:rPr>
              <w:t>71,916</w:t>
            </w: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82,800</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15.1%</w:t>
            </w:r>
          </w:p>
        </w:tc>
      </w:tr>
      <w:tr>
        <w:trPr>
          <w:trHeight w:val="184"/>
        </w:trPr>
        <w:tc>
          <w:tcPr>
            <w:tcW w:w="3580" w:type="dxa"/>
            <w:vAlign w:val="bottom"/>
            <w:gridSpan w:val="2"/>
            <w:shd w:val="clear" w:color="auto" w:fill="CCEEFF"/>
          </w:tcPr>
          <w:p>
            <w:pPr>
              <w:spacing w:after="0" w:line="184" w:lineRule="exact"/>
              <w:rPr>
                <w:sz w:val="20"/>
                <w:szCs w:val="20"/>
                <w:color w:val="auto"/>
              </w:rPr>
            </w:pPr>
            <w:r>
              <w:rPr>
                <w:rFonts w:ascii="Arial" w:cs="Arial" w:eastAsia="Arial" w:hAnsi="Arial"/>
                <w:sz w:val="13"/>
                <w:szCs w:val="13"/>
                <w:color w:val="auto"/>
              </w:rPr>
              <w:t xml:space="preserve">Mortgage loans </w:t>
            </w:r>
            <w:r>
              <w:rPr>
                <w:rFonts w:ascii="Arial" w:cs="Arial" w:eastAsia="Arial" w:hAnsi="Arial"/>
                <w:sz w:val="21"/>
                <w:szCs w:val="21"/>
                <w:color w:val="auto"/>
                <w:vertAlign w:val="superscript"/>
              </w:rPr>
              <w:t>(2)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14,085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9,373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7,277</w:t>
            </w: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-22.4%</w:t>
            </w:r>
          </w:p>
        </w:tc>
        <w:tc>
          <w:tcPr>
            <w:tcW w:w="2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-48.3%</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22,617</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24,413</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184"/>
        </w:trPr>
        <w:tc>
          <w:tcPr>
            <w:tcW w:w="3580" w:type="dxa"/>
            <w:vAlign w:val="bottom"/>
            <w:gridSpan w:val="2"/>
          </w:tcPr>
          <w:p>
            <w:pPr>
              <w:spacing w:after="0" w:line="184" w:lineRule="exact"/>
              <w:rPr>
                <w:sz w:val="20"/>
                <w:szCs w:val="20"/>
                <w:color w:val="auto"/>
              </w:rPr>
            </w:pPr>
            <w:r>
              <w:rPr>
                <w:rFonts w:ascii="Arial" w:cs="Arial" w:eastAsia="Arial" w:hAnsi="Arial"/>
                <w:sz w:val="13"/>
                <w:szCs w:val="13"/>
                <w:color w:val="auto"/>
              </w:rPr>
              <w:t xml:space="preserve">Off-balance sheet </w:t>
            </w:r>
            <w:r>
              <w:rPr>
                <w:rFonts w:ascii="Arial" w:cs="Arial" w:eastAsia="Arial" w:hAnsi="Arial"/>
                <w:sz w:val="21"/>
                <w:szCs w:val="21"/>
                <w:color w:val="auto"/>
                <w:vertAlign w:val="superscript"/>
              </w:rPr>
              <w:t>(3)</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48,430</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60,592</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65,919</w:t>
            </w:r>
          </w:p>
        </w:tc>
        <w:tc>
          <w:tcPr>
            <w:tcW w:w="900" w:type="dxa"/>
            <w:vAlign w:val="bottom"/>
            <w:gridSpan w:val="2"/>
          </w:tcPr>
          <w:p>
            <w:pPr>
              <w:jc w:val="right"/>
              <w:ind w:right="70"/>
              <w:spacing w:after="0"/>
              <w:rPr>
                <w:sz w:val="20"/>
                <w:szCs w:val="20"/>
                <w:color w:val="auto"/>
              </w:rPr>
            </w:pPr>
            <w:r>
              <w:rPr>
                <w:rFonts w:ascii="Arial" w:cs="Arial" w:eastAsia="Arial" w:hAnsi="Arial"/>
                <w:sz w:val="14"/>
                <w:szCs w:val="14"/>
                <w:color w:val="auto"/>
              </w:rPr>
              <w:t>8.8%</w:t>
            </w:r>
          </w:p>
        </w:tc>
        <w:tc>
          <w:tcPr>
            <w:tcW w:w="240" w:type="dxa"/>
            <w:vAlign w:val="bottom"/>
          </w:tcPr>
          <w:p>
            <w:pPr>
              <w:spacing w:after="0"/>
              <w:rPr>
                <w:sz w:val="15"/>
                <w:szCs w:val="15"/>
                <w:color w:val="auto"/>
              </w:rPr>
            </w:pPr>
          </w:p>
        </w:tc>
        <w:tc>
          <w:tcPr>
            <w:tcW w:w="780" w:type="dxa"/>
            <w:vAlign w:val="bottom"/>
            <w:gridSpan w:val="2"/>
          </w:tcPr>
          <w:p>
            <w:pPr>
              <w:jc w:val="right"/>
              <w:ind w:right="70"/>
              <w:spacing w:after="0"/>
              <w:rPr>
                <w:sz w:val="20"/>
                <w:szCs w:val="20"/>
                <w:color w:val="auto"/>
              </w:rPr>
            </w:pPr>
            <w:r>
              <w:rPr>
                <w:rFonts w:ascii="Arial" w:cs="Arial" w:eastAsia="Arial" w:hAnsi="Arial"/>
                <w:sz w:val="14"/>
                <w:szCs w:val="14"/>
                <w:color w:val="auto"/>
              </w:rPr>
              <w:t>36.1%</w:t>
            </w:r>
          </w:p>
        </w:tc>
        <w:tc>
          <w:tcPr>
            <w:tcW w:w="680" w:type="dxa"/>
            <w:vAlign w:val="bottom"/>
          </w:tcPr>
          <w:p>
            <w:pPr>
              <w:jc w:val="right"/>
              <w:spacing w:after="0"/>
              <w:rPr>
                <w:sz w:val="20"/>
                <w:szCs w:val="20"/>
                <w:color w:val="auto"/>
              </w:rPr>
            </w:pPr>
            <w:r>
              <w:rPr>
                <w:rFonts w:ascii="Arial" w:cs="Arial" w:eastAsia="Arial" w:hAnsi="Arial"/>
                <w:sz w:val="14"/>
                <w:szCs w:val="14"/>
                <w:color w:val="auto"/>
              </w:rPr>
              <w:t>147,754</w:t>
            </w: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186,376</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26.1%</w:t>
            </w:r>
          </w:p>
        </w:tc>
      </w:tr>
      <w:tr>
        <w:trPr>
          <w:trHeight w:val="184"/>
        </w:trPr>
        <w:tc>
          <w:tcPr>
            <w:tcW w:w="3580" w:type="dxa"/>
            <w:vAlign w:val="bottom"/>
            <w:gridSpan w:val="2"/>
            <w:shd w:val="clear" w:color="auto" w:fill="CCEEFF"/>
          </w:tcPr>
          <w:p>
            <w:pPr>
              <w:spacing w:after="0" w:line="184" w:lineRule="exact"/>
              <w:rPr>
                <w:sz w:val="20"/>
                <w:szCs w:val="20"/>
                <w:color w:val="auto"/>
              </w:rPr>
            </w:pPr>
            <w:r>
              <w:rPr>
                <w:rFonts w:ascii="Arial" w:cs="Arial" w:eastAsia="Arial" w:hAnsi="Arial"/>
                <w:sz w:val="13"/>
                <w:szCs w:val="13"/>
                <w:color w:val="auto"/>
              </w:rPr>
              <w:t xml:space="preserve">Payments and collections </w:t>
            </w:r>
            <w:r>
              <w:rPr>
                <w:rFonts w:ascii="Arial" w:cs="Arial" w:eastAsia="Arial" w:hAnsi="Arial"/>
                <w:sz w:val="21"/>
                <w:szCs w:val="21"/>
                <w:color w:val="auto"/>
                <w:vertAlign w:val="superscript"/>
              </w:rPr>
              <w:t>(3)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99,836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108,670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117,185</w:t>
            </w: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7.8%</w:t>
            </w:r>
          </w:p>
        </w:tc>
        <w:tc>
          <w:tcPr>
            <w:tcW w:w="2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17.4%</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283,443</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332,238</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17.2%</w:t>
            </w:r>
          </w:p>
        </w:tc>
      </w:tr>
      <w:tr>
        <w:trPr>
          <w:trHeight w:val="184"/>
        </w:trPr>
        <w:tc>
          <w:tcPr>
            <w:tcW w:w="3580" w:type="dxa"/>
            <w:vAlign w:val="bottom"/>
            <w:gridSpan w:val="2"/>
          </w:tcPr>
          <w:p>
            <w:pPr>
              <w:spacing w:after="0" w:line="184" w:lineRule="exact"/>
              <w:rPr>
                <w:sz w:val="20"/>
                <w:szCs w:val="20"/>
                <w:color w:val="auto"/>
              </w:rPr>
            </w:pPr>
            <w:r>
              <w:rPr>
                <w:rFonts w:ascii="Arial" w:cs="Arial" w:eastAsia="Arial" w:hAnsi="Arial"/>
                <w:sz w:val="13"/>
                <w:szCs w:val="13"/>
                <w:color w:val="auto"/>
              </w:rPr>
              <w:t xml:space="preserve">Commercial loans </w:t>
            </w:r>
            <w:r>
              <w:rPr>
                <w:rFonts w:ascii="Arial" w:cs="Arial" w:eastAsia="Arial" w:hAnsi="Arial"/>
                <w:sz w:val="21"/>
                <w:szCs w:val="21"/>
                <w:color w:val="auto"/>
                <w:vertAlign w:val="superscript"/>
              </w:rPr>
              <w:t>(3)(4)</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16,626</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16,766</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16,504</w:t>
            </w:r>
          </w:p>
        </w:tc>
        <w:tc>
          <w:tcPr>
            <w:tcW w:w="900" w:type="dxa"/>
            <w:vAlign w:val="bottom"/>
            <w:gridSpan w:val="2"/>
          </w:tcPr>
          <w:p>
            <w:pPr>
              <w:jc w:val="right"/>
              <w:ind w:right="70"/>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5"/>
                <w:szCs w:val="15"/>
                <w:color w:val="auto"/>
              </w:rPr>
            </w:pPr>
          </w:p>
        </w:tc>
        <w:tc>
          <w:tcPr>
            <w:tcW w:w="780" w:type="dxa"/>
            <w:vAlign w:val="bottom"/>
            <w:gridSpan w:val="2"/>
          </w:tcPr>
          <w:p>
            <w:pPr>
              <w:jc w:val="right"/>
              <w:ind w:right="70"/>
              <w:spacing w:after="0"/>
              <w:rPr>
                <w:sz w:val="20"/>
                <w:szCs w:val="20"/>
                <w:color w:val="auto"/>
              </w:rPr>
            </w:pPr>
            <w:r>
              <w:rPr>
                <w:rFonts w:ascii="Arial" w:cs="Arial" w:eastAsia="Arial" w:hAnsi="Arial"/>
                <w:sz w:val="14"/>
                <w:szCs w:val="14"/>
                <w:color w:val="auto"/>
              </w:rPr>
              <w:t>-0.7%</w:t>
            </w:r>
          </w:p>
        </w:tc>
        <w:tc>
          <w:tcPr>
            <w:tcW w:w="680" w:type="dxa"/>
            <w:vAlign w:val="bottom"/>
          </w:tcPr>
          <w:p>
            <w:pPr>
              <w:jc w:val="right"/>
              <w:spacing w:after="0"/>
              <w:rPr>
                <w:sz w:val="20"/>
                <w:szCs w:val="20"/>
                <w:color w:val="auto"/>
              </w:rPr>
            </w:pPr>
            <w:r>
              <w:rPr>
                <w:rFonts w:ascii="Arial" w:cs="Arial" w:eastAsia="Arial" w:hAnsi="Arial"/>
                <w:sz w:val="14"/>
                <w:szCs w:val="14"/>
                <w:color w:val="auto"/>
              </w:rPr>
              <w:t>45,052</w:t>
            </w: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48,662</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8.0%</w:t>
            </w:r>
          </w:p>
        </w:tc>
      </w:tr>
      <w:tr>
        <w:trPr>
          <w:trHeight w:val="184"/>
        </w:trPr>
        <w:tc>
          <w:tcPr>
            <w:tcW w:w="3580" w:type="dxa"/>
            <w:vAlign w:val="bottom"/>
            <w:gridSpan w:val="2"/>
            <w:shd w:val="clear" w:color="auto" w:fill="CCEEFF"/>
          </w:tcPr>
          <w:p>
            <w:pPr>
              <w:spacing w:after="0" w:line="184" w:lineRule="exact"/>
              <w:rPr>
                <w:sz w:val="20"/>
                <w:szCs w:val="20"/>
                <w:color w:val="auto"/>
              </w:rPr>
            </w:pPr>
            <w:r>
              <w:rPr>
                <w:rFonts w:ascii="Arial" w:cs="Arial" w:eastAsia="Arial" w:hAnsi="Arial"/>
                <w:sz w:val="13"/>
                <w:szCs w:val="13"/>
                <w:color w:val="auto"/>
              </w:rPr>
              <w:t xml:space="preserve">Foreign trade </w:t>
            </w:r>
            <w:r>
              <w:rPr>
                <w:rFonts w:ascii="Arial" w:cs="Arial" w:eastAsia="Arial" w:hAnsi="Arial"/>
                <w:sz w:val="21"/>
                <w:szCs w:val="21"/>
                <w:color w:val="auto"/>
                <w:vertAlign w:val="superscript"/>
              </w:rPr>
              <w:t>(3)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12,079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17,905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18,497</w:t>
            </w: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3.3%</w:t>
            </w:r>
          </w:p>
        </w:tc>
        <w:tc>
          <w:tcPr>
            <w:tcW w:w="2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53.1%</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33,615</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51,593</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53.5%</w:t>
            </w:r>
          </w:p>
        </w:tc>
      </w:tr>
      <w:tr>
        <w:trPr>
          <w:trHeight w:val="184"/>
        </w:trPr>
        <w:tc>
          <w:tcPr>
            <w:tcW w:w="3580" w:type="dxa"/>
            <w:vAlign w:val="bottom"/>
            <w:gridSpan w:val="2"/>
          </w:tcPr>
          <w:p>
            <w:pPr>
              <w:spacing w:after="0" w:line="184" w:lineRule="exact"/>
              <w:rPr>
                <w:sz w:val="20"/>
                <w:szCs w:val="20"/>
                <w:color w:val="auto"/>
              </w:rPr>
            </w:pPr>
            <w:r>
              <w:rPr>
                <w:rFonts w:ascii="Arial" w:cs="Arial" w:eastAsia="Arial" w:hAnsi="Arial"/>
                <w:sz w:val="13"/>
                <w:szCs w:val="13"/>
                <w:color w:val="auto"/>
              </w:rPr>
              <w:t xml:space="preserve">Corporate finance and mutual funds </w:t>
            </w:r>
            <w:r>
              <w:rPr>
                <w:rFonts w:ascii="Arial" w:cs="Arial" w:eastAsia="Arial" w:hAnsi="Arial"/>
                <w:sz w:val="21"/>
                <w:szCs w:val="21"/>
                <w:color w:val="auto"/>
                <w:vertAlign w:val="superscript"/>
              </w:rPr>
              <w:t>(4)</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13,162</w:t>
            </w:r>
          </w:p>
        </w:tc>
        <w:tc>
          <w:tcPr>
            <w:tcW w:w="660" w:type="dxa"/>
            <w:vAlign w:val="bottom"/>
          </w:tcPr>
          <w:p>
            <w:pPr>
              <w:jc w:val="right"/>
              <w:spacing w:after="0"/>
              <w:rPr>
                <w:sz w:val="20"/>
                <w:szCs w:val="20"/>
                <w:color w:val="auto"/>
              </w:rPr>
            </w:pPr>
            <w:r>
              <w:rPr>
                <w:rFonts w:ascii="Arial" w:cs="Arial" w:eastAsia="Arial" w:hAnsi="Arial"/>
                <w:sz w:val="14"/>
                <w:szCs w:val="14"/>
                <w:color w:val="auto"/>
              </w:rPr>
              <w:t>13,011</w:t>
            </w:r>
          </w:p>
        </w:tc>
        <w:tc>
          <w:tcPr>
            <w:tcW w:w="20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9,165</w:t>
            </w:r>
          </w:p>
        </w:tc>
        <w:tc>
          <w:tcPr>
            <w:tcW w:w="900" w:type="dxa"/>
            <w:vAlign w:val="bottom"/>
            <w:gridSpan w:val="2"/>
          </w:tcPr>
          <w:p>
            <w:pPr>
              <w:jc w:val="right"/>
              <w:ind w:right="70"/>
              <w:spacing w:after="0"/>
              <w:rPr>
                <w:sz w:val="20"/>
                <w:szCs w:val="20"/>
                <w:color w:val="auto"/>
              </w:rPr>
            </w:pPr>
            <w:r>
              <w:rPr>
                <w:rFonts w:ascii="Arial" w:cs="Arial" w:eastAsia="Arial" w:hAnsi="Arial"/>
                <w:sz w:val="14"/>
                <w:szCs w:val="14"/>
                <w:color w:val="auto"/>
              </w:rPr>
              <w:t>-29.6%</w:t>
            </w:r>
          </w:p>
        </w:tc>
        <w:tc>
          <w:tcPr>
            <w:tcW w:w="240" w:type="dxa"/>
            <w:vAlign w:val="bottom"/>
          </w:tcPr>
          <w:p>
            <w:pPr>
              <w:spacing w:after="0"/>
              <w:rPr>
                <w:sz w:val="15"/>
                <w:szCs w:val="15"/>
                <w:color w:val="auto"/>
              </w:rPr>
            </w:pPr>
          </w:p>
        </w:tc>
        <w:tc>
          <w:tcPr>
            <w:tcW w:w="780" w:type="dxa"/>
            <w:vAlign w:val="bottom"/>
            <w:gridSpan w:val="2"/>
          </w:tcPr>
          <w:p>
            <w:pPr>
              <w:jc w:val="right"/>
              <w:ind w:right="70"/>
              <w:spacing w:after="0"/>
              <w:rPr>
                <w:sz w:val="20"/>
                <w:szCs w:val="20"/>
                <w:color w:val="auto"/>
              </w:rPr>
            </w:pPr>
            <w:r>
              <w:rPr>
                <w:rFonts w:ascii="Arial" w:cs="Arial" w:eastAsia="Arial" w:hAnsi="Arial"/>
                <w:sz w:val="14"/>
                <w:szCs w:val="14"/>
                <w:color w:val="auto"/>
              </w:rPr>
              <w:t>-30.4%</w:t>
            </w:r>
          </w:p>
        </w:tc>
        <w:tc>
          <w:tcPr>
            <w:tcW w:w="680" w:type="dxa"/>
            <w:vAlign w:val="bottom"/>
          </w:tcPr>
          <w:p>
            <w:pPr>
              <w:jc w:val="right"/>
              <w:spacing w:after="0"/>
              <w:rPr>
                <w:sz w:val="20"/>
                <w:szCs w:val="20"/>
                <w:color w:val="auto"/>
              </w:rPr>
            </w:pPr>
            <w:r>
              <w:rPr>
                <w:rFonts w:ascii="Arial" w:cs="Arial" w:eastAsia="Arial" w:hAnsi="Arial"/>
                <w:sz w:val="14"/>
                <w:szCs w:val="14"/>
                <w:color w:val="auto"/>
              </w:rPr>
              <w:t>41,986</w:t>
            </w: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35,759</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-14.8%</w:t>
            </w:r>
          </w:p>
        </w:tc>
      </w:tr>
      <w:tr>
        <w:trPr>
          <w:trHeight w:val="144"/>
        </w:trPr>
        <w:tc>
          <w:tcPr>
            <w:tcW w:w="358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Mibanco</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3,639</w:t>
            </w:r>
          </w:p>
        </w:tc>
        <w:tc>
          <w:tcPr>
            <w:tcW w:w="8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10,727</w:t>
            </w:r>
          </w:p>
        </w:tc>
        <w:tc>
          <w:tcPr>
            <w:tcW w:w="10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18,583</w:t>
            </w:r>
          </w:p>
        </w:tc>
        <w:tc>
          <w:tcPr>
            <w:tcW w:w="90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73.2%</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410.6%</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27,811</w:t>
            </w:r>
          </w:p>
        </w:tc>
        <w:tc>
          <w:tcPr>
            <w:tcW w:w="1080" w:type="dxa"/>
            <w:vAlign w:val="bottom"/>
            <w:gridSpan w:val="3"/>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46,956</w:t>
            </w:r>
          </w:p>
        </w:tc>
        <w:tc>
          <w:tcPr>
            <w:tcW w:w="1140" w:type="dxa"/>
            <w:vAlign w:val="bottom"/>
            <w:gridSpan w:val="3"/>
            <w:shd w:val="clear" w:color="auto" w:fill="CCEEFF"/>
          </w:tcPr>
          <w:p>
            <w:pPr>
              <w:jc w:val="right"/>
              <w:spacing w:after="0" w:line="145" w:lineRule="exact"/>
              <w:rPr>
                <w:sz w:val="20"/>
                <w:szCs w:val="20"/>
                <w:color w:val="auto"/>
              </w:rPr>
            </w:pPr>
            <w:r>
              <w:rPr>
                <w:rFonts w:ascii="Arial" w:cs="Arial" w:eastAsia="Arial" w:hAnsi="Arial"/>
                <w:sz w:val="14"/>
                <w:szCs w:val="14"/>
                <w:color w:val="auto"/>
              </w:rPr>
              <w:t>68.8%</w:t>
            </w:r>
          </w:p>
        </w:tc>
      </w:tr>
      <w:tr>
        <w:trPr>
          <w:trHeight w:val="144"/>
        </w:trPr>
        <w:tc>
          <w:tcPr>
            <w:tcW w:w="3580" w:type="dxa"/>
            <w:vAlign w:val="bottom"/>
            <w:gridSpan w:val="2"/>
          </w:tcPr>
          <w:p>
            <w:pPr>
              <w:spacing w:after="0" w:line="145" w:lineRule="exact"/>
              <w:rPr>
                <w:sz w:val="20"/>
                <w:szCs w:val="20"/>
                <w:color w:val="auto"/>
              </w:rPr>
            </w:pPr>
            <w:r>
              <w:rPr>
                <w:rFonts w:ascii="Arial" w:cs="Arial" w:eastAsia="Arial" w:hAnsi="Arial"/>
                <w:sz w:val="14"/>
                <w:szCs w:val="14"/>
                <w:color w:val="auto"/>
              </w:rPr>
              <w:t>BCP Bolivia</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19,863</w:t>
            </w:r>
          </w:p>
        </w:tc>
        <w:tc>
          <w:tcPr>
            <w:tcW w:w="8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30,558</w:t>
            </w:r>
          </w:p>
        </w:tc>
        <w:tc>
          <w:tcPr>
            <w:tcW w:w="100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30,494</w:t>
            </w:r>
          </w:p>
        </w:tc>
        <w:tc>
          <w:tcPr>
            <w:tcW w:w="900" w:type="dxa"/>
            <w:vAlign w:val="bottom"/>
            <w:gridSpan w:val="2"/>
          </w:tcPr>
          <w:p>
            <w:pPr>
              <w:jc w:val="right"/>
              <w:ind w:right="70"/>
              <w:spacing w:after="0" w:line="145" w:lineRule="exact"/>
              <w:rPr>
                <w:sz w:val="20"/>
                <w:szCs w:val="20"/>
                <w:color w:val="auto"/>
              </w:rPr>
            </w:pPr>
            <w:r>
              <w:rPr>
                <w:rFonts w:ascii="Arial" w:cs="Arial" w:eastAsia="Arial" w:hAnsi="Arial"/>
                <w:sz w:val="14"/>
                <w:szCs w:val="14"/>
                <w:color w:val="auto"/>
              </w:rPr>
              <w:t>-0.2%</w:t>
            </w:r>
          </w:p>
        </w:tc>
        <w:tc>
          <w:tcPr>
            <w:tcW w:w="240" w:type="dxa"/>
            <w:vAlign w:val="bottom"/>
          </w:tcPr>
          <w:p>
            <w:pPr>
              <w:spacing w:after="0"/>
              <w:rPr>
                <w:sz w:val="12"/>
                <w:szCs w:val="12"/>
                <w:color w:val="auto"/>
              </w:rPr>
            </w:pPr>
          </w:p>
        </w:tc>
        <w:tc>
          <w:tcPr>
            <w:tcW w:w="780" w:type="dxa"/>
            <w:vAlign w:val="bottom"/>
            <w:gridSpan w:val="2"/>
          </w:tcPr>
          <w:p>
            <w:pPr>
              <w:jc w:val="right"/>
              <w:ind w:right="70"/>
              <w:spacing w:after="0" w:line="145" w:lineRule="exact"/>
              <w:rPr>
                <w:sz w:val="20"/>
                <w:szCs w:val="20"/>
                <w:color w:val="auto"/>
              </w:rPr>
            </w:pPr>
            <w:r>
              <w:rPr>
                <w:rFonts w:ascii="Arial" w:cs="Arial" w:eastAsia="Arial" w:hAnsi="Arial"/>
                <w:sz w:val="14"/>
                <w:szCs w:val="14"/>
                <w:color w:val="auto"/>
              </w:rPr>
              <w:t>53.5%</w:t>
            </w:r>
          </w:p>
        </w:tc>
        <w:tc>
          <w:tcPr>
            <w:tcW w:w="680" w:type="dxa"/>
            <w:vAlign w:val="bottom"/>
          </w:tcPr>
          <w:p>
            <w:pPr>
              <w:jc w:val="right"/>
              <w:spacing w:after="0" w:line="145" w:lineRule="exact"/>
              <w:rPr>
                <w:sz w:val="20"/>
                <w:szCs w:val="20"/>
                <w:color w:val="auto"/>
              </w:rPr>
            </w:pPr>
            <w:r>
              <w:rPr>
                <w:rFonts w:ascii="Arial" w:cs="Arial" w:eastAsia="Arial" w:hAnsi="Arial"/>
                <w:sz w:val="14"/>
                <w:szCs w:val="14"/>
                <w:color w:val="auto"/>
              </w:rPr>
              <w:t>70,283</w:t>
            </w:r>
          </w:p>
        </w:tc>
        <w:tc>
          <w:tcPr>
            <w:tcW w:w="1080" w:type="dxa"/>
            <w:vAlign w:val="bottom"/>
            <w:gridSpan w:val="3"/>
          </w:tcPr>
          <w:p>
            <w:pPr>
              <w:jc w:val="right"/>
              <w:ind w:right="100"/>
              <w:spacing w:after="0" w:line="145" w:lineRule="exact"/>
              <w:rPr>
                <w:sz w:val="20"/>
                <w:szCs w:val="20"/>
                <w:color w:val="auto"/>
              </w:rPr>
            </w:pPr>
            <w:r>
              <w:rPr>
                <w:rFonts w:ascii="Arial" w:cs="Arial" w:eastAsia="Arial" w:hAnsi="Arial"/>
                <w:sz w:val="14"/>
                <w:szCs w:val="14"/>
                <w:color w:val="auto"/>
              </w:rPr>
              <w:t>95,585</w:t>
            </w:r>
          </w:p>
        </w:tc>
        <w:tc>
          <w:tcPr>
            <w:tcW w:w="1140" w:type="dxa"/>
            <w:vAlign w:val="bottom"/>
            <w:gridSpan w:val="3"/>
          </w:tcPr>
          <w:p>
            <w:pPr>
              <w:jc w:val="right"/>
              <w:spacing w:after="0" w:line="145" w:lineRule="exact"/>
              <w:rPr>
                <w:sz w:val="20"/>
                <w:szCs w:val="20"/>
                <w:color w:val="auto"/>
              </w:rPr>
            </w:pPr>
            <w:r>
              <w:rPr>
                <w:rFonts w:ascii="Arial" w:cs="Arial" w:eastAsia="Arial" w:hAnsi="Arial"/>
                <w:sz w:val="14"/>
                <w:szCs w:val="14"/>
                <w:color w:val="auto"/>
              </w:rPr>
              <w:t>36.0%</w:t>
            </w:r>
          </w:p>
        </w:tc>
      </w:tr>
      <w:tr>
        <w:trPr>
          <w:trHeight w:val="144"/>
        </w:trPr>
        <w:tc>
          <w:tcPr>
            <w:tcW w:w="358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ASB</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10,024</w:t>
            </w:r>
          </w:p>
        </w:tc>
        <w:tc>
          <w:tcPr>
            <w:tcW w:w="8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21,590</w:t>
            </w:r>
          </w:p>
        </w:tc>
        <w:tc>
          <w:tcPr>
            <w:tcW w:w="10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24,545</w:t>
            </w:r>
          </w:p>
        </w:tc>
        <w:tc>
          <w:tcPr>
            <w:tcW w:w="90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13.7%</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144.9%</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39,549</w:t>
            </w:r>
          </w:p>
        </w:tc>
        <w:tc>
          <w:tcPr>
            <w:tcW w:w="1080" w:type="dxa"/>
            <w:vAlign w:val="bottom"/>
            <w:gridSpan w:val="3"/>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57,993</w:t>
            </w:r>
          </w:p>
        </w:tc>
        <w:tc>
          <w:tcPr>
            <w:tcW w:w="1140" w:type="dxa"/>
            <w:vAlign w:val="bottom"/>
            <w:gridSpan w:val="3"/>
            <w:shd w:val="clear" w:color="auto" w:fill="CCEEFF"/>
          </w:tcPr>
          <w:p>
            <w:pPr>
              <w:jc w:val="right"/>
              <w:spacing w:after="0" w:line="145" w:lineRule="exact"/>
              <w:rPr>
                <w:sz w:val="20"/>
                <w:szCs w:val="20"/>
                <w:color w:val="auto"/>
              </w:rPr>
            </w:pPr>
            <w:r>
              <w:rPr>
                <w:rFonts w:ascii="Arial" w:cs="Arial" w:eastAsia="Arial" w:hAnsi="Arial"/>
                <w:sz w:val="14"/>
                <w:szCs w:val="14"/>
                <w:color w:val="auto"/>
              </w:rPr>
              <w:t>46.6%</w:t>
            </w:r>
          </w:p>
        </w:tc>
      </w:tr>
      <w:tr>
        <w:trPr>
          <w:trHeight w:val="197"/>
        </w:trPr>
        <w:tc>
          <w:tcPr>
            <w:tcW w:w="3580" w:type="dxa"/>
            <w:vAlign w:val="bottom"/>
            <w:gridSpan w:val="2"/>
          </w:tcPr>
          <w:p>
            <w:pPr>
              <w:spacing w:after="0" w:line="197" w:lineRule="exact"/>
              <w:rPr>
                <w:sz w:val="20"/>
                <w:szCs w:val="20"/>
                <w:color w:val="auto"/>
              </w:rPr>
            </w:pPr>
            <w:r>
              <w:rPr>
                <w:rFonts w:ascii="Arial" w:cs="Arial" w:eastAsia="Arial" w:hAnsi="Arial"/>
                <w:sz w:val="13"/>
                <w:szCs w:val="13"/>
                <w:color w:val="auto"/>
              </w:rPr>
              <w:t xml:space="preserve">Others </w:t>
            </w:r>
            <w:r>
              <w:rPr>
                <w:rFonts w:ascii="Arial" w:cs="Arial" w:eastAsia="Arial" w:hAnsi="Arial"/>
                <w:sz w:val="22"/>
                <w:szCs w:val="22"/>
                <w:color w:val="auto"/>
                <w:vertAlign w:val="superscript"/>
              </w:rPr>
              <w:t>(4)(5)</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11,290</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5,019</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16,150</w:t>
            </w:r>
          </w:p>
        </w:tc>
        <w:tc>
          <w:tcPr>
            <w:tcW w:w="900" w:type="dxa"/>
            <w:vAlign w:val="bottom"/>
            <w:gridSpan w:val="2"/>
          </w:tcPr>
          <w:p>
            <w:pPr>
              <w:jc w:val="right"/>
              <w:ind w:right="70"/>
              <w:spacing w:after="0"/>
              <w:rPr>
                <w:sz w:val="20"/>
                <w:szCs w:val="20"/>
                <w:color w:val="auto"/>
              </w:rPr>
            </w:pPr>
            <w:r>
              <w:rPr>
                <w:rFonts w:ascii="Arial" w:cs="Arial" w:eastAsia="Arial" w:hAnsi="Arial"/>
                <w:sz w:val="14"/>
                <w:szCs w:val="14"/>
                <w:color w:val="auto"/>
              </w:rPr>
              <w:t>221.8%</w:t>
            </w:r>
          </w:p>
        </w:tc>
        <w:tc>
          <w:tcPr>
            <w:tcW w:w="240" w:type="dxa"/>
            <w:vAlign w:val="bottom"/>
          </w:tcPr>
          <w:p>
            <w:pPr>
              <w:spacing w:after="0"/>
              <w:rPr>
                <w:sz w:val="17"/>
                <w:szCs w:val="17"/>
                <w:color w:val="auto"/>
              </w:rPr>
            </w:pPr>
          </w:p>
        </w:tc>
        <w:tc>
          <w:tcPr>
            <w:tcW w:w="780" w:type="dxa"/>
            <w:vAlign w:val="bottom"/>
            <w:gridSpan w:val="2"/>
          </w:tcPr>
          <w:p>
            <w:pPr>
              <w:jc w:val="right"/>
              <w:ind w:right="70"/>
              <w:spacing w:after="0"/>
              <w:rPr>
                <w:sz w:val="20"/>
                <w:szCs w:val="20"/>
                <w:color w:val="auto"/>
              </w:rPr>
            </w:pPr>
            <w:r>
              <w:rPr>
                <w:rFonts w:ascii="Arial" w:cs="Arial" w:eastAsia="Arial" w:hAnsi="Arial"/>
                <w:sz w:val="14"/>
                <w:szCs w:val="14"/>
                <w:color w:val="auto"/>
              </w:rPr>
              <w:t>43.1%</w:t>
            </w:r>
          </w:p>
        </w:tc>
        <w:tc>
          <w:tcPr>
            <w:tcW w:w="680" w:type="dxa"/>
            <w:vAlign w:val="bottom"/>
          </w:tcPr>
          <w:p>
            <w:pPr>
              <w:jc w:val="right"/>
              <w:spacing w:after="0"/>
              <w:rPr>
                <w:sz w:val="20"/>
                <w:szCs w:val="20"/>
                <w:color w:val="auto"/>
              </w:rPr>
            </w:pPr>
            <w:r>
              <w:rPr>
                <w:rFonts w:ascii="Arial" w:cs="Arial" w:eastAsia="Arial" w:hAnsi="Arial"/>
                <w:sz w:val="14"/>
                <w:szCs w:val="14"/>
                <w:color w:val="auto"/>
              </w:rPr>
              <w:t>28,398</w:t>
            </w: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31,752</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11.8%</w:t>
            </w:r>
          </w:p>
        </w:tc>
      </w:tr>
      <w:tr>
        <w:trPr>
          <w:trHeight w:val="138"/>
        </w:trPr>
        <w:tc>
          <w:tcPr>
            <w:tcW w:w="3580" w:type="dxa"/>
            <w:vAlign w:val="bottom"/>
            <w:tcBorders>
              <w:top w:val="single" w:sz="8" w:color="CCEEFF"/>
            </w:tcBorders>
            <w:gridSpan w:val="2"/>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Total fee income</w:t>
            </w:r>
          </w:p>
        </w:tc>
        <w:tc>
          <w:tcPr>
            <w:tcW w:w="78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b w:val="1"/>
                <w:bCs w:val="1"/>
                <w:color w:val="auto"/>
              </w:rPr>
              <w:t>601,968</w:t>
            </w:r>
          </w:p>
        </w:tc>
        <w:tc>
          <w:tcPr>
            <w:tcW w:w="2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b w:val="1"/>
                <w:bCs w:val="1"/>
                <w:color w:val="auto"/>
              </w:rPr>
              <w:t>700,733</w:t>
            </w:r>
          </w:p>
        </w:tc>
        <w:tc>
          <w:tcPr>
            <w:tcW w:w="2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b w:val="1"/>
                <w:bCs w:val="1"/>
                <w:color w:val="auto"/>
              </w:rPr>
              <w:t>743,220</w:t>
            </w:r>
          </w:p>
        </w:tc>
        <w:tc>
          <w:tcPr>
            <w:tcW w:w="2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b w:val="1"/>
                <w:bCs w:val="1"/>
                <w:color w:val="auto"/>
              </w:rPr>
              <w:t>6.1</w:t>
            </w:r>
          </w:p>
        </w:tc>
        <w:tc>
          <w:tcPr>
            <w:tcW w:w="260" w:type="dxa"/>
            <w:vAlign w:val="bottom"/>
            <w:tcBorders>
              <w:top w:val="single" w:sz="8" w:color="CCEEFF"/>
            </w:tcBorders>
            <w:shd w:val="clear" w:color="auto" w:fill="CCEEFF"/>
          </w:tcPr>
          <w:p>
            <w:pPr>
              <w:jc w:val="right"/>
              <w:ind w:right="50"/>
              <w:spacing w:after="0" w:line="138"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b w:val="1"/>
                <w:bCs w:val="1"/>
                <w:color w:val="auto"/>
              </w:rPr>
              <w:t>23.5</w:t>
            </w:r>
          </w:p>
        </w:tc>
        <w:tc>
          <w:tcPr>
            <w:tcW w:w="240" w:type="dxa"/>
            <w:vAlign w:val="bottom"/>
            <w:tcBorders>
              <w:top w:val="single" w:sz="8" w:color="CCEEFF"/>
            </w:tcBorders>
            <w:shd w:val="clear" w:color="auto" w:fill="CCEEFF"/>
          </w:tcPr>
          <w:p>
            <w:pPr>
              <w:jc w:val="right"/>
              <w:ind w:right="30"/>
              <w:spacing w:after="0" w:line="138" w:lineRule="exact"/>
              <w:rPr>
                <w:sz w:val="20"/>
                <w:szCs w:val="20"/>
                <w:color w:val="auto"/>
              </w:rPr>
            </w:pPr>
            <w:r>
              <w:rPr>
                <w:rFonts w:ascii="Arial" w:cs="Arial" w:eastAsia="Arial" w:hAnsi="Arial"/>
                <w:sz w:val="14"/>
                <w:szCs w:val="14"/>
                <w:b w:val="1"/>
                <w:bCs w:val="1"/>
                <w:color w:val="auto"/>
                <w:w w:val="96"/>
              </w:rPr>
              <w:t>%</w:t>
            </w:r>
          </w:p>
        </w:tc>
        <w:tc>
          <w:tcPr>
            <w:tcW w:w="68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b w:val="1"/>
                <w:bCs w:val="1"/>
                <w:color w:val="auto"/>
              </w:rPr>
              <w:t>1,662,708</w:t>
            </w:r>
          </w:p>
        </w:tc>
        <w:tc>
          <w:tcPr>
            <w:tcW w:w="2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b w:val="1"/>
                <w:bCs w:val="1"/>
                <w:color w:val="auto"/>
              </w:rPr>
              <w:t>2,122,456</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b w:val="1"/>
                <w:bCs w:val="1"/>
                <w:color w:val="auto"/>
              </w:rPr>
              <w:t>27.7</w:t>
            </w:r>
          </w:p>
        </w:tc>
        <w:tc>
          <w:tcPr>
            <w:tcW w:w="140" w:type="dxa"/>
            <w:vAlign w:val="bottom"/>
            <w:tcBorders>
              <w:top w:val="single" w:sz="8" w:color="CCEEFF"/>
            </w:tcBorders>
            <w:shd w:val="clear" w:color="auto" w:fill="CCEEFF"/>
          </w:tcPr>
          <w:p>
            <w:pPr>
              <w:jc w:val="right"/>
              <w:spacing w:after="0" w:line="138" w:lineRule="exact"/>
              <w:rPr>
                <w:sz w:val="20"/>
                <w:szCs w:val="20"/>
                <w:color w:val="auto"/>
              </w:rPr>
            </w:pPr>
            <w:r>
              <w:rPr>
                <w:rFonts w:ascii="Arial" w:cs="Arial" w:eastAsia="Arial" w:hAnsi="Arial"/>
                <w:sz w:val="14"/>
                <w:szCs w:val="14"/>
                <w:b w:val="1"/>
                <w:bCs w:val="1"/>
                <w:color w:val="auto"/>
                <w:w w:val="96"/>
              </w:rPr>
              <w:t>%</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 BCP</w:t>
      </w:r>
    </w:p>
    <w:p>
      <w:pPr>
        <w:ind w:left="200" w:hanging="195"/>
        <w:spacing w:after="0" w:line="215" w:lineRule="auto"/>
        <w:tabs>
          <w:tab w:leader="none" w:pos="2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Saving accounts, current accounts, debit card and master account.</w:t>
      </w:r>
    </w:p>
    <w:p>
      <w:pPr>
        <w:ind w:left="200" w:hanging="195"/>
        <w:spacing w:after="0" w:line="215" w:lineRule="auto"/>
        <w:tabs>
          <w:tab w:leader="none" w:pos="2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Mainly Retail fees.</w:t>
      </w:r>
    </w:p>
    <w:p>
      <w:pPr>
        <w:ind w:left="200" w:hanging="195"/>
        <w:spacing w:after="0" w:line="215" w:lineRule="auto"/>
        <w:tabs>
          <w:tab w:leader="none" w:pos="2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Mainly Wholesale fees.</w:t>
      </w:r>
    </w:p>
    <w:p>
      <w:pPr>
        <w:ind w:left="200" w:hanging="195"/>
        <w:spacing w:after="0" w:line="215" w:lineRule="auto"/>
        <w:tabs>
          <w:tab w:leader="none" w:pos="2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Figures differ from previously reported, please consider the data presented on this report.</w:t>
      </w:r>
    </w:p>
    <w:p>
      <w:pPr>
        <w:ind w:left="200" w:hanging="195"/>
        <w:spacing w:after="0"/>
        <w:tabs>
          <w:tab w:leader="none" w:pos="2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fees from trust business, wealth management, network usage and other services to third parties, among others.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Fee income in the banking business grew 6.1% </w:t>
      </w:r>
      <w:r>
        <w:rPr>
          <w:rFonts w:ascii="Arial" w:cs="Arial" w:eastAsia="Arial" w:hAnsi="Arial"/>
          <w:sz w:val="18"/>
          <w:szCs w:val="18"/>
          <w:b w:val="1"/>
          <w:bCs w:val="1"/>
          <w:color w:val="auto"/>
        </w:rPr>
        <w:t>QoQ.</w:t>
      </w:r>
      <w:r>
        <w:rPr>
          <w:rFonts w:ascii="Arial" w:cs="Arial" w:eastAsia="Arial" w:hAnsi="Arial"/>
          <w:sz w:val="18"/>
          <w:szCs w:val="18"/>
          <w:color w:val="auto"/>
        </w:rPr>
        <w:t xml:space="preserve"> The items that reported the most significant increases were:</w:t>
      </w:r>
    </w:p>
    <w:p>
      <w:pPr>
        <w:spacing w:after="0" w:line="213" w:lineRule="exact"/>
        <w:rPr>
          <w:sz w:val="20"/>
          <w:szCs w:val="20"/>
          <w:color w:val="auto"/>
        </w:rPr>
      </w:pPr>
    </w:p>
    <w:p>
      <w:pPr>
        <w:ind w:left="900" w:hanging="449"/>
        <w:spacing w:after="0" w:line="26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Miscellaneous accounts, </w:t>
      </w:r>
      <w:r>
        <w:rPr>
          <w:rFonts w:ascii="Arial" w:cs="Arial" w:eastAsia="Arial" w:hAnsi="Arial"/>
          <w:sz w:val="18"/>
          <w:szCs w:val="18"/>
          <w:color w:val="auto"/>
        </w:rPr>
        <w:t>where growth was mainly driven by an increase in consumption in establishments through POS with credit and debit</w:t>
      </w:r>
      <w:r>
        <w:rPr>
          <w:rFonts w:ascii="Arial" w:cs="Arial" w:eastAsia="Arial" w:hAnsi="Arial"/>
          <w:sz w:val="18"/>
          <w:szCs w:val="18"/>
          <w:b w:val="1"/>
          <w:bCs w:val="1"/>
          <w:color w:val="auto"/>
        </w:rPr>
        <w:t xml:space="preserve"> </w:t>
      </w:r>
      <w:r>
        <w:rPr>
          <w:rFonts w:ascii="Arial" w:cs="Arial" w:eastAsia="Arial" w:hAnsi="Arial"/>
          <w:sz w:val="18"/>
          <w:szCs w:val="18"/>
          <w:color w:val="auto"/>
        </w:rPr>
        <w:t>cards (+30.9%) and an increase in fees for account maintenance (+8.2%).</w:t>
      </w:r>
    </w:p>
    <w:p>
      <w:pPr>
        <w:spacing w:after="0" w:line="169" w:lineRule="exact"/>
        <w:rPr>
          <w:rFonts w:ascii="Arial" w:cs="Arial" w:eastAsia="Arial" w:hAnsi="Arial"/>
          <w:sz w:val="18"/>
          <w:szCs w:val="18"/>
          <w:color w:val="auto"/>
        </w:rPr>
      </w:pPr>
    </w:p>
    <w:p>
      <w:pPr>
        <w:ind w:left="900" w:hanging="449"/>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Others, </w:t>
      </w:r>
      <w:r>
        <w:rPr>
          <w:rFonts w:ascii="Arial" w:cs="Arial" w:eastAsia="Arial" w:hAnsi="Arial"/>
          <w:sz w:val="18"/>
          <w:szCs w:val="18"/>
          <w:color w:val="auto"/>
        </w:rPr>
        <w:t>which was driven by an increase in fees for network use by non-clients and for other third-party services.</w:t>
      </w:r>
    </w:p>
    <w:p>
      <w:pPr>
        <w:spacing w:after="0" w:line="213" w:lineRule="exact"/>
        <w:rPr>
          <w:rFonts w:ascii="Arial" w:cs="Arial" w:eastAsia="Arial" w:hAnsi="Arial"/>
          <w:sz w:val="18"/>
          <w:szCs w:val="18"/>
          <w:color w:val="auto"/>
        </w:rPr>
      </w:pPr>
    </w:p>
    <w:p>
      <w:pPr>
        <w:ind w:left="900" w:hanging="449"/>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Drafts and transfers</w:t>
      </w:r>
      <w:r>
        <w:rPr>
          <w:rFonts w:ascii="Arial" w:cs="Arial" w:eastAsia="Arial" w:hAnsi="Arial"/>
          <w:sz w:val="18"/>
          <w:szCs w:val="18"/>
          <w:color w:val="auto"/>
        </w:rPr>
        <w:t>, which continue to grow due to an uptick in outflows to foreign destinations due to political uncertainty.</w:t>
      </w:r>
    </w:p>
    <w:p>
      <w:pPr>
        <w:spacing w:after="0" w:line="213" w:lineRule="exact"/>
        <w:rPr>
          <w:rFonts w:ascii="Arial" w:cs="Arial" w:eastAsia="Arial" w:hAnsi="Arial"/>
          <w:sz w:val="18"/>
          <w:szCs w:val="18"/>
          <w:color w:val="auto"/>
        </w:rPr>
      </w:pPr>
    </w:p>
    <w:p>
      <w:pPr>
        <w:ind w:left="900" w:hanging="449"/>
        <w:spacing w:after="0" w:line="26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Mibanco</w:t>
      </w:r>
      <w:r>
        <w:rPr>
          <w:rFonts w:ascii="Arial" w:cs="Arial" w:eastAsia="Arial" w:hAnsi="Arial"/>
          <w:sz w:val="18"/>
          <w:szCs w:val="18"/>
          <w:color w:val="auto"/>
        </w:rPr>
        <w:t>, which registered an improvement due to a decrease in commissions paid to third parties for physical agreements given that fewer</w:t>
      </w:r>
      <w:r>
        <w:rPr>
          <w:rFonts w:ascii="Arial" w:cs="Arial" w:eastAsia="Arial" w:hAnsi="Arial"/>
          <w:sz w:val="18"/>
          <w:szCs w:val="18"/>
          <w:b w:val="1"/>
          <w:bCs w:val="1"/>
          <w:color w:val="auto"/>
        </w:rPr>
        <w:t xml:space="preserve"> </w:t>
      </w:r>
      <w:r>
        <w:rPr>
          <w:rFonts w:ascii="Arial" w:cs="Arial" w:eastAsia="Arial" w:hAnsi="Arial"/>
          <w:sz w:val="18"/>
          <w:szCs w:val="18"/>
          <w:color w:val="auto"/>
        </w:rPr>
        <w:t>disbursements were made through these channels and the conditions for third-party contracts improved.</w:t>
      </w:r>
    </w:p>
    <w:p>
      <w:pPr>
        <w:spacing w:after="0" w:line="170"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 xml:space="preserve">This growth was partially offset by a decrease in the fee level for </w:t>
      </w:r>
      <w:r>
        <w:rPr>
          <w:rFonts w:ascii="Arial" w:cs="Arial" w:eastAsia="Arial" w:hAnsi="Arial"/>
          <w:sz w:val="18"/>
          <w:szCs w:val="18"/>
          <w:b w:val="1"/>
          <w:bCs w:val="1"/>
          <w:color w:val="auto"/>
        </w:rPr>
        <w:t>Credit Cards</w:t>
      </w:r>
      <w:r>
        <w:rPr>
          <w:rFonts w:ascii="Arial" w:cs="Arial" w:eastAsia="Arial" w:hAnsi="Arial"/>
          <w:sz w:val="18"/>
          <w:szCs w:val="18"/>
          <w:color w:val="auto"/>
        </w:rPr>
        <w:t xml:space="preserve">, </w:t>
      </w:r>
      <w:r>
        <w:rPr>
          <w:rFonts w:ascii="Arial" w:cs="Arial" w:eastAsia="Arial" w:hAnsi="Arial"/>
          <w:sz w:val="18"/>
          <w:szCs w:val="18"/>
          <w:b w:val="1"/>
          <w:bCs w:val="1"/>
          <w:color w:val="auto"/>
        </w:rPr>
        <w:t>Personal Loans</w:t>
      </w:r>
      <w:r>
        <w:rPr>
          <w:rFonts w:ascii="Arial" w:cs="Arial" w:eastAsia="Arial" w:hAnsi="Arial"/>
          <w:sz w:val="18"/>
          <w:szCs w:val="18"/>
          <w:color w:val="auto"/>
        </w:rPr>
        <w:t xml:space="preserve"> and </w:t>
      </w:r>
      <w:r>
        <w:rPr>
          <w:rFonts w:ascii="Arial" w:cs="Arial" w:eastAsia="Arial" w:hAnsi="Arial"/>
          <w:sz w:val="18"/>
          <w:szCs w:val="18"/>
          <w:b w:val="1"/>
          <w:bCs w:val="1"/>
          <w:color w:val="auto"/>
        </w:rPr>
        <w:t>SME-Pyme</w:t>
      </w:r>
      <w:r>
        <w:rPr>
          <w:rFonts w:ascii="Arial" w:cs="Arial" w:eastAsia="Arial" w:hAnsi="Arial"/>
          <w:sz w:val="18"/>
          <w:szCs w:val="18"/>
          <w:color w:val="auto"/>
        </w:rPr>
        <w:t xml:space="preserve"> loans after penalty fees for past due payments were waived in June in accordance with new legislation.</w:t>
      </w:r>
    </w:p>
    <w:p>
      <w:pPr>
        <w:spacing w:after="0" w:line="170"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 xml:space="preserve">At the </w:t>
      </w:r>
      <w:r>
        <w:rPr>
          <w:rFonts w:ascii="Arial" w:cs="Arial" w:eastAsia="Arial" w:hAnsi="Arial"/>
          <w:sz w:val="18"/>
          <w:szCs w:val="18"/>
          <w:b w:val="1"/>
          <w:bCs w:val="1"/>
          <w:color w:val="auto"/>
        </w:rPr>
        <w:t>YoY</w:t>
      </w:r>
      <w:r>
        <w:rPr>
          <w:rFonts w:ascii="Arial" w:cs="Arial" w:eastAsia="Arial" w:hAnsi="Arial"/>
          <w:sz w:val="18"/>
          <w:szCs w:val="18"/>
          <w:color w:val="auto"/>
        </w:rPr>
        <w:t xml:space="preserve"> and </w:t>
      </w:r>
      <w:r>
        <w:rPr>
          <w:rFonts w:ascii="Arial" w:cs="Arial" w:eastAsia="Arial" w:hAnsi="Arial"/>
          <w:sz w:val="18"/>
          <w:szCs w:val="18"/>
          <w:b w:val="1"/>
          <w:bCs w:val="1"/>
          <w:color w:val="auto"/>
        </w:rPr>
        <w:t>9 month YoY</w:t>
      </w:r>
      <w:r>
        <w:rPr>
          <w:rFonts w:ascii="Arial" w:cs="Arial" w:eastAsia="Arial" w:hAnsi="Arial"/>
          <w:sz w:val="18"/>
          <w:szCs w:val="18"/>
          <w:color w:val="auto"/>
        </w:rPr>
        <w:t xml:space="preserve"> analyses, growth was primarily attributable to Miscellaneous Accounts and Drafts and Transfers, which were impacted in 2020 by fee exemptions to aid clients during the quarantine.</w:t>
      </w:r>
    </w:p>
    <w:p>
      <w:pPr>
        <w:spacing w:after="0" w:line="176"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It is important to note that despite the fact that we stopped collecting fees for inter-place transfers and past-due penalties, we are 4.4% above pre-pandemic levels due to growth in fees for drafts and transfers (+51.31%), off balance sheets (+28.6%) and POS consumption with debit and credit cards (+19.5%).</w:t>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1064895</wp:posOffset>
            </wp:positionH>
            <wp:positionV relativeFrom="page">
              <wp:posOffset>572135</wp:posOffset>
            </wp:positionV>
            <wp:extent cx="5385435" cy="77362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5385435" cy="773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994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24130</wp:posOffset>
            </wp:positionV>
            <wp:extent cx="71361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6. Insurance Underwriting Result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Insurance underwriting result </w:t>
            </w:r>
            <w:r>
              <w:rPr>
                <w:rFonts w:ascii="Arial" w:cs="Arial" w:eastAsia="Arial" w:hAnsi="Arial"/>
                <w:sz w:val="23"/>
                <w:szCs w:val="23"/>
                <w:b w:val="1"/>
                <w:bCs w:val="1"/>
                <w:color w:val="auto"/>
                <w:vertAlign w:val="superscript"/>
              </w:rPr>
              <w:t>(1)</w:t>
            </w: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Quarter</w:t>
            </w: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3"/>
          </w:tcPr>
          <w:p>
            <w:pPr>
              <w:ind w:left="540"/>
              <w:spacing w:after="0"/>
              <w:rPr>
                <w:sz w:val="20"/>
                <w:szCs w:val="20"/>
                <w:color w:val="auto"/>
              </w:rPr>
            </w:pPr>
            <w:r>
              <w:rPr>
                <w:rFonts w:ascii="Arial" w:cs="Arial" w:eastAsia="Arial" w:hAnsi="Arial"/>
                <w:sz w:val="14"/>
                <w:szCs w:val="14"/>
                <w:b w:val="1"/>
                <w:bCs w:val="1"/>
                <w:color w:val="auto"/>
                <w:w w:val="88"/>
              </w:rPr>
              <w:t>% change</w:t>
            </w: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3"/>
          </w:tcPr>
          <w:p>
            <w:pPr>
              <w:ind w:left="700"/>
              <w:spacing w:after="0"/>
              <w:rPr>
                <w:sz w:val="20"/>
                <w:szCs w:val="20"/>
                <w:color w:val="auto"/>
              </w:rPr>
            </w:pPr>
            <w:r>
              <w:rPr>
                <w:rFonts w:ascii="Arial" w:cs="Arial" w:eastAsia="Arial" w:hAnsi="Arial"/>
                <w:sz w:val="14"/>
                <w:szCs w:val="14"/>
                <w:b w:val="1"/>
                <w:bCs w:val="1"/>
                <w:color w:val="auto"/>
              </w:rPr>
              <w:t>YTD</w:t>
            </w: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 change</w:t>
            </w:r>
          </w:p>
        </w:tc>
      </w:tr>
      <w:tr>
        <w:trPr>
          <w:trHeight w:val="151"/>
        </w:trPr>
        <w:tc>
          <w:tcPr>
            <w:tcW w:w="3340" w:type="dxa"/>
            <w:vAlign w:val="bottom"/>
            <w:tcBorders>
              <w:bottom w:val="single" w:sz="8" w:color="auto"/>
            </w:tcBorders>
          </w:tcPr>
          <w:p>
            <w:pPr>
              <w:spacing w:after="0" w:line="151" w:lineRule="exact"/>
              <w:rPr>
                <w:sz w:val="20"/>
                <w:szCs w:val="20"/>
                <w:color w:val="auto"/>
              </w:rPr>
            </w:pPr>
            <w:r>
              <w:rPr>
                <w:rFonts w:ascii="Arial" w:cs="Arial" w:eastAsia="Arial" w:hAnsi="Arial"/>
                <w:sz w:val="14"/>
                <w:szCs w:val="14"/>
                <w:b w:val="1"/>
                <w:bCs w:val="1"/>
                <w:color w:val="auto"/>
              </w:rPr>
              <w:t>S/ 000</w:t>
            </w:r>
          </w:p>
        </w:tc>
        <w:tc>
          <w:tcPr>
            <w:tcW w:w="22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70"/>
              <w:spacing w:after="0" w:line="151" w:lineRule="exact"/>
              <w:rPr>
                <w:sz w:val="20"/>
                <w:szCs w:val="20"/>
                <w:color w:val="auto"/>
              </w:rPr>
            </w:pPr>
            <w:r>
              <w:rPr>
                <w:rFonts w:ascii="Arial" w:cs="Arial" w:eastAsia="Arial" w:hAnsi="Arial"/>
                <w:sz w:val="14"/>
                <w:szCs w:val="14"/>
                <w:b w:val="1"/>
                <w:bCs w:val="1"/>
                <w:color w:val="auto"/>
              </w:rPr>
              <w:t>3Q20</w:t>
            </w:r>
          </w:p>
        </w:tc>
        <w:tc>
          <w:tcPr>
            <w:tcW w:w="20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90"/>
              <w:spacing w:after="0" w:line="151" w:lineRule="exact"/>
              <w:rPr>
                <w:sz w:val="20"/>
                <w:szCs w:val="20"/>
                <w:color w:val="auto"/>
              </w:rPr>
            </w:pPr>
            <w:r>
              <w:rPr>
                <w:rFonts w:ascii="Arial" w:cs="Arial" w:eastAsia="Arial" w:hAnsi="Arial"/>
                <w:sz w:val="14"/>
                <w:szCs w:val="14"/>
                <w:b w:val="1"/>
                <w:bCs w:val="1"/>
                <w:color w:val="auto"/>
              </w:rPr>
              <w:t>2Q21</w:t>
            </w:r>
          </w:p>
        </w:tc>
        <w:tc>
          <w:tcPr>
            <w:tcW w:w="220" w:type="dxa"/>
            <w:vAlign w:val="bottom"/>
            <w:tcBorders>
              <w:top w:val="single" w:sz="8" w:color="auto"/>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0"/>
              <w:spacing w:after="0" w:line="151" w:lineRule="exact"/>
              <w:rPr>
                <w:sz w:val="20"/>
                <w:szCs w:val="20"/>
                <w:color w:val="auto"/>
              </w:rPr>
            </w:pPr>
            <w:r>
              <w:rPr>
                <w:rFonts w:ascii="Arial" w:cs="Arial" w:eastAsia="Arial" w:hAnsi="Arial"/>
                <w:sz w:val="14"/>
                <w:szCs w:val="14"/>
                <w:b w:val="1"/>
                <w:bCs w:val="1"/>
                <w:color w:val="auto"/>
              </w:rPr>
              <w:t>3Q21</w:t>
            </w:r>
          </w:p>
        </w:tc>
        <w:tc>
          <w:tcPr>
            <w:tcW w:w="22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rPr>
              <w:t>QoQ</w:t>
            </w:r>
          </w:p>
        </w:tc>
        <w:tc>
          <w:tcPr>
            <w:tcW w:w="24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ind w:left="20"/>
              <w:spacing w:after="0" w:line="151" w:lineRule="exact"/>
              <w:rPr>
                <w:sz w:val="20"/>
                <w:szCs w:val="20"/>
                <w:color w:val="auto"/>
              </w:rPr>
            </w:pPr>
            <w:r>
              <w:rPr>
                <w:rFonts w:ascii="Arial" w:cs="Arial" w:eastAsia="Arial" w:hAnsi="Arial"/>
                <w:sz w:val="14"/>
                <w:szCs w:val="14"/>
                <w:b w:val="1"/>
                <w:bCs w:val="1"/>
                <w:color w:val="auto"/>
              </w:rPr>
              <w:t>YoY</w:t>
            </w:r>
          </w:p>
        </w:tc>
        <w:tc>
          <w:tcPr>
            <w:tcW w:w="22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90"/>
              <w:spacing w:after="0" w:line="151" w:lineRule="exact"/>
              <w:rPr>
                <w:sz w:val="20"/>
                <w:szCs w:val="20"/>
                <w:color w:val="auto"/>
              </w:rPr>
            </w:pPr>
            <w:r>
              <w:rPr>
                <w:rFonts w:ascii="Arial" w:cs="Arial" w:eastAsia="Arial" w:hAnsi="Arial"/>
                <w:sz w:val="14"/>
                <w:szCs w:val="14"/>
                <w:b w:val="1"/>
                <w:bCs w:val="1"/>
                <w:color w:val="auto"/>
              </w:rPr>
              <w:t>9M-20</w:t>
            </w:r>
          </w:p>
        </w:tc>
        <w:tc>
          <w:tcPr>
            <w:tcW w:w="2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rPr>
              <w:t>9M-21</w:t>
            </w:r>
          </w:p>
        </w:tc>
        <w:tc>
          <w:tcPr>
            <w:tcW w:w="22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4"/>
              </w:rPr>
              <w:t>9M-21 / 9M-20</w:t>
            </w:r>
          </w:p>
        </w:tc>
        <w:tc>
          <w:tcPr>
            <w:tcW w:w="120" w:type="dxa"/>
            <w:vAlign w:val="bottom"/>
            <w:tcBorders>
              <w:bottom w:val="single" w:sz="8" w:color="CCEEFF"/>
            </w:tcBorders>
          </w:tcPr>
          <w:p>
            <w:pPr>
              <w:spacing w:after="0"/>
              <w:rPr>
                <w:sz w:val="13"/>
                <w:szCs w:val="13"/>
                <w:color w:val="auto"/>
              </w:rPr>
            </w:pPr>
          </w:p>
        </w:tc>
      </w:tr>
      <w:tr>
        <w:trPr>
          <w:trHeight w:val="138"/>
        </w:trPr>
        <w:tc>
          <w:tcPr>
            <w:tcW w:w="3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earned premiums</w:t>
            </w: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595,394</w:t>
            </w: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639,944</w:t>
            </w: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675,571</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50"/>
              <w:spacing w:after="0" w:line="138" w:lineRule="exact"/>
              <w:rPr>
                <w:sz w:val="20"/>
                <w:szCs w:val="20"/>
                <w:color w:val="auto"/>
              </w:rPr>
            </w:pPr>
            <w:r>
              <w:rPr>
                <w:rFonts w:ascii="Arial" w:cs="Arial" w:eastAsia="Arial" w:hAnsi="Arial"/>
                <w:sz w:val="14"/>
                <w:szCs w:val="14"/>
                <w:color w:val="auto"/>
              </w:rPr>
              <w:t>5.6%</w:t>
            </w:r>
          </w:p>
        </w:tc>
        <w:tc>
          <w:tcPr>
            <w:tcW w:w="2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13.5%</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1,775,390</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1,959,443</w:t>
            </w:r>
          </w:p>
        </w:tc>
        <w:tc>
          <w:tcPr>
            <w:tcW w:w="2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10.4%</w:t>
            </w:r>
          </w:p>
        </w:tc>
      </w:tr>
      <w:tr>
        <w:trPr>
          <w:trHeight w:val="144"/>
        </w:trPr>
        <w:tc>
          <w:tcPr>
            <w:tcW w:w="3560" w:type="dxa"/>
            <w:vAlign w:val="bottom"/>
            <w:gridSpan w:val="2"/>
          </w:tcPr>
          <w:p>
            <w:pPr>
              <w:spacing w:after="0" w:line="145" w:lineRule="exact"/>
              <w:rPr>
                <w:sz w:val="20"/>
                <w:szCs w:val="20"/>
                <w:color w:val="auto"/>
              </w:rPr>
            </w:pPr>
            <w:r>
              <w:rPr>
                <w:rFonts w:ascii="Arial" w:cs="Arial" w:eastAsia="Arial" w:hAnsi="Arial"/>
                <w:sz w:val="14"/>
                <w:szCs w:val="14"/>
                <w:color w:val="auto"/>
              </w:rPr>
              <w:t>Net claims</w:t>
            </w:r>
          </w:p>
        </w:tc>
        <w:tc>
          <w:tcPr>
            <w:tcW w:w="980" w:type="dxa"/>
            <w:vAlign w:val="bottom"/>
            <w:gridSpan w:val="2"/>
          </w:tcPr>
          <w:p>
            <w:pPr>
              <w:jc w:val="right"/>
              <w:ind w:right="119"/>
              <w:spacing w:after="0" w:line="145" w:lineRule="exact"/>
              <w:rPr>
                <w:sz w:val="20"/>
                <w:szCs w:val="20"/>
                <w:color w:val="auto"/>
              </w:rPr>
            </w:pPr>
            <w:r>
              <w:rPr>
                <w:rFonts w:ascii="Arial" w:cs="Arial" w:eastAsia="Arial" w:hAnsi="Arial"/>
                <w:sz w:val="14"/>
                <w:szCs w:val="14"/>
                <w:color w:val="auto"/>
              </w:rPr>
              <w:t>(513,091)</w:t>
            </w:r>
          </w:p>
        </w:tc>
        <w:tc>
          <w:tcPr>
            <w:tcW w:w="880" w:type="dxa"/>
            <w:vAlign w:val="bottom"/>
            <w:gridSpan w:val="2"/>
          </w:tcPr>
          <w:p>
            <w:pPr>
              <w:jc w:val="right"/>
              <w:ind w:right="90"/>
              <w:spacing w:after="0" w:line="145" w:lineRule="exact"/>
              <w:rPr>
                <w:sz w:val="20"/>
                <w:szCs w:val="20"/>
                <w:color w:val="auto"/>
              </w:rPr>
            </w:pPr>
            <w:r>
              <w:rPr>
                <w:rFonts w:ascii="Arial" w:cs="Arial" w:eastAsia="Arial" w:hAnsi="Arial"/>
                <w:sz w:val="14"/>
                <w:szCs w:val="14"/>
                <w:color w:val="auto"/>
              </w:rPr>
              <w:t>(691,335)</w:t>
            </w:r>
          </w:p>
        </w:tc>
        <w:tc>
          <w:tcPr>
            <w:tcW w:w="9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(517,951)</w:t>
            </w:r>
          </w:p>
        </w:tc>
        <w:tc>
          <w:tcPr>
            <w:tcW w:w="900" w:type="dxa"/>
            <w:vAlign w:val="bottom"/>
            <w:gridSpan w:val="2"/>
          </w:tcPr>
          <w:p>
            <w:pPr>
              <w:jc w:val="right"/>
              <w:ind w:right="50"/>
              <w:spacing w:after="0" w:line="145" w:lineRule="exact"/>
              <w:rPr>
                <w:sz w:val="20"/>
                <w:szCs w:val="20"/>
                <w:color w:val="auto"/>
              </w:rPr>
            </w:pPr>
            <w:r>
              <w:rPr>
                <w:rFonts w:ascii="Arial" w:cs="Arial" w:eastAsia="Arial" w:hAnsi="Arial"/>
                <w:sz w:val="14"/>
                <w:szCs w:val="14"/>
                <w:color w:val="auto"/>
              </w:rPr>
              <w:t>-25.1%</w:t>
            </w:r>
          </w:p>
        </w:tc>
        <w:tc>
          <w:tcPr>
            <w:tcW w:w="240" w:type="dxa"/>
            <w:vAlign w:val="bottom"/>
          </w:tcPr>
          <w:p>
            <w:pPr>
              <w:spacing w:after="0"/>
              <w:rPr>
                <w:sz w:val="12"/>
                <w:szCs w:val="12"/>
                <w:color w:val="auto"/>
              </w:rPr>
            </w:pPr>
          </w:p>
        </w:tc>
        <w:tc>
          <w:tcPr>
            <w:tcW w:w="7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0.9%</w:t>
            </w:r>
          </w:p>
        </w:tc>
        <w:tc>
          <w:tcPr>
            <w:tcW w:w="9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(1,215,376)</w:t>
            </w:r>
          </w:p>
        </w:tc>
        <w:tc>
          <w:tcPr>
            <w:tcW w:w="120" w:type="dxa"/>
            <w:vAlign w:val="bottom"/>
          </w:tcPr>
          <w:p>
            <w:pPr>
              <w:spacing w:after="0"/>
              <w:rPr>
                <w:sz w:val="12"/>
                <w:szCs w:val="12"/>
                <w:color w:val="auto"/>
              </w:rPr>
            </w:pPr>
          </w:p>
        </w:tc>
        <w:tc>
          <w:tcPr>
            <w:tcW w:w="860" w:type="dxa"/>
            <w:vAlign w:val="bottom"/>
            <w:gridSpan w:val="2"/>
          </w:tcPr>
          <w:p>
            <w:pPr>
              <w:jc w:val="right"/>
              <w:ind w:right="90"/>
              <w:spacing w:after="0" w:line="145" w:lineRule="exact"/>
              <w:rPr>
                <w:sz w:val="20"/>
                <w:szCs w:val="20"/>
                <w:color w:val="auto"/>
              </w:rPr>
            </w:pPr>
            <w:r>
              <w:rPr>
                <w:rFonts w:ascii="Arial" w:cs="Arial" w:eastAsia="Arial" w:hAnsi="Arial"/>
                <w:sz w:val="14"/>
                <w:szCs w:val="14"/>
                <w:color w:val="auto"/>
                <w:w w:val="94"/>
              </w:rPr>
              <w:t>(1,832,639)</w:t>
            </w:r>
          </w:p>
        </w:tc>
        <w:tc>
          <w:tcPr>
            <w:tcW w:w="10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50.8%</w:t>
            </w:r>
          </w:p>
        </w:tc>
      </w:tr>
      <w:tr>
        <w:trPr>
          <w:trHeight w:val="197"/>
        </w:trPr>
        <w:tc>
          <w:tcPr>
            <w:tcW w:w="3560" w:type="dxa"/>
            <w:vAlign w:val="bottom"/>
            <w:gridSpan w:val="2"/>
            <w:shd w:val="clear" w:color="auto" w:fill="CCEEFF"/>
          </w:tcPr>
          <w:p>
            <w:pPr>
              <w:spacing w:after="0" w:line="197" w:lineRule="exact"/>
              <w:rPr>
                <w:sz w:val="20"/>
                <w:szCs w:val="20"/>
                <w:color w:val="auto"/>
              </w:rPr>
            </w:pPr>
            <w:r>
              <w:rPr>
                <w:rFonts w:ascii="Arial" w:cs="Arial" w:eastAsia="Arial" w:hAnsi="Arial"/>
                <w:sz w:val="13"/>
                <w:szCs w:val="13"/>
                <w:color w:val="auto"/>
              </w:rPr>
              <w:t xml:space="preserve">Acquisition cost </w:t>
            </w:r>
            <w:r>
              <w:rPr>
                <w:rFonts w:ascii="Arial" w:cs="Arial" w:eastAsia="Arial" w:hAnsi="Arial"/>
                <w:sz w:val="22"/>
                <w:szCs w:val="22"/>
                <w:color w:val="auto"/>
                <w:vertAlign w:val="superscript"/>
              </w:rPr>
              <w:t>(2)</w:t>
            </w:r>
          </w:p>
        </w:tc>
        <w:tc>
          <w:tcPr>
            <w:tcW w:w="98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(86,644)</w:t>
            </w: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4"/>
                <w:szCs w:val="14"/>
                <w:color w:val="auto"/>
              </w:rPr>
              <w:t>(84,944)</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(87,416)</w:t>
            </w: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2.9%</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(286,748)</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90"/>
              <w:spacing w:after="0"/>
              <w:rPr>
                <w:sz w:val="20"/>
                <w:szCs w:val="20"/>
                <w:color w:val="auto"/>
              </w:rPr>
            </w:pPr>
            <w:r>
              <w:rPr>
                <w:rFonts w:ascii="Arial" w:cs="Arial" w:eastAsia="Arial" w:hAnsi="Arial"/>
                <w:sz w:val="14"/>
                <w:szCs w:val="14"/>
                <w:color w:val="auto"/>
              </w:rPr>
              <w:t>(258,182)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38"/>
        </w:trPr>
        <w:tc>
          <w:tcPr>
            <w:tcW w:w="3560" w:type="dxa"/>
            <w:vAlign w:val="bottom"/>
            <w:gridSpan w:val="2"/>
          </w:tcPr>
          <w:p>
            <w:pPr>
              <w:spacing w:after="0" w:line="138" w:lineRule="exact"/>
              <w:rPr>
                <w:sz w:val="20"/>
                <w:szCs w:val="20"/>
                <w:color w:val="auto"/>
              </w:rPr>
            </w:pPr>
            <w:r>
              <w:rPr>
                <w:rFonts w:ascii="Arial" w:cs="Arial" w:eastAsia="Arial" w:hAnsi="Arial"/>
                <w:sz w:val="14"/>
                <w:szCs w:val="14"/>
                <w:b w:val="1"/>
                <w:bCs w:val="1"/>
                <w:color w:val="auto"/>
              </w:rPr>
              <w:t>Total insurance underwriting result</w:t>
            </w:r>
          </w:p>
        </w:tc>
        <w:tc>
          <w:tcPr>
            <w:tcW w:w="7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rPr>
              <w:t>(4,340</w:t>
            </w:r>
          </w:p>
        </w:tc>
        <w:tc>
          <w:tcPr>
            <w:tcW w:w="200" w:type="dxa"/>
            <w:vAlign w:val="bottom"/>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6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rPr>
              <w:t>(136,335</w:t>
            </w:r>
          </w:p>
        </w:tc>
        <w:tc>
          <w:tcPr>
            <w:tcW w:w="220" w:type="dxa"/>
            <w:vAlign w:val="bottom"/>
          </w:tcPr>
          <w:p>
            <w:pPr>
              <w:jc w:val="right"/>
              <w:ind w:right="90"/>
              <w:spacing w:after="0" w:line="138" w:lineRule="exact"/>
              <w:rPr>
                <w:sz w:val="20"/>
                <w:szCs w:val="20"/>
                <w:color w:val="auto"/>
              </w:rPr>
            </w:pPr>
            <w:r>
              <w:rPr>
                <w:rFonts w:ascii="Arial" w:cs="Arial" w:eastAsia="Arial" w:hAnsi="Arial"/>
                <w:sz w:val="14"/>
                <w:szCs w:val="14"/>
                <w:b w:val="1"/>
                <w:bCs w:val="1"/>
                <w:color w:val="auto"/>
                <w:w w:val="84"/>
              </w:rPr>
              <w:t>)</w:t>
            </w:r>
          </w:p>
        </w:tc>
        <w:tc>
          <w:tcPr>
            <w:tcW w:w="7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rPr>
              <w:t>70,204</w:t>
            </w:r>
          </w:p>
        </w:tc>
        <w:tc>
          <w:tcPr>
            <w:tcW w:w="220" w:type="dxa"/>
            <w:vAlign w:val="bottom"/>
          </w:tcPr>
          <w:p>
            <w:pPr>
              <w:spacing w:after="0"/>
              <w:rPr>
                <w:sz w:val="11"/>
                <w:szCs w:val="11"/>
                <w:color w:val="auto"/>
              </w:rPr>
            </w:pPr>
          </w:p>
        </w:tc>
        <w:tc>
          <w:tcPr>
            <w:tcW w:w="6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rPr>
              <w:t>151.5</w:t>
            </w:r>
          </w:p>
        </w:tc>
        <w:tc>
          <w:tcPr>
            <w:tcW w:w="240" w:type="dxa"/>
            <w:vAlign w:val="bottom"/>
          </w:tcPr>
          <w:p>
            <w:pPr>
              <w:jc w:val="right"/>
              <w:ind w:right="30"/>
              <w:spacing w:after="0" w:line="138"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ind w:left="320"/>
              <w:spacing w:after="0" w:line="138" w:lineRule="exact"/>
              <w:rPr>
                <w:sz w:val="20"/>
                <w:szCs w:val="20"/>
                <w:color w:val="auto"/>
              </w:rPr>
            </w:pPr>
            <w:r>
              <w:rPr>
                <w:rFonts w:ascii="Arial" w:cs="Arial" w:eastAsia="Arial" w:hAnsi="Arial"/>
                <w:sz w:val="14"/>
                <w:szCs w:val="14"/>
                <w:b w:val="1"/>
                <w:bCs w:val="1"/>
                <w:color w:val="auto"/>
                <w:w w:val="82"/>
              </w:rPr>
              <w:t>n.a.</w:t>
            </w:r>
          </w:p>
        </w:tc>
        <w:tc>
          <w:tcPr>
            <w:tcW w:w="220" w:type="dxa"/>
            <w:vAlign w:val="bottom"/>
          </w:tcPr>
          <w:p>
            <w:pPr>
              <w:spacing w:after="0"/>
              <w:rPr>
                <w:sz w:val="11"/>
                <w:szCs w:val="11"/>
                <w:color w:val="auto"/>
              </w:rPr>
            </w:pPr>
          </w:p>
        </w:tc>
        <w:tc>
          <w:tcPr>
            <w:tcW w:w="7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rPr>
              <w:t>273,266</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rPr>
              <w:t>(131,378</w:t>
            </w:r>
          </w:p>
        </w:tc>
        <w:tc>
          <w:tcPr>
            <w:tcW w:w="220" w:type="dxa"/>
            <w:vAlign w:val="bottom"/>
          </w:tcPr>
          <w:p>
            <w:pPr>
              <w:jc w:val="right"/>
              <w:ind w:right="90"/>
              <w:spacing w:after="0" w:line="138" w:lineRule="exact"/>
              <w:rPr>
                <w:sz w:val="20"/>
                <w:szCs w:val="20"/>
                <w:color w:val="auto"/>
              </w:rPr>
            </w:pPr>
            <w:r>
              <w:rPr>
                <w:rFonts w:ascii="Arial" w:cs="Arial" w:eastAsia="Arial" w:hAnsi="Arial"/>
                <w:sz w:val="14"/>
                <w:szCs w:val="14"/>
                <w:b w:val="1"/>
                <w:bCs w:val="1"/>
                <w:color w:val="auto"/>
                <w:w w:val="84"/>
              </w:rPr>
              <w:t>)</w:t>
            </w:r>
          </w:p>
        </w:tc>
        <w:tc>
          <w:tcPr>
            <w:tcW w:w="9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rPr>
              <w:t>-148.1</w:t>
            </w:r>
          </w:p>
        </w:tc>
        <w:tc>
          <w:tcPr>
            <w:tcW w:w="120" w:type="dxa"/>
            <w:vAlign w:val="bottom"/>
          </w:tcPr>
          <w:p>
            <w:pPr>
              <w:jc w:val="right"/>
              <w:spacing w:after="0" w:line="138" w:lineRule="exact"/>
              <w:rPr>
                <w:sz w:val="20"/>
                <w:szCs w:val="20"/>
                <w:color w:val="auto"/>
              </w:rPr>
            </w:pPr>
            <w:r>
              <w:rPr>
                <w:rFonts w:ascii="Arial" w:cs="Arial" w:eastAsia="Arial" w:hAnsi="Arial"/>
                <w:sz w:val="14"/>
                <w:szCs w:val="14"/>
                <w:b w:val="1"/>
                <w:bCs w:val="1"/>
                <w:color w:val="auto"/>
                <w:w w:val="79"/>
              </w:rPr>
              <w:t>%</w:t>
            </w:r>
          </w:p>
        </w:tc>
      </w:tr>
      <w:tr>
        <w:trPr>
          <w:trHeight w:val="20"/>
        </w:trPr>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5"/>
        <w:spacing w:after="0"/>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the results of the Life, Property &amp; Casualty and Crediseguros business.</w:t>
      </w:r>
    </w:p>
    <w:p>
      <w:pPr>
        <w:spacing w:after="0" w:line="14" w:lineRule="exact"/>
        <w:rPr>
          <w:rFonts w:ascii="Arial" w:cs="Arial" w:eastAsia="Arial" w:hAnsi="Arial"/>
          <w:sz w:val="18"/>
          <w:szCs w:val="18"/>
          <w:color w:val="auto"/>
        </w:rPr>
      </w:pPr>
    </w:p>
    <w:p>
      <w:pPr>
        <w:ind w:left="260" w:hanging="255"/>
        <w:spacing w:after="0"/>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net fees and underwriting expenses.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 Life Insurance</w:t>
      </w:r>
    </w:p>
    <w:p>
      <w:pPr>
        <w:sectPr>
          <w:pgSz w:w="11900" w:h="16838" w:orient="portrait"/>
          <w:cols w:equalWidth="0" w:num="1">
            <w:col w:w="11240"/>
          </w:cols>
          <w:pgMar w:left="320" w:top="1093" w:right="339" w:bottom="1440" w:gutter="0" w:footer="0" w:header="0"/>
        </w:sectPr>
      </w:pPr>
    </w:p>
    <w:p>
      <w:pPr>
        <w:spacing w:after="0" w:line="253"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Total life insurance premiums</w:t>
      </w:r>
    </w:p>
    <w:p>
      <w:pPr>
        <w:spacing w:after="0" w:line="5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135890</wp:posOffset>
            </wp:positionV>
            <wp:extent cx="5452110" cy="1692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52110" cy="1692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right="1860"/>
        <w:spacing w:after="0"/>
        <w:rPr>
          <w:sz w:val="20"/>
          <w:szCs w:val="20"/>
          <w:color w:val="auto"/>
        </w:rPr>
      </w:pPr>
      <w:r>
        <w:rPr>
          <w:rFonts w:ascii="Arial" w:cs="Arial" w:eastAsia="Arial" w:hAnsi="Arial"/>
          <w:sz w:val="15"/>
          <w:szCs w:val="15"/>
          <w:b w:val="1"/>
          <w:bCs w:val="1"/>
          <w:color w:val="auto"/>
        </w:rPr>
        <w:t xml:space="preserve">Net earned premiums </w:t>
      </w:r>
      <w:r>
        <w:rPr>
          <w:rFonts w:ascii="Arial" w:cs="Arial" w:eastAsia="Arial" w:hAnsi="Arial"/>
          <w:sz w:val="12"/>
          <w:szCs w:val="12"/>
          <w:b w:val="1"/>
          <w:bCs w:val="1"/>
          <w:color w:val="auto"/>
        </w:rPr>
        <w:t>(10)</w:t>
      </w:r>
    </w:p>
    <w:p>
      <w:pPr>
        <w:spacing w:after="0" w:line="91" w:lineRule="exact"/>
        <w:rPr>
          <w:sz w:val="20"/>
          <w:szCs w:val="20"/>
          <w:color w:val="auto"/>
        </w:rPr>
      </w:pPr>
    </w:p>
    <w:p>
      <w:pPr>
        <w:jc w:val="center"/>
        <w:ind w:right="1860"/>
        <w:spacing w:after="0"/>
        <w:rPr>
          <w:sz w:val="20"/>
          <w:szCs w:val="20"/>
          <w:color w:val="auto"/>
        </w:rPr>
      </w:pPr>
      <w:r>
        <w:rPr>
          <w:rFonts w:ascii="Arial" w:cs="Arial" w:eastAsia="Arial" w:hAnsi="Arial"/>
          <w:sz w:val="18"/>
          <w:szCs w:val="18"/>
          <w:color w:val="auto"/>
        </w:rPr>
        <w:t>(S/ millions)</w:t>
      </w:r>
    </w:p>
    <w:p>
      <w:pPr>
        <w:spacing w:after="0" w:line="200" w:lineRule="exact"/>
        <w:rPr>
          <w:sz w:val="20"/>
          <w:szCs w:val="20"/>
          <w:color w:val="auto"/>
        </w:rPr>
      </w:pPr>
    </w:p>
    <w:p>
      <w:pPr>
        <w:sectPr>
          <w:pgSz w:w="11900" w:h="16838" w:orient="portrait"/>
          <w:cols w:equalWidth="0" w:num="2">
            <w:col w:w="6760" w:space="720"/>
            <w:col w:w="3760"/>
          </w:cols>
          <w:pgMar w:left="320" w:top="109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Total premiums grew 19.0% QoQ, which was driven by: (i) Annuities, primarily associated with an increase in sales in Annuities for Survivorship due to COVID-19 cases; (ii) Individual Life, due to an increase in sales and to and uptick in the exchange rate; (iii) Group Life, which was attributable to an increase in volumes of renewals for the SCTR product (Complementary Insurance for high-risk Occupations); (iv) D&amp;S, after collections recovery of premiums for SISCO V</w:t>
      </w:r>
      <w:r>
        <w:rPr>
          <w:rFonts w:ascii="Arial" w:cs="Arial" w:eastAsia="Arial" w:hAnsi="Arial"/>
          <w:sz w:val="26"/>
          <w:szCs w:val="26"/>
          <w:color w:val="auto"/>
          <w:vertAlign w:val="superscript"/>
        </w:rPr>
        <w:t>(11)</w:t>
      </w:r>
      <w:r>
        <w:rPr>
          <w:rFonts w:ascii="Arial" w:cs="Arial" w:eastAsia="Arial" w:hAnsi="Arial"/>
          <w:sz w:val="16"/>
          <w:szCs w:val="16"/>
          <w:color w:val="auto"/>
        </w:rPr>
        <w:t>; y (v) Credit Life, which was primarily generated through the bancassurance channel due to an increase in Mibanco loans.</w:t>
      </w:r>
    </w:p>
    <w:p>
      <w:pPr>
        <w:spacing w:after="0" w:line="3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the YoY analysis, total premiums increased 37.3%, which was driven by (i) Annuities, primarily due to an increase in sales in Annuities for Survivorship; (ii) D&amp;S, due to an increase in collections under SISCO V due higher premium rates; (iii) Credit Life, due to a decrease in loan volumes at Mibanco in 3Q20 in a challenging economic context; (iv) Individual Life, which was attributable to an increase in sales and in the exchange rate; and (v) Group Life, primarily due to an uptick in volumes of renewals.</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Net earned premiums increased 4.6% QoQ, driven by the same factors outlined in the QoQ analysis. This was partially offset by an increase in the number of underwriting reserves that were set aside to cover growth in sales. In the YoY analysis, net earned premiums rose 18.9% due to the effects described in the analysis of total premiums; this evolution was offset by an increase in reserves for Annuities and Individual Life, and higher ceded premiums in D&amp;S due to the conditions of the new SISCO V contract.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YTD, total premiums and net earned premiums increased 26.1% and 15.9% respectively, driven by the factors outlined in the YoY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176530</wp:posOffset>
            </wp:positionV>
            <wp:extent cx="17837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310" w:lineRule="exact"/>
        <w:rPr>
          <w:sz w:val="20"/>
          <w:szCs w:val="20"/>
          <w:color w:val="auto"/>
        </w:rPr>
      </w:pPr>
    </w:p>
    <w:p>
      <w:pPr>
        <w:ind w:left="300" w:hanging="295"/>
        <w:spacing w:after="0"/>
        <w:tabs>
          <w:tab w:leader="none" w:pos="300" w:val="left"/>
        </w:tabs>
        <w:numPr>
          <w:ilvl w:val="0"/>
          <w:numId w:val="57"/>
        </w:numPr>
        <w:rPr>
          <w:rFonts w:ascii="Arial" w:cs="Arial" w:eastAsia="Arial" w:hAnsi="Arial"/>
          <w:sz w:val="24"/>
          <w:szCs w:val="24"/>
          <w:color w:val="auto"/>
          <w:vertAlign w:val="superscript"/>
        </w:rPr>
      </w:pPr>
      <w:r>
        <w:rPr>
          <w:rFonts w:ascii="Arial" w:cs="Arial" w:eastAsia="Arial" w:hAnsi="Arial"/>
          <w:sz w:val="15"/>
          <w:szCs w:val="15"/>
          <w:color w:val="auto"/>
        </w:rPr>
        <w:t>Total premiums excluding premiums ceded to reinsurance and premium reserves.</w:t>
      </w:r>
    </w:p>
    <w:p>
      <w:pPr>
        <w:spacing w:after="0" w:line="41" w:lineRule="exact"/>
        <w:rPr>
          <w:rFonts w:ascii="Arial" w:cs="Arial" w:eastAsia="Arial" w:hAnsi="Arial"/>
          <w:sz w:val="24"/>
          <w:szCs w:val="24"/>
          <w:color w:val="auto"/>
          <w:vertAlign w:val="superscript"/>
        </w:rPr>
      </w:pPr>
    </w:p>
    <w:p>
      <w:pPr>
        <w:ind w:left="280" w:hanging="275"/>
        <w:spacing w:after="0" w:line="188" w:lineRule="auto"/>
        <w:tabs>
          <w:tab w:leader="none" w:pos="280" w:val="left"/>
        </w:tabs>
        <w:numPr>
          <w:ilvl w:val="0"/>
          <w:numId w:val="57"/>
        </w:numPr>
        <w:rPr>
          <w:rFonts w:ascii="Arial" w:cs="Arial" w:eastAsia="Arial" w:hAnsi="Arial"/>
          <w:sz w:val="23"/>
          <w:szCs w:val="23"/>
          <w:color w:val="auto"/>
          <w:vertAlign w:val="superscript"/>
        </w:rPr>
      </w:pPr>
      <w:r>
        <w:rPr>
          <w:rFonts w:ascii="Arial" w:cs="Arial" w:eastAsia="Arial" w:hAnsi="Arial"/>
          <w:sz w:val="14"/>
          <w:szCs w:val="14"/>
          <w:color w:val="auto"/>
        </w:rPr>
        <w:t>Collective Disability, Survival and Burial Insurance of the private pension system.</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361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Net life insurance claims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135890</wp:posOffset>
            </wp:positionV>
            <wp:extent cx="3609975" cy="14839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609975" cy="1483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claims fell 37.2% QoQ, which was attributable to the release of IBNR COVID-19 provisions for a total of S/104 million (vs S/35 million in reserves in 2Q21). We expect IBNR releases to continue if cases continue to be registered. COVID-19 reported claims during the second wave totaled S/ 150 million (vs S/ 219 million in 2Q21), driven by the evolution of Credit Life in particular.</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the YoY analysis, claims fell 7.9% due to releases of IBNR provisions (vs S/ 50 million in reserves in 3Q20), which reflected an improvement in the sanitary situation and an increase in ceded premiums in the D&amp;S line due to the conditions of the new SISCO V contract, YTD, net claims increased 65.0%, which was attributable to an uptick in reported claims for COVID-19 at the end of September 21 for S/ 487.6 million. This result was mitigated by a decrease in the IBNR provisions set aside for COVID-19 and an increase in ceded premiums.</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After registering a peak in COVID-19 claims in 2Q21, the claims level began falling in July and the trend remains favorable due to progress in the vaccination process. Currently the vaccination level of the population reaches 70% with at least one doses.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6.2. P&amp;C Insurance</w:t>
      </w:r>
    </w:p>
    <w:p>
      <w:pPr>
        <w:spacing w:after="0" w:line="135" w:lineRule="exact"/>
        <w:rPr>
          <w:sz w:val="20"/>
          <w:szCs w:val="20"/>
          <w:color w:val="auto"/>
        </w:rPr>
      </w:pPr>
    </w:p>
    <w:tbl>
      <w:tblPr>
        <w:tblLayout w:type="fixed"/>
        <w:tblInd w:w="2000" w:type="dxa"/>
        <w:tblCellMar>
          <w:top w:w="0" w:type="dxa"/>
          <w:left w:w="0" w:type="dxa"/>
          <w:bottom w:w="0" w:type="dxa"/>
          <w:right w:w="0" w:type="dxa"/>
        </w:tblCellMar>
      </w:tblPr>
      <w:tr>
        <w:trPr>
          <w:trHeight w:val="333"/>
        </w:trPr>
        <w:tc>
          <w:tcPr>
            <w:tcW w:w="3560" w:type="dxa"/>
            <w:vAlign w:val="bottom"/>
          </w:tcPr>
          <w:p>
            <w:pPr>
              <w:jc w:val="center"/>
              <w:ind w:right="1852"/>
              <w:spacing w:after="0"/>
              <w:rPr>
                <w:sz w:val="20"/>
                <w:szCs w:val="20"/>
                <w:color w:val="auto"/>
              </w:rPr>
            </w:pPr>
            <w:r>
              <w:rPr>
                <w:rFonts w:ascii="Arial" w:cs="Arial" w:eastAsia="Arial" w:hAnsi="Arial"/>
                <w:sz w:val="18"/>
                <w:szCs w:val="18"/>
                <w:b w:val="1"/>
                <w:bCs w:val="1"/>
                <w:color w:val="auto"/>
                <w:w w:val="90"/>
              </w:rPr>
              <w:t>Total P&amp;C Premiums</w:t>
            </w:r>
          </w:p>
        </w:tc>
        <w:tc>
          <w:tcPr>
            <w:tcW w:w="3820" w:type="dxa"/>
            <w:vAlign w:val="bottom"/>
          </w:tcPr>
          <w:p>
            <w:pPr>
              <w:jc w:val="center"/>
              <w:ind w:left="1832"/>
              <w:spacing w:after="0"/>
              <w:rPr>
                <w:sz w:val="20"/>
                <w:szCs w:val="20"/>
                <w:color w:val="auto"/>
              </w:rPr>
            </w:pPr>
            <w:r>
              <w:rPr>
                <w:rFonts w:ascii="Arial" w:cs="Arial" w:eastAsia="Arial" w:hAnsi="Arial"/>
                <w:sz w:val="18"/>
                <w:szCs w:val="18"/>
                <w:b w:val="1"/>
                <w:bCs w:val="1"/>
                <w:color w:val="auto"/>
                <w:w w:val="85"/>
              </w:rPr>
              <w:t xml:space="preserve">Net earned premiums </w:t>
            </w:r>
            <w:r>
              <w:rPr>
                <w:rFonts w:ascii="Arial" w:cs="Arial" w:eastAsia="Arial" w:hAnsi="Arial"/>
                <w:sz w:val="29"/>
                <w:szCs w:val="29"/>
                <w:b w:val="1"/>
                <w:bCs w:val="1"/>
                <w:color w:val="auto"/>
                <w:w w:val="85"/>
                <w:vertAlign w:val="superscript"/>
              </w:rPr>
              <w:t>(12)</w:t>
            </w:r>
          </w:p>
        </w:tc>
      </w:tr>
      <w:tr>
        <w:trPr>
          <w:trHeight w:val="222"/>
        </w:trPr>
        <w:tc>
          <w:tcPr>
            <w:tcW w:w="3560" w:type="dxa"/>
            <w:vAlign w:val="bottom"/>
          </w:tcPr>
          <w:p>
            <w:pPr>
              <w:jc w:val="center"/>
              <w:ind w:right="1832"/>
              <w:spacing w:after="0"/>
              <w:rPr>
                <w:sz w:val="20"/>
                <w:szCs w:val="20"/>
                <w:color w:val="auto"/>
              </w:rPr>
            </w:pPr>
            <w:r>
              <w:rPr>
                <w:rFonts w:ascii="Arial" w:cs="Arial" w:eastAsia="Arial" w:hAnsi="Arial"/>
                <w:sz w:val="18"/>
                <w:szCs w:val="18"/>
                <w:color w:val="auto"/>
                <w:w w:val="93"/>
              </w:rPr>
              <w:t>(S/ millions)</w:t>
            </w:r>
          </w:p>
        </w:tc>
        <w:tc>
          <w:tcPr>
            <w:tcW w:w="3820" w:type="dxa"/>
            <w:vAlign w:val="bottom"/>
          </w:tcPr>
          <w:p>
            <w:pPr>
              <w:jc w:val="center"/>
              <w:ind w:left="1852"/>
              <w:spacing w:after="0"/>
              <w:rPr>
                <w:sz w:val="20"/>
                <w:szCs w:val="20"/>
                <w:color w:val="auto"/>
              </w:rPr>
            </w:pPr>
            <w:r>
              <w:rPr>
                <w:rFonts w:ascii="Arial" w:cs="Arial" w:eastAsia="Arial" w:hAnsi="Arial"/>
                <w:sz w:val="18"/>
                <w:szCs w:val="18"/>
                <w:color w:val="auto"/>
                <w:w w:val="93"/>
              </w:rPr>
              <w:t>(S/ millions)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687070</wp:posOffset>
            </wp:positionH>
            <wp:positionV relativeFrom="paragraph">
              <wp:posOffset>133985</wp:posOffset>
            </wp:positionV>
            <wp:extent cx="5743575" cy="16173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43575" cy="161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Total premiums increased 8.0% QoQ, which was attributable to: (i) Cars, driven by an increase in new sales and renewals in the brokers channel and in bancassurance due to recovery in the Cars segment; (ii) Personal Lines, mainly due to an increase in policy issuances for the Mortgage Product and growth in volumes of renewals for Card Protection; (iii) Commercial Lines, due to an uptick in new sales in the Aviation and Third-party Liability Lines and (iv)</w:t>
      </w:r>
    </w:p>
    <w:p>
      <w:pPr>
        <w:jc w:val="both"/>
        <w:spacing w:after="0" w:line="204" w:lineRule="auto"/>
        <w:rPr>
          <w:sz w:val="20"/>
          <w:szCs w:val="20"/>
          <w:color w:val="auto"/>
        </w:rPr>
      </w:pPr>
      <w:r>
        <w:rPr>
          <w:rFonts w:ascii="Arial" w:cs="Arial" w:eastAsia="Arial" w:hAnsi="Arial"/>
          <w:sz w:val="18"/>
          <w:szCs w:val="18"/>
          <w:color w:val="auto"/>
        </w:rPr>
        <w:t>SOAT</w:t>
      </w:r>
      <w:r>
        <w:rPr>
          <w:rFonts w:ascii="Arial" w:cs="Arial" w:eastAsia="Arial" w:hAnsi="Arial"/>
          <w:sz w:val="29"/>
          <w:szCs w:val="29"/>
          <w:color w:val="auto"/>
          <w:vertAlign w:val="superscript"/>
        </w:rPr>
        <w:t>(13)</w:t>
      </w:r>
      <w:r>
        <w:rPr>
          <w:rFonts w:ascii="Arial" w:cs="Arial" w:eastAsia="Arial" w:hAnsi="Arial"/>
          <w:sz w:val="18"/>
          <w:szCs w:val="18"/>
          <w:color w:val="auto"/>
        </w:rPr>
        <w:t>, which was associated with an increase in sales in the digital and bancassurance channels. The aforementioned was attenuated by the evolution of Medical Assistance, which reported a high volume of renewals last quarter.</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the YoY analysis, total premiums increased 18.8%, which was driven primarily by (i) Commercial Lines, due to an increase in new sales in the Fire, Third-party Liability and Aviation lines; (ii) Personal lines, due to an increase in sales for Card Protection, Personal life Accidents and Mortgage products; (iii) Medical Assistance, due to an increase in renewal volumes for comprehensive health and oncological products; (iv) Cars, due to an increase in renewals in the broker and digital channels. The aforementioned was attenuated by the evolution of SOAT, which registered a decrease in new sales through the broker and bancassurance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17837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292" w:lineRule="exact"/>
        <w:rPr>
          <w:sz w:val="20"/>
          <w:szCs w:val="20"/>
          <w:color w:val="auto"/>
        </w:rPr>
      </w:pPr>
    </w:p>
    <w:p>
      <w:pPr>
        <w:ind w:left="300" w:hanging="295"/>
        <w:spacing w:after="0"/>
        <w:tabs>
          <w:tab w:leader="none" w:pos="300" w:val="left"/>
        </w:tabs>
        <w:numPr>
          <w:ilvl w:val="0"/>
          <w:numId w:val="58"/>
        </w:numPr>
        <w:rPr>
          <w:rFonts w:ascii="Arial" w:cs="Arial" w:eastAsia="Arial" w:hAnsi="Arial"/>
          <w:sz w:val="24"/>
          <w:szCs w:val="24"/>
          <w:color w:val="auto"/>
          <w:vertAlign w:val="superscript"/>
        </w:rPr>
      </w:pPr>
      <w:r>
        <w:rPr>
          <w:rFonts w:ascii="Arial" w:cs="Arial" w:eastAsia="Arial" w:hAnsi="Arial"/>
          <w:sz w:val="15"/>
          <w:szCs w:val="15"/>
          <w:color w:val="auto"/>
        </w:rPr>
        <w:t>Total premiums less premiums ceded to reinsurance and premium reserves.</w:t>
      </w:r>
    </w:p>
    <w:p>
      <w:pPr>
        <w:spacing w:after="0" w:line="41" w:lineRule="exact"/>
        <w:rPr>
          <w:rFonts w:ascii="Arial" w:cs="Arial" w:eastAsia="Arial" w:hAnsi="Arial"/>
          <w:sz w:val="24"/>
          <w:szCs w:val="24"/>
          <w:color w:val="auto"/>
          <w:vertAlign w:val="superscript"/>
        </w:rPr>
      </w:pPr>
    </w:p>
    <w:p>
      <w:pPr>
        <w:ind w:left="300" w:hanging="295"/>
        <w:spacing w:after="0" w:line="180" w:lineRule="auto"/>
        <w:tabs>
          <w:tab w:leader="none" w:pos="300" w:val="left"/>
        </w:tabs>
        <w:numPr>
          <w:ilvl w:val="0"/>
          <w:numId w:val="58"/>
        </w:numPr>
        <w:rPr>
          <w:rFonts w:ascii="Arial" w:cs="Arial" w:eastAsia="Arial" w:hAnsi="Arial"/>
          <w:sz w:val="24"/>
          <w:szCs w:val="24"/>
          <w:color w:val="auto"/>
          <w:vertAlign w:val="superscript"/>
        </w:rPr>
      </w:pPr>
      <w:r>
        <w:rPr>
          <w:rFonts w:ascii="Arial" w:cs="Arial" w:eastAsia="Arial" w:hAnsi="Arial"/>
          <w:sz w:val="15"/>
          <w:szCs w:val="15"/>
          <w:color w:val="auto"/>
        </w:rPr>
        <w:t>Mandatory Insurance Against Traffic Accidents.</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361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43" w:name="page44"/>
    <w:bookmarkEnd w:id="43"/>
    <w:p>
      <w:pPr>
        <w:jc w:val="both"/>
        <w:spacing w:after="0" w:line="252" w:lineRule="auto"/>
        <w:rPr>
          <w:sz w:val="20"/>
          <w:szCs w:val="20"/>
          <w:color w:val="auto"/>
        </w:rPr>
      </w:pPr>
      <w:r>
        <w:rPr>
          <w:rFonts w:ascii="Arial" w:cs="Arial" w:eastAsia="Arial" w:hAnsi="Arial"/>
          <w:sz w:val="18"/>
          <w:szCs w:val="18"/>
          <w:color w:val="auto"/>
        </w:rPr>
        <w:t>Net earned premiums QoQ increased 6.7% due to the factors described in the analysis of total premiums. These effects were partially mitigated by higher levels of ceded premiums in the Commercial Lines and by an increase in the underwriting reserves set aside in Cars and SOAT. Net earned premiums YoY increased 8.1%, driven by the factors outlined in the QoQ analysis.</w:t>
      </w:r>
    </w:p>
    <w:p>
      <w:pPr>
        <w:spacing w:after="0" w:line="18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YTD, total premiums increased 10.4% while net earned premiums rose 4.7%. This evolution was attributable to the factors explained in the YoY analysis and was attenuated by a decrease in renewals in Cars.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Claims in P&amp;C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135890</wp:posOffset>
            </wp:positionV>
            <wp:extent cx="3859530" cy="15506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59530" cy="155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Net claims increased 20.9% QoQ, which was driven by: (i) Commercial Lines, and the Machinery line in particular due to damage associated with sinkholes at mining sites and to damaged merchandise in the transportation line; (ii) Cars, due to an increase in claims frequency and in the use of vehicles; (iii) Medical Assistance, due to a recovery in the demand for non-Covid medical services and, (iv) Personal Lines, mainly relative to the card protection product.</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the YoY analysis, net claims increased 31.1%, which was attributable to (i) Commercial Lines, given an uptick in the severity of cases in the transportation, machinery and Maritime Hulls lines; (ii) Medical Assistance, due to an increase in the severity of COVID claims and to growth in the number of medical services for other illnesses; (iii) Cars and SOAT, due to an increase in claims frequency; and (iv) Personal Lines, which was driven primarily by the card protection product. YTD, net claims increased 20.1% due to the reasons outlined in the YoY analysis; this was attenuated by the evolution of Personal Lines, which experienced a drop in case frequency for the card protection product.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6.3. Acquisition Cost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Acquisition cost</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rPr>
              <w:t>Quarter</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ind w:left="540"/>
              <w:spacing w:after="0"/>
              <w:rPr>
                <w:sz w:val="20"/>
                <w:szCs w:val="20"/>
                <w:color w:val="auto"/>
              </w:rPr>
            </w:pPr>
            <w:r>
              <w:rPr>
                <w:rFonts w:ascii="Arial" w:cs="Arial" w:eastAsia="Arial" w:hAnsi="Arial"/>
                <w:sz w:val="14"/>
                <w:szCs w:val="14"/>
                <w:b w:val="1"/>
                <w:bCs w:val="1"/>
                <w:color w:val="auto"/>
                <w:w w:val="88"/>
              </w:rPr>
              <w:t>% change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auto"/>
              </w:rPr>
              <w:t>YTD</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 change</w:t>
            </w:r>
          </w:p>
        </w:tc>
      </w:tr>
      <w:tr>
        <w:trPr>
          <w:trHeight w:val="151"/>
        </w:trPr>
        <w:tc>
          <w:tcPr>
            <w:tcW w:w="3380" w:type="dxa"/>
            <w:vAlign w:val="bottom"/>
            <w:tcBorders>
              <w:bottom w:val="single" w:sz="8" w:color="auto"/>
            </w:tcBorders>
          </w:tcPr>
          <w:p>
            <w:pPr>
              <w:spacing w:after="0" w:line="151" w:lineRule="exact"/>
              <w:rPr>
                <w:sz w:val="20"/>
                <w:szCs w:val="20"/>
                <w:color w:val="auto"/>
              </w:rPr>
            </w:pPr>
            <w:r>
              <w:rPr>
                <w:rFonts w:ascii="Arial" w:cs="Arial" w:eastAsia="Arial" w:hAnsi="Arial"/>
                <w:sz w:val="14"/>
                <w:szCs w:val="14"/>
                <w:b w:val="1"/>
                <w:bCs w:val="1"/>
                <w:color w:val="auto"/>
              </w:rPr>
              <w:t>S/ 000</w:t>
            </w:r>
          </w:p>
        </w:tc>
        <w:tc>
          <w:tcPr>
            <w:tcW w:w="22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70"/>
              <w:spacing w:after="0" w:line="151" w:lineRule="exact"/>
              <w:rPr>
                <w:sz w:val="20"/>
                <w:szCs w:val="20"/>
                <w:color w:val="auto"/>
              </w:rPr>
            </w:pPr>
            <w:r>
              <w:rPr>
                <w:rFonts w:ascii="Arial" w:cs="Arial" w:eastAsia="Arial" w:hAnsi="Arial"/>
                <w:sz w:val="14"/>
                <w:szCs w:val="14"/>
                <w:b w:val="1"/>
                <w:bCs w:val="1"/>
                <w:color w:val="auto"/>
              </w:rPr>
              <w:t>3Q20</w:t>
            </w:r>
          </w:p>
        </w:tc>
        <w:tc>
          <w:tcPr>
            <w:tcW w:w="20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90"/>
              <w:spacing w:after="0" w:line="151" w:lineRule="exact"/>
              <w:rPr>
                <w:sz w:val="20"/>
                <w:szCs w:val="20"/>
                <w:color w:val="auto"/>
              </w:rPr>
            </w:pPr>
            <w:r>
              <w:rPr>
                <w:rFonts w:ascii="Arial" w:cs="Arial" w:eastAsia="Arial" w:hAnsi="Arial"/>
                <w:sz w:val="14"/>
                <w:szCs w:val="14"/>
                <w:b w:val="1"/>
                <w:bCs w:val="1"/>
                <w:color w:val="auto"/>
              </w:rPr>
              <w:t>2Q21</w:t>
            </w:r>
          </w:p>
        </w:tc>
        <w:tc>
          <w:tcPr>
            <w:tcW w:w="220" w:type="dxa"/>
            <w:vAlign w:val="bottom"/>
            <w:tcBorders>
              <w:top w:val="single" w:sz="8" w:color="auto"/>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0"/>
              <w:spacing w:after="0" w:line="151" w:lineRule="exact"/>
              <w:rPr>
                <w:sz w:val="20"/>
                <w:szCs w:val="20"/>
                <w:color w:val="auto"/>
              </w:rPr>
            </w:pPr>
            <w:r>
              <w:rPr>
                <w:rFonts w:ascii="Arial" w:cs="Arial" w:eastAsia="Arial" w:hAnsi="Arial"/>
                <w:sz w:val="14"/>
                <w:szCs w:val="14"/>
                <w:b w:val="1"/>
                <w:bCs w:val="1"/>
                <w:color w:val="auto"/>
              </w:rPr>
              <w:t>3Q21</w:t>
            </w:r>
          </w:p>
        </w:tc>
        <w:tc>
          <w:tcPr>
            <w:tcW w:w="22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rPr>
              <w:t>QoQ</w:t>
            </w:r>
          </w:p>
        </w:tc>
        <w:tc>
          <w:tcPr>
            <w:tcW w:w="24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90"/>
              <w:spacing w:after="0" w:line="151" w:lineRule="exact"/>
              <w:rPr>
                <w:sz w:val="20"/>
                <w:szCs w:val="20"/>
                <w:color w:val="auto"/>
              </w:rPr>
            </w:pPr>
            <w:r>
              <w:rPr>
                <w:rFonts w:ascii="Arial" w:cs="Arial" w:eastAsia="Arial" w:hAnsi="Arial"/>
                <w:sz w:val="14"/>
                <w:szCs w:val="14"/>
                <w:b w:val="1"/>
                <w:bCs w:val="1"/>
                <w:color w:val="auto"/>
                <w:w w:val="95"/>
              </w:rPr>
              <w:t>YoY</w:t>
            </w:r>
          </w:p>
        </w:tc>
        <w:tc>
          <w:tcPr>
            <w:tcW w:w="24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50"/>
              <w:spacing w:after="0" w:line="151" w:lineRule="exact"/>
              <w:rPr>
                <w:sz w:val="20"/>
                <w:szCs w:val="20"/>
                <w:color w:val="auto"/>
              </w:rPr>
            </w:pPr>
            <w:r>
              <w:rPr>
                <w:rFonts w:ascii="Arial" w:cs="Arial" w:eastAsia="Arial" w:hAnsi="Arial"/>
                <w:sz w:val="14"/>
                <w:szCs w:val="14"/>
                <w:b w:val="1"/>
                <w:bCs w:val="1"/>
                <w:color w:val="auto"/>
              </w:rPr>
              <w:t>9M-20</w:t>
            </w:r>
          </w:p>
        </w:tc>
        <w:tc>
          <w:tcPr>
            <w:tcW w:w="22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rPr>
              <w:t>9M-21</w:t>
            </w:r>
          </w:p>
        </w:tc>
        <w:tc>
          <w:tcPr>
            <w:tcW w:w="22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4"/>
              </w:rPr>
              <w:t>9M-21 / 9M-20</w:t>
            </w:r>
          </w:p>
        </w:tc>
        <w:tc>
          <w:tcPr>
            <w:tcW w:w="120" w:type="dxa"/>
            <w:vAlign w:val="bottom"/>
            <w:tcBorders>
              <w:bottom w:val="single" w:sz="8" w:color="CCEEFF"/>
            </w:tcBorders>
          </w:tcPr>
          <w:p>
            <w:pPr>
              <w:spacing w:after="0"/>
              <w:rPr>
                <w:sz w:val="13"/>
                <w:szCs w:val="13"/>
                <w:color w:val="auto"/>
              </w:rPr>
            </w:pPr>
          </w:p>
        </w:tc>
      </w:tr>
      <w:tr>
        <w:trPr>
          <w:trHeight w:val="138"/>
        </w:trPr>
        <w:tc>
          <w:tcPr>
            <w:tcW w:w="33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fees</w:t>
            </w: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(59,653)</w:t>
            </w: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(53,808)</w:t>
            </w: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(51,617)</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50"/>
              <w:spacing w:after="0" w:line="138" w:lineRule="exact"/>
              <w:rPr>
                <w:sz w:val="20"/>
                <w:szCs w:val="20"/>
                <w:color w:val="auto"/>
              </w:rPr>
            </w:pPr>
            <w:r>
              <w:rPr>
                <w:rFonts w:ascii="Arial" w:cs="Arial" w:eastAsia="Arial" w:hAnsi="Arial"/>
                <w:sz w:val="14"/>
                <w:szCs w:val="14"/>
                <w:color w:val="auto"/>
              </w:rPr>
              <w:t>-4.1%</w:t>
            </w:r>
          </w:p>
        </w:tc>
        <w:tc>
          <w:tcPr>
            <w:tcW w:w="2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50"/>
              <w:spacing w:after="0" w:line="138" w:lineRule="exact"/>
              <w:rPr>
                <w:sz w:val="20"/>
                <w:szCs w:val="20"/>
                <w:color w:val="auto"/>
              </w:rPr>
            </w:pPr>
            <w:r>
              <w:rPr>
                <w:rFonts w:ascii="Arial" w:cs="Arial" w:eastAsia="Arial" w:hAnsi="Arial"/>
                <w:sz w:val="14"/>
                <w:szCs w:val="14"/>
                <w:color w:val="auto"/>
              </w:rPr>
              <w:t>-13.5%</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(175,388)</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(161,030)</w:t>
            </w:r>
          </w:p>
        </w:tc>
        <w:tc>
          <w:tcPr>
            <w:tcW w:w="2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-8.2%</w:t>
            </w:r>
          </w:p>
        </w:tc>
      </w:tr>
      <w:tr>
        <w:trPr>
          <w:trHeight w:val="144"/>
        </w:trPr>
        <w:tc>
          <w:tcPr>
            <w:tcW w:w="3600" w:type="dxa"/>
            <w:vAlign w:val="bottom"/>
            <w:gridSpan w:val="2"/>
          </w:tcPr>
          <w:p>
            <w:pPr>
              <w:spacing w:after="0" w:line="145" w:lineRule="exact"/>
              <w:rPr>
                <w:sz w:val="20"/>
                <w:szCs w:val="20"/>
                <w:color w:val="auto"/>
              </w:rPr>
            </w:pPr>
            <w:r>
              <w:rPr>
                <w:rFonts w:ascii="Arial" w:cs="Arial" w:eastAsia="Arial" w:hAnsi="Arial"/>
                <w:sz w:val="14"/>
                <w:szCs w:val="14"/>
                <w:color w:val="auto"/>
              </w:rPr>
              <w:t>Underwriting expenses</w:t>
            </w:r>
          </w:p>
        </w:tc>
        <w:tc>
          <w:tcPr>
            <w:tcW w:w="980" w:type="dxa"/>
            <w:vAlign w:val="bottom"/>
            <w:gridSpan w:val="2"/>
          </w:tcPr>
          <w:p>
            <w:pPr>
              <w:jc w:val="right"/>
              <w:ind w:right="119"/>
              <w:spacing w:after="0" w:line="145" w:lineRule="exact"/>
              <w:rPr>
                <w:sz w:val="20"/>
                <w:szCs w:val="20"/>
                <w:color w:val="auto"/>
              </w:rPr>
            </w:pPr>
            <w:r>
              <w:rPr>
                <w:rFonts w:ascii="Arial" w:cs="Arial" w:eastAsia="Arial" w:hAnsi="Arial"/>
                <w:sz w:val="14"/>
                <w:szCs w:val="14"/>
                <w:color w:val="auto"/>
              </w:rPr>
              <w:t>(27,716)</w:t>
            </w:r>
          </w:p>
        </w:tc>
        <w:tc>
          <w:tcPr>
            <w:tcW w:w="880" w:type="dxa"/>
            <w:vAlign w:val="bottom"/>
            <w:gridSpan w:val="2"/>
          </w:tcPr>
          <w:p>
            <w:pPr>
              <w:jc w:val="right"/>
              <w:ind w:right="139"/>
              <w:spacing w:after="0" w:line="145" w:lineRule="exact"/>
              <w:rPr>
                <w:sz w:val="20"/>
                <w:szCs w:val="20"/>
                <w:color w:val="auto"/>
              </w:rPr>
            </w:pPr>
            <w:r>
              <w:rPr>
                <w:rFonts w:ascii="Arial" w:cs="Arial" w:eastAsia="Arial" w:hAnsi="Arial"/>
                <w:sz w:val="14"/>
                <w:szCs w:val="14"/>
                <w:color w:val="auto"/>
              </w:rPr>
              <w:t>(31,842)</w:t>
            </w:r>
          </w:p>
        </w:tc>
        <w:tc>
          <w:tcPr>
            <w:tcW w:w="980" w:type="dxa"/>
            <w:vAlign w:val="bottom"/>
            <w:gridSpan w:val="2"/>
          </w:tcPr>
          <w:p>
            <w:pPr>
              <w:jc w:val="right"/>
              <w:ind w:right="90"/>
              <w:spacing w:after="0" w:line="145" w:lineRule="exact"/>
              <w:rPr>
                <w:sz w:val="20"/>
                <w:szCs w:val="20"/>
                <w:color w:val="auto"/>
              </w:rPr>
            </w:pPr>
            <w:r>
              <w:rPr>
                <w:rFonts w:ascii="Arial" w:cs="Arial" w:eastAsia="Arial" w:hAnsi="Arial"/>
                <w:sz w:val="14"/>
                <w:szCs w:val="14"/>
                <w:color w:val="auto"/>
              </w:rPr>
              <w:t>(33,543)</w:t>
            </w:r>
          </w:p>
        </w:tc>
        <w:tc>
          <w:tcPr>
            <w:tcW w:w="900" w:type="dxa"/>
            <w:vAlign w:val="bottom"/>
            <w:gridSpan w:val="2"/>
          </w:tcPr>
          <w:p>
            <w:pPr>
              <w:jc w:val="right"/>
              <w:ind w:right="50"/>
              <w:spacing w:after="0" w:line="145" w:lineRule="exact"/>
              <w:rPr>
                <w:sz w:val="20"/>
                <w:szCs w:val="20"/>
                <w:color w:val="auto"/>
              </w:rPr>
            </w:pPr>
            <w:r>
              <w:rPr>
                <w:rFonts w:ascii="Arial" w:cs="Arial" w:eastAsia="Arial" w:hAnsi="Arial"/>
                <w:sz w:val="14"/>
                <w:szCs w:val="14"/>
                <w:color w:val="auto"/>
              </w:rPr>
              <w:t>5.3%</w:t>
            </w:r>
          </w:p>
        </w:tc>
        <w:tc>
          <w:tcPr>
            <w:tcW w:w="240" w:type="dxa"/>
            <w:vAlign w:val="bottom"/>
          </w:tcPr>
          <w:p>
            <w:pPr>
              <w:spacing w:after="0"/>
              <w:rPr>
                <w:sz w:val="12"/>
                <w:szCs w:val="12"/>
                <w:color w:val="auto"/>
              </w:rPr>
            </w:pPr>
          </w:p>
        </w:tc>
        <w:tc>
          <w:tcPr>
            <w:tcW w:w="780" w:type="dxa"/>
            <w:vAlign w:val="bottom"/>
            <w:gridSpan w:val="2"/>
          </w:tcPr>
          <w:p>
            <w:pPr>
              <w:jc w:val="right"/>
              <w:ind w:right="50"/>
              <w:spacing w:after="0" w:line="145" w:lineRule="exact"/>
              <w:rPr>
                <w:sz w:val="20"/>
                <w:szCs w:val="20"/>
                <w:color w:val="auto"/>
              </w:rPr>
            </w:pPr>
            <w:r>
              <w:rPr>
                <w:rFonts w:ascii="Arial" w:cs="Arial" w:eastAsia="Arial" w:hAnsi="Arial"/>
                <w:sz w:val="14"/>
                <w:szCs w:val="14"/>
                <w:color w:val="auto"/>
              </w:rPr>
              <w:t>21.0%</w:t>
            </w:r>
          </w:p>
        </w:tc>
        <w:tc>
          <w:tcPr>
            <w:tcW w:w="880" w:type="dxa"/>
            <w:vAlign w:val="bottom"/>
            <w:gridSpan w:val="2"/>
          </w:tcPr>
          <w:p>
            <w:pPr>
              <w:jc w:val="right"/>
              <w:ind w:right="90"/>
              <w:spacing w:after="0" w:line="145" w:lineRule="exact"/>
              <w:rPr>
                <w:sz w:val="20"/>
                <w:szCs w:val="20"/>
                <w:color w:val="auto"/>
              </w:rPr>
            </w:pPr>
            <w:r>
              <w:rPr>
                <w:rFonts w:ascii="Arial" w:cs="Arial" w:eastAsia="Arial" w:hAnsi="Arial"/>
                <w:sz w:val="14"/>
                <w:szCs w:val="14"/>
                <w:color w:val="auto"/>
              </w:rPr>
              <w:t>(113,366)</w:t>
            </w:r>
          </w:p>
        </w:tc>
        <w:tc>
          <w:tcPr>
            <w:tcW w:w="140" w:type="dxa"/>
            <w:vAlign w:val="bottom"/>
          </w:tcPr>
          <w:p>
            <w:pPr>
              <w:spacing w:after="0"/>
              <w:rPr>
                <w:sz w:val="12"/>
                <w:szCs w:val="12"/>
                <w:color w:val="auto"/>
              </w:rPr>
            </w:pPr>
          </w:p>
        </w:tc>
        <w:tc>
          <w:tcPr>
            <w:tcW w:w="840" w:type="dxa"/>
            <w:vAlign w:val="bottom"/>
            <w:gridSpan w:val="2"/>
          </w:tcPr>
          <w:p>
            <w:pPr>
              <w:jc w:val="right"/>
              <w:ind w:right="90"/>
              <w:spacing w:after="0" w:line="145" w:lineRule="exact"/>
              <w:rPr>
                <w:sz w:val="20"/>
                <w:szCs w:val="20"/>
                <w:color w:val="auto"/>
              </w:rPr>
            </w:pPr>
            <w:r>
              <w:rPr>
                <w:rFonts w:ascii="Arial" w:cs="Arial" w:eastAsia="Arial" w:hAnsi="Arial"/>
                <w:sz w:val="14"/>
                <w:szCs w:val="14"/>
                <w:color w:val="auto"/>
              </w:rPr>
              <w:t>(96,942)</w:t>
            </w:r>
          </w:p>
        </w:tc>
        <w:tc>
          <w:tcPr>
            <w:tcW w:w="10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-14.5%</w:t>
            </w:r>
          </w:p>
        </w:tc>
      </w:tr>
      <w:tr>
        <w:trPr>
          <w:trHeight w:val="158"/>
        </w:trPr>
        <w:tc>
          <w:tcPr>
            <w:tcW w:w="360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Underwriting income</w:t>
            </w:r>
          </w:p>
        </w:tc>
        <w:tc>
          <w:tcPr>
            <w:tcW w:w="980" w:type="dxa"/>
            <w:vAlign w:val="bottom"/>
            <w:gridSpan w:val="2"/>
            <w:shd w:val="clear" w:color="auto" w:fill="CCEEFF"/>
          </w:tcPr>
          <w:p>
            <w:pPr>
              <w:jc w:val="right"/>
              <w:ind w:right="159"/>
              <w:spacing w:after="0" w:line="157" w:lineRule="exact"/>
              <w:rPr>
                <w:sz w:val="20"/>
                <w:szCs w:val="20"/>
                <w:color w:val="auto"/>
              </w:rPr>
            </w:pPr>
            <w:r>
              <w:rPr>
                <w:rFonts w:ascii="Arial" w:cs="Arial" w:eastAsia="Arial" w:hAnsi="Arial"/>
                <w:sz w:val="14"/>
                <w:szCs w:val="14"/>
                <w:color w:val="auto"/>
              </w:rPr>
              <w:t>725</w:t>
            </w:r>
          </w:p>
        </w:tc>
        <w:tc>
          <w:tcPr>
            <w:tcW w:w="6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706</w:t>
            </w: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(2,256)</w:t>
            </w:r>
          </w:p>
        </w:tc>
        <w:tc>
          <w:tcPr>
            <w:tcW w:w="1140" w:type="dxa"/>
            <w:vAlign w:val="bottom"/>
            <w:gridSpan w:val="3"/>
            <w:shd w:val="clear" w:color="auto" w:fill="CCEEFF"/>
          </w:tcPr>
          <w:p>
            <w:pPr>
              <w:ind w:left="460"/>
              <w:spacing w:after="0" w:line="157" w:lineRule="exact"/>
              <w:rPr>
                <w:sz w:val="20"/>
                <w:szCs w:val="20"/>
                <w:color w:val="auto"/>
              </w:rPr>
            </w:pPr>
            <w:r>
              <w:rPr>
                <w:rFonts w:ascii="Arial" w:cs="Arial" w:eastAsia="Arial" w:hAnsi="Arial"/>
                <w:sz w:val="14"/>
                <w:szCs w:val="14"/>
                <w:color w:val="auto"/>
              </w:rPr>
              <w:t>n.a.</w:t>
            </w:r>
          </w:p>
        </w:tc>
        <w:tc>
          <w:tcPr>
            <w:tcW w:w="780" w:type="dxa"/>
            <w:vAlign w:val="bottom"/>
            <w:gridSpan w:val="2"/>
            <w:shd w:val="clear" w:color="auto" w:fill="CCEEFF"/>
          </w:tcPr>
          <w:p>
            <w:pPr>
              <w:jc w:val="right"/>
              <w:ind w:right="170"/>
              <w:spacing w:after="0" w:line="157" w:lineRule="exact"/>
              <w:rPr>
                <w:sz w:val="20"/>
                <w:szCs w:val="20"/>
                <w:color w:val="auto"/>
              </w:rPr>
            </w:pPr>
            <w:r>
              <w:rPr>
                <w:rFonts w:ascii="Arial" w:cs="Arial" w:eastAsia="Arial" w:hAnsi="Arial"/>
                <w:sz w:val="14"/>
                <w:szCs w:val="14"/>
                <w:color w:val="auto"/>
              </w:rPr>
              <w:t>n.a.</w:t>
            </w:r>
          </w:p>
        </w:tc>
        <w:tc>
          <w:tcPr>
            <w:tcW w:w="880" w:type="dxa"/>
            <w:vAlign w:val="bottom"/>
            <w:gridSpan w:val="2"/>
            <w:shd w:val="clear" w:color="auto" w:fill="CCEEFF"/>
          </w:tcPr>
          <w:p>
            <w:pPr>
              <w:jc w:val="right"/>
              <w:ind w:right="150"/>
              <w:spacing w:after="0" w:line="157" w:lineRule="exact"/>
              <w:rPr>
                <w:sz w:val="20"/>
                <w:szCs w:val="20"/>
                <w:color w:val="auto"/>
              </w:rPr>
            </w:pPr>
            <w:r>
              <w:rPr>
                <w:rFonts w:ascii="Arial" w:cs="Arial" w:eastAsia="Arial" w:hAnsi="Arial"/>
                <w:sz w:val="14"/>
                <w:szCs w:val="14"/>
                <w:color w:val="auto"/>
              </w:rPr>
              <w:t>2,004</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(210)</w:t>
            </w:r>
          </w:p>
        </w:tc>
        <w:tc>
          <w:tcPr>
            <w:tcW w:w="10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-110.5%</w:t>
            </w:r>
          </w:p>
        </w:tc>
      </w:tr>
      <w:tr>
        <w:trPr>
          <w:trHeight w:val="138"/>
        </w:trPr>
        <w:tc>
          <w:tcPr>
            <w:tcW w:w="3600" w:type="dxa"/>
            <w:vAlign w:val="bottom"/>
            <w:gridSpan w:val="2"/>
          </w:tcPr>
          <w:p>
            <w:pPr>
              <w:spacing w:after="0" w:line="138" w:lineRule="exact"/>
              <w:rPr>
                <w:sz w:val="20"/>
                <w:szCs w:val="20"/>
                <w:color w:val="auto"/>
              </w:rPr>
            </w:pPr>
            <w:r>
              <w:rPr>
                <w:rFonts w:ascii="Arial" w:cs="Arial" w:eastAsia="Arial" w:hAnsi="Arial"/>
                <w:sz w:val="14"/>
                <w:szCs w:val="14"/>
                <w:b w:val="1"/>
                <w:bCs w:val="1"/>
                <w:color w:val="auto"/>
              </w:rPr>
              <w:t>Acquisition cost</w:t>
            </w:r>
          </w:p>
        </w:tc>
        <w:tc>
          <w:tcPr>
            <w:tcW w:w="7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rPr>
              <w:t>(86,644</w:t>
            </w:r>
          </w:p>
        </w:tc>
        <w:tc>
          <w:tcPr>
            <w:tcW w:w="200" w:type="dxa"/>
            <w:vAlign w:val="bottom"/>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6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rPr>
              <w:t>(84,944</w:t>
            </w:r>
          </w:p>
        </w:tc>
        <w:tc>
          <w:tcPr>
            <w:tcW w:w="220" w:type="dxa"/>
            <w:vAlign w:val="bottom"/>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7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rPr>
              <w:t>(87,416</w:t>
            </w:r>
          </w:p>
        </w:tc>
        <w:tc>
          <w:tcPr>
            <w:tcW w:w="220" w:type="dxa"/>
            <w:vAlign w:val="bottom"/>
          </w:tcPr>
          <w:p>
            <w:pPr>
              <w:jc w:val="right"/>
              <w:ind w:right="90"/>
              <w:spacing w:after="0" w:line="138" w:lineRule="exact"/>
              <w:rPr>
                <w:sz w:val="20"/>
                <w:szCs w:val="20"/>
                <w:color w:val="auto"/>
              </w:rPr>
            </w:pPr>
            <w:r>
              <w:rPr>
                <w:rFonts w:ascii="Arial" w:cs="Arial" w:eastAsia="Arial" w:hAnsi="Arial"/>
                <w:sz w:val="14"/>
                <w:szCs w:val="14"/>
                <w:b w:val="1"/>
                <w:bCs w:val="1"/>
                <w:color w:val="auto"/>
                <w:w w:val="84"/>
              </w:rPr>
              <w:t>)</w:t>
            </w:r>
          </w:p>
        </w:tc>
        <w:tc>
          <w:tcPr>
            <w:tcW w:w="6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rPr>
              <w:t>2.9</w:t>
            </w:r>
          </w:p>
        </w:tc>
        <w:tc>
          <w:tcPr>
            <w:tcW w:w="240" w:type="dxa"/>
            <w:vAlign w:val="bottom"/>
          </w:tcPr>
          <w:p>
            <w:pPr>
              <w:jc w:val="right"/>
              <w:ind w:right="30"/>
              <w:spacing w:after="0" w:line="138"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rPr>
              <w:t>0.9</w:t>
            </w:r>
          </w:p>
        </w:tc>
        <w:tc>
          <w:tcPr>
            <w:tcW w:w="240" w:type="dxa"/>
            <w:vAlign w:val="bottom"/>
          </w:tcPr>
          <w:p>
            <w:pPr>
              <w:jc w:val="right"/>
              <w:ind w:right="30"/>
              <w:spacing w:after="0" w:line="138" w:lineRule="exact"/>
              <w:rPr>
                <w:sz w:val="20"/>
                <w:szCs w:val="20"/>
                <w:color w:val="auto"/>
              </w:rPr>
            </w:pPr>
            <w:r>
              <w:rPr>
                <w:rFonts w:ascii="Arial" w:cs="Arial" w:eastAsia="Arial" w:hAnsi="Arial"/>
                <w:sz w:val="14"/>
                <w:szCs w:val="14"/>
                <w:b w:val="1"/>
                <w:bCs w:val="1"/>
                <w:color w:val="auto"/>
                <w:w w:val="96"/>
              </w:rPr>
              <w:t>%</w:t>
            </w:r>
          </w:p>
        </w:tc>
        <w:tc>
          <w:tcPr>
            <w:tcW w:w="6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rPr>
              <w:t>(286,749</w:t>
            </w:r>
          </w:p>
        </w:tc>
        <w:tc>
          <w:tcPr>
            <w:tcW w:w="220" w:type="dxa"/>
            <w:vAlign w:val="bottom"/>
          </w:tcPr>
          <w:p>
            <w:pPr>
              <w:jc w:val="right"/>
              <w:ind w:right="90"/>
              <w:spacing w:after="0" w:line="138" w:lineRule="exact"/>
              <w:rPr>
                <w:sz w:val="20"/>
                <w:szCs w:val="20"/>
                <w:color w:val="auto"/>
              </w:rPr>
            </w:pPr>
            <w:r>
              <w:rPr>
                <w:rFonts w:ascii="Arial" w:cs="Arial" w:eastAsia="Arial" w:hAnsi="Arial"/>
                <w:sz w:val="14"/>
                <w:szCs w:val="14"/>
                <w:b w:val="1"/>
                <w:bCs w:val="1"/>
                <w:color w:val="auto"/>
                <w:w w:val="84"/>
              </w:rPr>
              <w:t>)</w:t>
            </w: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rPr>
              <w:t>(258,182</w:t>
            </w:r>
          </w:p>
        </w:tc>
        <w:tc>
          <w:tcPr>
            <w:tcW w:w="220" w:type="dxa"/>
            <w:vAlign w:val="bottom"/>
          </w:tcPr>
          <w:p>
            <w:pPr>
              <w:jc w:val="right"/>
              <w:ind w:right="90"/>
              <w:spacing w:after="0" w:line="138" w:lineRule="exact"/>
              <w:rPr>
                <w:sz w:val="20"/>
                <w:szCs w:val="20"/>
                <w:color w:val="auto"/>
              </w:rPr>
            </w:pPr>
            <w:r>
              <w:rPr>
                <w:rFonts w:ascii="Arial" w:cs="Arial" w:eastAsia="Arial" w:hAnsi="Arial"/>
                <w:sz w:val="14"/>
                <w:szCs w:val="14"/>
                <w:b w:val="1"/>
                <w:bCs w:val="1"/>
                <w:color w:val="auto"/>
                <w:w w:val="84"/>
              </w:rPr>
              <w:t>)</w:t>
            </w:r>
          </w:p>
        </w:tc>
        <w:tc>
          <w:tcPr>
            <w:tcW w:w="9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rPr>
              <w:t>-10.0</w:t>
            </w:r>
          </w:p>
        </w:tc>
        <w:tc>
          <w:tcPr>
            <w:tcW w:w="120" w:type="dxa"/>
            <w:vAlign w:val="bottom"/>
          </w:tcPr>
          <w:p>
            <w:pPr>
              <w:jc w:val="right"/>
              <w:spacing w:after="0" w:line="138" w:lineRule="exact"/>
              <w:rPr>
                <w:sz w:val="20"/>
                <w:szCs w:val="20"/>
                <w:color w:val="auto"/>
              </w:rPr>
            </w:pPr>
            <w:r>
              <w:rPr>
                <w:rFonts w:ascii="Arial" w:cs="Arial" w:eastAsia="Arial" w:hAnsi="Arial"/>
                <w:sz w:val="14"/>
                <w:szCs w:val="14"/>
                <w:b w:val="1"/>
                <w:bCs w:val="1"/>
                <w:color w:val="auto"/>
                <w:w w:val="79"/>
              </w:rPr>
              <w:t>%</w:t>
            </w:r>
          </w:p>
        </w:tc>
      </w:tr>
      <w:tr>
        <w:trPr>
          <w:trHeight w:val="20"/>
        </w:trPr>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Acquisition cost per business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2540</wp:posOffset>
            </wp:positionV>
            <wp:extent cx="3009265" cy="17506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009265" cy="1750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44" w:name="page45"/>
    <w:bookmarkEnd w:id="44"/>
    <w:p>
      <w:pPr>
        <w:jc w:val="both"/>
        <w:spacing w:after="0" w:line="247" w:lineRule="auto"/>
        <w:rPr>
          <w:sz w:val="20"/>
          <w:szCs w:val="20"/>
          <w:color w:val="auto"/>
        </w:rPr>
      </w:pPr>
      <w:r>
        <w:rPr>
          <w:rFonts w:ascii="Arial" w:cs="Arial" w:eastAsia="Arial" w:hAnsi="Arial"/>
          <w:sz w:val="18"/>
          <w:szCs w:val="18"/>
          <w:color w:val="auto"/>
        </w:rPr>
        <w:t>The acquisition cost increased 2.9% QoQ, which was primarily attributable to the Life business due to: (i) growth in underwriting expenses, after uncollectible reinsurance premiums were registered in Credit Life and Group Life, and (ii) a decrease in underwriting income due to profit sharing in Credit life and (iii) growth in commissions in Credit Life and Annuities. The aforementioned was mitigated by the evolution of the P&amp;C business, which recorded a decrease in commissions in Personal Lines and a drop in underwriting expenses in Medical Assistance, both of which were associated with a decrease in provisions for doubtful collections.</w:t>
      </w:r>
    </w:p>
    <w:p>
      <w:pPr>
        <w:spacing w:after="0" w:line="19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the YoY analysis, the acquisition cost increased, 0.9% which was primarily driven by the Life business (for the same reasons indicated in the QoQ analysis) and by an increase in underwriting expenses in P&amp;C after more provisions were set aside for doubtful collections in the Commercial Lines and Cars. The aforementioned was mitigated by a decrease in commissions in P&amp;C, which was spurred mainly by drops in Commercial Lines, Medical Assistance and Personal Lines.</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YTD, the acquisition cost fell 10.0%. This was primarily attributable to the uptick registered in underwriting expenses last year in P&amp;C, which was driven mainly by Cars and attributable to reimbursements of premiums during the pandemic (clients were unable to use their cars). The Life business reported a decrease in underwriting expenses, mainly through Individual Life. Finally, fee income dropped in the P&amp;C business, which was primarily attributable to the evolution of Cars and of the Life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6.4. Underwriting Result by Business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Result by Business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2540</wp:posOffset>
            </wp:positionV>
            <wp:extent cx="3218180" cy="19342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18180" cy="1934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QoQ analysis, the underwriting result returned to a positive range, due primarily to an improvement in the life insurance result. This advance was driven by an increase in net earned premiums and to a decrease in claims due to an improvement in the sanitary situation. In P&amp;C, the reduction in the underwriting result was attributable to an increase in claims, which was seen primarily in Commercial Lines due to an uptick in claim severity, which was accompanied by growth in claims in Cars and Medical Assistance, which was driven by an uptick in case frequency.</w:t>
      </w:r>
    </w:p>
    <w:p>
      <w:pPr>
        <w:spacing w:after="0" w:line="16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the YoY analysis, the improvement in the underwriting result was attributable to an increase in net earned premiums in both businesses, and to lower life business claims given the release of IBNR claims of COVID-19 provisions after the second wave of the pandemic subsided. The aforementioned was attenuated by an uptick in claims in P&amp;C, which was primarily attributable to Medical Assistance, Commercial Lines and Cars.</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YTD, the decrease in the result was attributable to the results for Life and, to a lesser extent, to the results posted by P&amp;C. In Life, the reduction in the result was associated with an increase in claims during the second wave of COVID-19. This effect was partially mitigated by an increase in net premiums and a decrease in acquisition costs. In P&amp;C, the drop in the underwriting result was driven by an uptick in claims in Medical Assistance and in Commercial Lines and Cars, which registered an increase in claims frequency. This effect was partially mitigated by an increase in sales reported by Commercial Lines and Medical Assistance.</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572770</wp:posOffset>
            </wp:positionV>
            <wp:extent cx="7136130" cy="81864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6130" cy="8186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7. Operating Expenses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52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Quarter</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4"/>
                <w:szCs w:val="14"/>
                <w:b w:val="1"/>
                <w:bCs w:val="1"/>
                <w:color w:val="auto"/>
                <w:w w:val="91"/>
              </w:rPr>
              <w:t>% change</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YTD</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1"/>
        </w:trPr>
        <w:tc>
          <w:tcPr>
            <w:tcW w:w="3280" w:type="dxa"/>
            <w:vAlign w:val="bottom"/>
            <w:tcBorders>
              <w:bottom w:val="single" w:sz="8" w:color="auto"/>
            </w:tcBorders>
          </w:tcPr>
          <w:p>
            <w:pPr>
              <w:spacing w:after="0" w:line="151" w:lineRule="exact"/>
              <w:rPr>
                <w:sz w:val="20"/>
                <w:szCs w:val="20"/>
                <w:color w:val="auto"/>
              </w:rPr>
            </w:pPr>
            <w:r>
              <w:rPr>
                <w:rFonts w:ascii="Arial" w:cs="Arial" w:eastAsia="Arial" w:hAnsi="Arial"/>
                <w:sz w:val="14"/>
                <w:szCs w:val="14"/>
                <w:b w:val="1"/>
                <w:bCs w:val="1"/>
                <w:color w:val="auto"/>
              </w:rPr>
              <w:t>S/ 000</w:t>
            </w:r>
          </w:p>
        </w:tc>
        <w:tc>
          <w:tcPr>
            <w:tcW w:w="24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0"/>
              <w:spacing w:after="0" w:line="151" w:lineRule="exact"/>
              <w:rPr>
                <w:sz w:val="20"/>
                <w:szCs w:val="20"/>
                <w:color w:val="auto"/>
              </w:rPr>
            </w:pPr>
            <w:r>
              <w:rPr>
                <w:rFonts w:ascii="Arial" w:cs="Arial" w:eastAsia="Arial" w:hAnsi="Arial"/>
                <w:sz w:val="14"/>
                <w:szCs w:val="14"/>
                <w:b w:val="1"/>
                <w:bCs w:val="1"/>
                <w:color w:val="auto"/>
              </w:rPr>
              <w:t>3Q20</w:t>
            </w:r>
          </w:p>
        </w:tc>
        <w:tc>
          <w:tcPr>
            <w:tcW w:w="22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rPr>
              <w:t>2Q21</w:t>
            </w:r>
          </w:p>
        </w:tc>
        <w:tc>
          <w:tcPr>
            <w:tcW w:w="220" w:type="dxa"/>
            <w:vAlign w:val="bottom"/>
            <w:tcBorders>
              <w:top w:val="single" w:sz="8" w:color="auto"/>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0"/>
              <w:spacing w:after="0" w:line="151" w:lineRule="exact"/>
              <w:rPr>
                <w:sz w:val="20"/>
                <w:szCs w:val="20"/>
                <w:color w:val="auto"/>
              </w:rPr>
            </w:pPr>
            <w:r>
              <w:rPr>
                <w:rFonts w:ascii="Arial" w:cs="Arial" w:eastAsia="Arial" w:hAnsi="Arial"/>
                <w:sz w:val="14"/>
                <w:szCs w:val="14"/>
                <w:b w:val="1"/>
                <w:bCs w:val="1"/>
                <w:color w:val="auto"/>
              </w:rPr>
              <w:t>3Q21</w:t>
            </w:r>
          </w:p>
        </w:tc>
        <w:tc>
          <w:tcPr>
            <w:tcW w:w="22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rPr>
              <w:t>QoQ</w:t>
            </w:r>
          </w:p>
        </w:tc>
        <w:tc>
          <w:tcPr>
            <w:tcW w:w="22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90"/>
              <w:spacing w:after="0" w:line="151" w:lineRule="exact"/>
              <w:rPr>
                <w:sz w:val="20"/>
                <w:szCs w:val="20"/>
                <w:color w:val="auto"/>
              </w:rPr>
            </w:pPr>
            <w:r>
              <w:rPr>
                <w:rFonts w:ascii="Arial" w:cs="Arial" w:eastAsia="Arial" w:hAnsi="Arial"/>
                <w:sz w:val="14"/>
                <w:szCs w:val="14"/>
                <w:b w:val="1"/>
                <w:bCs w:val="1"/>
                <w:color w:val="auto"/>
                <w:w w:val="87"/>
              </w:rPr>
              <w:t>YoY</w:t>
            </w:r>
          </w:p>
        </w:tc>
        <w:tc>
          <w:tcPr>
            <w:tcW w:w="22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30"/>
              <w:spacing w:after="0" w:line="151" w:lineRule="exact"/>
              <w:rPr>
                <w:sz w:val="20"/>
                <w:szCs w:val="20"/>
                <w:color w:val="auto"/>
              </w:rPr>
            </w:pPr>
            <w:r>
              <w:rPr>
                <w:rFonts w:ascii="Arial" w:cs="Arial" w:eastAsia="Arial" w:hAnsi="Arial"/>
                <w:sz w:val="14"/>
                <w:szCs w:val="14"/>
                <w:b w:val="1"/>
                <w:bCs w:val="1"/>
                <w:color w:val="auto"/>
              </w:rPr>
              <w:t>9M - 20</w:t>
            </w:r>
          </w:p>
        </w:tc>
        <w:tc>
          <w:tcPr>
            <w:tcW w:w="2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90"/>
              <w:spacing w:after="0" w:line="151" w:lineRule="exact"/>
              <w:rPr>
                <w:sz w:val="20"/>
                <w:szCs w:val="20"/>
                <w:color w:val="auto"/>
              </w:rPr>
            </w:pPr>
            <w:r>
              <w:rPr>
                <w:rFonts w:ascii="Arial" w:cs="Arial" w:eastAsia="Arial" w:hAnsi="Arial"/>
                <w:sz w:val="14"/>
                <w:szCs w:val="14"/>
                <w:b w:val="1"/>
                <w:bCs w:val="1"/>
                <w:color w:val="auto"/>
              </w:rPr>
              <w:t>9M - 21</w:t>
            </w:r>
          </w:p>
        </w:tc>
        <w:tc>
          <w:tcPr>
            <w:tcW w:w="200" w:type="dxa"/>
            <w:vAlign w:val="bottom"/>
            <w:tcBorders>
              <w:bottom w:val="single" w:sz="8" w:color="CCEEFF"/>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3"/>
              </w:rPr>
              <w:t>9M - 21 / 9M - 20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2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Salaries and employees benefits</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803,438</w:t>
            </w: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882,177</w:t>
            </w: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915,564</w:t>
            </w: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30"/>
              <w:spacing w:after="0" w:line="138" w:lineRule="exact"/>
              <w:rPr>
                <w:sz w:val="20"/>
                <w:szCs w:val="20"/>
                <w:color w:val="auto"/>
              </w:rPr>
            </w:pPr>
            <w:r>
              <w:rPr>
                <w:rFonts w:ascii="Arial" w:cs="Arial" w:eastAsia="Arial" w:hAnsi="Arial"/>
                <w:sz w:val="14"/>
                <w:szCs w:val="14"/>
                <w:color w:val="auto"/>
              </w:rPr>
              <w:t>3.8%</w:t>
            </w:r>
          </w:p>
        </w:tc>
        <w:tc>
          <w:tcPr>
            <w:tcW w:w="2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0"/>
              <w:spacing w:after="0" w:line="138" w:lineRule="exact"/>
              <w:rPr>
                <w:sz w:val="20"/>
                <w:szCs w:val="20"/>
                <w:color w:val="auto"/>
              </w:rPr>
            </w:pPr>
            <w:r>
              <w:rPr>
                <w:rFonts w:ascii="Arial" w:cs="Arial" w:eastAsia="Arial" w:hAnsi="Arial"/>
                <w:sz w:val="14"/>
                <w:szCs w:val="14"/>
                <w:color w:val="auto"/>
              </w:rPr>
              <w:t>14.0%</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2,520,618</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2,655,300</w:t>
            </w:r>
          </w:p>
        </w:tc>
        <w:tc>
          <w:tcPr>
            <w:tcW w:w="2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4"/>
        </w:trPr>
        <w:tc>
          <w:tcPr>
            <w:tcW w:w="3520" w:type="dxa"/>
            <w:vAlign w:val="bottom"/>
            <w:gridSpan w:val="2"/>
          </w:tcPr>
          <w:p>
            <w:pPr>
              <w:spacing w:after="0" w:line="184" w:lineRule="exact"/>
              <w:rPr>
                <w:sz w:val="20"/>
                <w:szCs w:val="20"/>
                <w:color w:val="auto"/>
              </w:rPr>
            </w:pPr>
            <w:r>
              <w:rPr>
                <w:rFonts w:ascii="Arial" w:cs="Arial" w:eastAsia="Arial" w:hAnsi="Arial"/>
                <w:sz w:val="13"/>
                <w:szCs w:val="13"/>
                <w:color w:val="auto"/>
              </w:rPr>
              <w:t xml:space="preserve">Administrative, general and tax expenses </w:t>
            </w:r>
            <w:r>
              <w:rPr>
                <w:rFonts w:ascii="Arial" w:cs="Arial" w:eastAsia="Arial" w:hAnsi="Arial"/>
                <w:sz w:val="21"/>
                <w:szCs w:val="21"/>
                <w:color w:val="auto"/>
                <w:vertAlign w:val="superscript"/>
              </w:rPr>
              <w:t>(1)</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591,213</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672,804</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803,156</w:t>
            </w:r>
          </w:p>
        </w:tc>
        <w:tc>
          <w:tcPr>
            <w:tcW w:w="880" w:type="dxa"/>
            <w:vAlign w:val="bottom"/>
            <w:gridSpan w:val="2"/>
          </w:tcPr>
          <w:p>
            <w:pPr>
              <w:jc w:val="right"/>
              <w:ind w:right="30"/>
              <w:spacing w:after="0"/>
              <w:rPr>
                <w:sz w:val="20"/>
                <w:szCs w:val="20"/>
                <w:color w:val="auto"/>
              </w:rPr>
            </w:pPr>
            <w:r>
              <w:rPr>
                <w:rFonts w:ascii="Arial" w:cs="Arial" w:eastAsia="Arial" w:hAnsi="Arial"/>
                <w:sz w:val="14"/>
                <w:szCs w:val="14"/>
                <w:color w:val="auto"/>
              </w:rPr>
              <w:t>19.4%</w:t>
            </w:r>
          </w:p>
        </w:tc>
        <w:tc>
          <w:tcPr>
            <w:tcW w:w="260" w:type="dxa"/>
            <w:vAlign w:val="bottom"/>
          </w:tcPr>
          <w:p>
            <w:pPr>
              <w:spacing w:after="0"/>
              <w:rPr>
                <w:sz w:val="15"/>
                <w:szCs w:val="15"/>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4"/>
                <w:szCs w:val="14"/>
                <w:color w:val="auto"/>
              </w:rPr>
              <w:t>35.8%</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1,644,010</w:t>
            </w:r>
          </w:p>
        </w:tc>
        <w:tc>
          <w:tcPr>
            <w:tcW w:w="1180" w:type="dxa"/>
            <w:vAlign w:val="bottom"/>
            <w:gridSpan w:val="3"/>
          </w:tcPr>
          <w:p>
            <w:pPr>
              <w:jc w:val="right"/>
              <w:ind w:right="200"/>
              <w:spacing w:after="0"/>
              <w:rPr>
                <w:sz w:val="20"/>
                <w:szCs w:val="20"/>
                <w:color w:val="auto"/>
              </w:rPr>
            </w:pPr>
            <w:r>
              <w:rPr>
                <w:rFonts w:ascii="Arial" w:cs="Arial" w:eastAsia="Arial" w:hAnsi="Arial"/>
                <w:sz w:val="14"/>
                <w:szCs w:val="14"/>
                <w:color w:val="auto"/>
              </w:rPr>
              <w:t>2,056,803</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84"/>
        </w:trPr>
        <w:tc>
          <w:tcPr>
            <w:tcW w:w="3520" w:type="dxa"/>
            <w:vAlign w:val="bottom"/>
            <w:gridSpan w:val="2"/>
            <w:shd w:val="clear" w:color="auto" w:fill="CCEEFF"/>
          </w:tcPr>
          <w:p>
            <w:pPr>
              <w:spacing w:after="0" w:line="184"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21"/>
                <w:szCs w:val="21"/>
                <w:color w:val="auto"/>
                <w:vertAlign w:val="superscript"/>
              </w:rPr>
              <w:t>(1)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166,105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163,869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170,960</w:t>
            </w:r>
          </w:p>
        </w:tc>
        <w:tc>
          <w:tcPr>
            <w:tcW w:w="88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4.3%</w:t>
            </w:r>
          </w:p>
        </w:tc>
        <w:tc>
          <w:tcPr>
            <w:tcW w:w="2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2.9%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505,374</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501,594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4"/>
        </w:trPr>
        <w:tc>
          <w:tcPr>
            <w:tcW w:w="3520" w:type="dxa"/>
            <w:vAlign w:val="bottom"/>
            <w:gridSpan w:val="2"/>
          </w:tcPr>
          <w:p>
            <w:pPr>
              <w:spacing w:after="0" w:line="145" w:lineRule="exact"/>
              <w:rPr>
                <w:sz w:val="20"/>
                <w:szCs w:val="20"/>
                <w:color w:val="auto"/>
              </w:rPr>
            </w:pPr>
            <w:r>
              <w:rPr>
                <w:rFonts w:ascii="Arial" w:cs="Arial" w:eastAsia="Arial" w:hAnsi="Arial"/>
                <w:sz w:val="14"/>
                <w:szCs w:val="14"/>
                <w:color w:val="auto"/>
              </w:rPr>
              <w:t>Association in participation</w:t>
            </w:r>
          </w:p>
        </w:tc>
        <w:tc>
          <w:tcPr>
            <w:tcW w:w="98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10,566</w:t>
            </w:r>
          </w:p>
        </w:tc>
        <w:tc>
          <w:tcPr>
            <w:tcW w:w="88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8,879</w:t>
            </w:r>
          </w:p>
        </w:tc>
        <w:tc>
          <w:tcPr>
            <w:tcW w:w="98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10,426</w:t>
            </w:r>
          </w:p>
        </w:tc>
        <w:tc>
          <w:tcPr>
            <w:tcW w:w="880" w:type="dxa"/>
            <w:vAlign w:val="bottom"/>
            <w:gridSpan w:val="2"/>
          </w:tcPr>
          <w:p>
            <w:pPr>
              <w:jc w:val="right"/>
              <w:ind w:right="30"/>
              <w:spacing w:after="0" w:line="145" w:lineRule="exact"/>
              <w:rPr>
                <w:sz w:val="20"/>
                <w:szCs w:val="20"/>
                <w:color w:val="auto"/>
              </w:rPr>
            </w:pPr>
            <w:r>
              <w:rPr>
                <w:rFonts w:ascii="Arial" w:cs="Arial" w:eastAsia="Arial" w:hAnsi="Arial"/>
                <w:sz w:val="14"/>
                <w:szCs w:val="14"/>
                <w:color w:val="auto"/>
              </w:rPr>
              <w:t>17.4%</w:t>
            </w:r>
          </w:p>
        </w:tc>
        <w:tc>
          <w:tcPr>
            <w:tcW w:w="260" w:type="dxa"/>
            <w:vAlign w:val="bottom"/>
          </w:tcPr>
          <w:p>
            <w:pPr>
              <w:spacing w:after="0"/>
              <w:rPr>
                <w:sz w:val="12"/>
                <w:szCs w:val="12"/>
                <w:color w:val="auto"/>
              </w:rPr>
            </w:pPr>
          </w:p>
        </w:tc>
        <w:tc>
          <w:tcPr>
            <w:tcW w:w="740" w:type="dxa"/>
            <w:vAlign w:val="bottom"/>
            <w:gridSpan w:val="2"/>
          </w:tcPr>
          <w:p>
            <w:pPr>
              <w:jc w:val="right"/>
              <w:ind w:right="30"/>
              <w:spacing w:after="0" w:line="145" w:lineRule="exact"/>
              <w:rPr>
                <w:sz w:val="20"/>
                <w:szCs w:val="20"/>
                <w:color w:val="auto"/>
              </w:rPr>
            </w:pPr>
            <w:r>
              <w:rPr>
                <w:rFonts w:ascii="Arial" w:cs="Arial" w:eastAsia="Arial" w:hAnsi="Arial"/>
                <w:sz w:val="14"/>
                <w:szCs w:val="14"/>
                <w:color w:val="auto"/>
              </w:rPr>
              <w:t>-1.3%</w:t>
            </w:r>
          </w:p>
        </w:tc>
        <w:tc>
          <w:tcPr>
            <w:tcW w:w="680" w:type="dxa"/>
            <w:vAlign w:val="bottom"/>
            <w:gridSpan w:val="2"/>
          </w:tcPr>
          <w:p>
            <w:pPr>
              <w:jc w:val="right"/>
              <w:ind w:right="20"/>
              <w:spacing w:after="0" w:line="145" w:lineRule="exact"/>
              <w:rPr>
                <w:sz w:val="20"/>
                <w:szCs w:val="20"/>
                <w:color w:val="auto"/>
              </w:rPr>
            </w:pPr>
            <w:r>
              <w:rPr>
                <w:rFonts w:ascii="Arial" w:cs="Arial" w:eastAsia="Arial" w:hAnsi="Arial"/>
                <w:sz w:val="14"/>
                <w:szCs w:val="14"/>
                <w:color w:val="auto"/>
              </w:rPr>
              <w:t>34,940</w:t>
            </w:r>
          </w:p>
        </w:tc>
        <w:tc>
          <w:tcPr>
            <w:tcW w:w="1180" w:type="dxa"/>
            <w:vAlign w:val="bottom"/>
            <w:gridSpan w:val="3"/>
          </w:tcPr>
          <w:p>
            <w:pPr>
              <w:jc w:val="right"/>
              <w:ind w:right="200"/>
              <w:spacing w:after="0" w:line="145" w:lineRule="exact"/>
              <w:rPr>
                <w:sz w:val="20"/>
                <w:szCs w:val="20"/>
                <w:color w:val="auto"/>
              </w:rPr>
            </w:pPr>
            <w:r>
              <w:rPr>
                <w:rFonts w:ascii="Arial" w:cs="Arial" w:eastAsia="Arial" w:hAnsi="Arial"/>
                <w:sz w:val="14"/>
                <w:szCs w:val="14"/>
                <w:color w:val="auto"/>
              </w:rPr>
              <w:t>33,211</w:t>
            </w:r>
          </w:p>
        </w:tc>
        <w:tc>
          <w:tcPr>
            <w:tcW w:w="11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4"/>
        </w:trPr>
        <w:tc>
          <w:tcPr>
            <w:tcW w:w="3520" w:type="dxa"/>
            <w:vAlign w:val="bottom"/>
            <w:gridSpan w:val="2"/>
            <w:shd w:val="clear" w:color="auto" w:fill="CCEEFF"/>
          </w:tcPr>
          <w:p>
            <w:pPr>
              <w:spacing w:after="0" w:line="184" w:lineRule="exact"/>
              <w:rPr>
                <w:sz w:val="20"/>
                <w:szCs w:val="20"/>
                <w:color w:val="auto"/>
              </w:rPr>
            </w:pPr>
            <w:r>
              <w:rPr>
                <w:rFonts w:ascii="Arial" w:cs="Arial" w:eastAsia="Arial" w:hAnsi="Arial"/>
                <w:sz w:val="13"/>
                <w:szCs w:val="13"/>
                <w:color w:val="auto"/>
              </w:rPr>
              <w:t xml:space="preserve">Acquisition cost </w:t>
            </w:r>
            <w:r>
              <w:rPr>
                <w:rFonts w:ascii="Arial" w:cs="Arial" w:eastAsia="Arial" w:hAnsi="Arial"/>
                <w:sz w:val="21"/>
                <w:szCs w:val="21"/>
                <w:color w:val="auto"/>
                <w:vertAlign w:val="superscript"/>
              </w:rPr>
              <w:t>(2)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86,643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84,944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87,416</w:t>
            </w:r>
          </w:p>
        </w:tc>
        <w:tc>
          <w:tcPr>
            <w:tcW w:w="88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2.9%</w:t>
            </w:r>
          </w:p>
        </w:tc>
        <w:tc>
          <w:tcPr>
            <w:tcW w:w="2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0.9%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286,748</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258,182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line="184" w:lineRule="exact"/>
              <w:rPr>
                <w:sz w:val="20"/>
                <w:szCs w:val="20"/>
                <w:color w:val="auto"/>
              </w:rPr>
            </w:pPr>
            <w:r>
              <w:rPr>
                <w:rFonts w:ascii="Arial" w:cs="Arial" w:eastAsia="Arial" w:hAnsi="Arial"/>
                <w:sz w:val="13"/>
                <w:szCs w:val="13"/>
                <w:color w:val="auto"/>
              </w:rPr>
              <w:t xml:space="preserve">Operating expenses </w:t>
            </w:r>
            <w:r>
              <w:rPr>
                <w:rFonts w:ascii="Arial" w:cs="Arial" w:eastAsia="Arial" w:hAnsi="Arial"/>
                <w:sz w:val="21"/>
                <w:szCs w:val="21"/>
                <w:color w:val="auto"/>
                <w:vertAlign w:val="superscript"/>
              </w:rPr>
              <w:t>(3)</w:t>
            </w: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4"/>
                <w:szCs w:val="14"/>
                <w:color w:val="auto"/>
                <w:w w:val="79"/>
              </w:rPr>
              <w:t>%</w:t>
            </w: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4"/>
                <w:szCs w:val="14"/>
                <w:color w:val="auto"/>
                <w:w w:val="79"/>
              </w:rPr>
              <w:t>%</w:t>
            </w: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520" w:type="dxa"/>
            <w:vAlign w:val="bottom"/>
            <w:gridSpan w:val="2"/>
            <w:vMerge w:val="continue"/>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1,657,965</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1,812,673</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1,987,522</w:t>
            </w:r>
          </w:p>
        </w:tc>
        <w:tc>
          <w:tcPr>
            <w:tcW w:w="660" w:type="dxa"/>
            <w:vAlign w:val="bottom"/>
          </w:tcPr>
          <w:p>
            <w:pPr>
              <w:jc w:val="right"/>
              <w:spacing w:after="0"/>
              <w:rPr>
                <w:sz w:val="20"/>
                <w:szCs w:val="20"/>
                <w:color w:val="auto"/>
              </w:rPr>
            </w:pPr>
            <w:r>
              <w:rPr>
                <w:rFonts w:ascii="Arial" w:cs="Arial" w:eastAsia="Arial" w:hAnsi="Arial"/>
                <w:sz w:val="14"/>
                <w:szCs w:val="14"/>
                <w:color w:val="auto"/>
              </w:rPr>
              <w:t>9.6</w:t>
            </w:r>
          </w:p>
        </w:tc>
        <w:tc>
          <w:tcPr>
            <w:tcW w:w="2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19.9</w:t>
            </w:r>
          </w:p>
        </w:tc>
        <w:tc>
          <w:tcPr>
            <w:tcW w:w="220" w:type="dxa"/>
            <w:vAlign w:val="bottom"/>
            <w:vMerge w:val="continue"/>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4,991,690</w:t>
            </w:r>
          </w:p>
        </w:tc>
        <w:tc>
          <w:tcPr>
            <w:tcW w:w="1180" w:type="dxa"/>
            <w:vAlign w:val="bottom"/>
            <w:gridSpan w:val="3"/>
          </w:tcPr>
          <w:p>
            <w:pPr>
              <w:jc w:val="right"/>
              <w:ind w:right="200"/>
              <w:spacing w:after="0"/>
              <w:rPr>
                <w:sz w:val="20"/>
                <w:szCs w:val="20"/>
                <w:color w:val="auto"/>
              </w:rPr>
            </w:pPr>
            <w:r>
              <w:rPr>
                <w:rFonts w:ascii="Arial" w:cs="Arial" w:eastAsia="Arial" w:hAnsi="Arial"/>
                <w:sz w:val="14"/>
                <w:szCs w:val="14"/>
                <w:color w:val="auto"/>
              </w:rPr>
              <w:t>5,505,090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240" w:hanging="235"/>
        <w:spacing w:after="0"/>
        <w:tabs>
          <w:tab w:leader="none" w:pos="2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3Q20 figures differ from what was previously reported by reclassification of IFRS16.</w:t>
      </w:r>
    </w:p>
    <w:p>
      <w:pPr>
        <w:ind w:left="240" w:hanging="235"/>
        <w:spacing w:after="0" w:line="215" w:lineRule="auto"/>
        <w:tabs>
          <w:tab w:leader="none" w:pos="2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acquisition cost of Pacifico includes net fees and underwriting expenses.</w:t>
      </w:r>
    </w:p>
    <w:p>
      <w:pPr>
        <w:ind w:left="240" w:hanging="235"/>
        <w:spacing w:after="0"/>
        <w:tabs>
          <w:tab w:leader="none" w:pos="2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Operating expenses = Salaries and employee’s benefits + Administrative expenses + Depreciation and amortization + Association in participation + Acquisition cost.</w:t>
      </w:r>
    </w:p>
    <w:p>
      <w:pPr>
        <w:spacing w:after="0" w:line="116"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 YoY and 9 month YoY</w:t>
      </w:r>
      <w:r>
        <w:rPr>
          <w:rFonts w:ascii="Arial" w:cs="Arial" w:eastAsia="Arial" w:hAnsi="Arial"/>
          <w:sz w:val="18"/>
          <w:szCs w:val="18"/>
          <w:color w:val="auto"/>
        </w:rPr>
        <w:t xml:space="preserve"> analyses, operating expenses rose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1508760" cy="14839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08760" cy="1483995"/>
                    </a:xfrm>
                    <a:prstGeom prst="rect">
                      <a:avLst/>
                    </a:prstGeom>
                    <a:noFill/>
                  </pic:spPr>
                </pic:pic>
              </a:graphicData>
            </a:graphic>
          </wp:anchor>
        </w:drawing>
      </w:r>
    </w:p>
    <w:p>
      <w:pPr>
        <w:spacing w:after="0" w:line="193" w:lineRule="exact"/>
        <w:rPr>
          <w:sz w:val="20"/>
          <w:szCs w:val="20"/>
          <w:color w:val="auto"/>
        </w:rPr>
      </w:pPr>
    </w:p>
    <w:p>
      <w:pPr>
        <w:jc w:val="both"/>
        <w:ind w:left="2600" w:hanging="219"/>
        <w:spacing w:after="0" w:line="255" w:lineRule="auto"/>
        <w:tabs>
          <w:tab w:leader="none" w:pos="2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administrative and general expenses and taxes</w:t>
      </w:r>
      <w:r>
        <w:rPr>
          <w:rFonts w:ascii="Arial" w:cs="Arial" w:eastAsia="Arial" w:hAnsi="Arial"/>
          <w:sz w:val="18"/>
          <w:szCs w:val="18"/>
          <w:color w:val="auto"/>
        </w:rPr>
        <w:t>, which was primarily attributable to BCP Stand-alone, where efforts are underway to accelerate the organization’s digital transformation by increasing investment in technology, data analysis and consultancy among others.</w:t>
      </w:r>
    </w:p>
    <w:p>
      <w:pPr>
        <w:spacing w:after="0" w:line="180" w:lineRule="exact"/>
        <w:rPr>
          <w:sz w:val="20"/>
          <w:szCs w:val="20"/>
          <w:color w:val="auto"/>
        </w:rPr>
      </w:pPr>
    </w:p>
    <w:p>
      <w:pPr>
        <w:jc w:val="both"/>
        <w:ind w:left="2600" w:hanging="222"/>
        <w:spacing w:after="0" w:line="255" w:lineRule="auto"/>
        <w:rPr>
          <w:sz w:val="20"/>
          <w:szCs w:val="20"/>
          <w:color w:val="auto"/>
        </w:rPr>
      </w:pPr>
      <w:r>
        <w:rPr>
          <w:rFonts w:ascii="Arial" w:cs="Arial" w:eastAsia="Arial" w:hAnsi="Arial"/>
          <w:sz w:val="18"/>
          <w:szCs w:val="18"/>
          <w:color w:val="auto"/>
        </w:rPr>
        <w:t xml:space="preserve">(ii)The increase in </w:t>
      </w:r>
      <w:r>
        <w:rPr>
          <w:rFonts w:ascii="Arial" w:cs="Arial" w:eastAsia="Arial" w:hAnsi="Arial"/>
          <w:sz w:val="18"/>
          <w:szCs w:val="18"/>
          <w:b w:val="1"/>
          <w:bCs w:val="1"/>
          <w:color w:val="auto"/>
        </w:rPr>
        <w:t>Salaries and Employee Benefits</w:t>
      </w:r>
      <w:r>
        <w:rPr>
          <w:rFonts w:ascii="Arial" w:cs="Arial" w:eastAsia="Arial" w:hAnsi="Arial"/>
          <w:sz w:val="18"/>
          <w:szCs w:val="18"/>
          <w:color w:val="auto"/>
        </w:rPr>
        <w:t>, given that more provisions were set aside for employee profit sharing, which was in line with growth in earnings this quarter, and more personnel with specialized technical profiles were hired under the organization’s digital transformation strategy.</w:t>
      </w:r>
    </w:p>
    <w:p>
      <w:pPr>
        <w:spacing w:after="0" w:line="200" w:lineRule="exact"/>
        <w:rPr>
          <w:sz w:val="20"/>
          <w:szCs w:val="20"/>
          <w:color w:val="auto"/>
        </w:rPr>
      </w:pPr>
    </w:p>
    <w:p>
      <w:pPr>
        <w:jc w:val="both"/>
        <w:ind w:left="2380"/>
        <w:spacing w:after="0" w:line="260" w:lineRule="auto"/>
        <w:rPr>
          <w:sz w:val="20"/>
          <w:szCs w:val="20"/>
          <w:color w:val="auto"/>
        </w:rPr>
      </w:pPr>
      <w:r>
        <w:rPr>
          <w:rFonts w:ascii="Arial" w:cs="Arial" w:eastAsia="Arial" w:hAnsi="Arial"/>
          <w:sz w:val="18"/>
          <w:szCs w:val="18"/>
          <w:color w:val="auto"/>
        </w:rPr>
        <w:t>It is important to note that exchange rate volatility significantly impacted expenses this quarter. If we exclude this effect, growth in spending situates at 9.1% (50bps less).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 Administrative and general expenses and taxes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Administrative and general expenses and taxes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Administrative, general and tax expenses</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ind w:left="540"/>
              <w:spacing w:after="0"/>
              <w:rPr>
                <w:sz w:val="20"/>
                <w:szCs w:val="20"/>
                <w:color w:val="auto"/>
              </w:rPr>
            </w:pPr>
            <w:r>
              <w:rPr>
                <w:rFonts w:ascii="Arial" w:cs="Arial" w:eastAsia="Arial" w:hAnsi="Arial"/>
                <w:sz w:val="14"/>
                <w:szCs w:val="14"/>
                <w:b w:val="1"/>
                <w:bCs w:val="1"/>
                <w:color w:val="auto"/>
                <w:w w:val="91"/>
              </w:rPr>
              <w:t>% change</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w w:val="99"/>
              </w:rPr>
              <w:t>YTD</w:t>
            </w:r>
          </w:p>
        </w:tc>
        <w:tc>
          <w:tcPr>
            <w:tcW w:w="116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 change</w:t>
            </w:r>
          </w:p>
        </w:tc>
      </w:tr>
      <w:tr>
        <w:trPr>
          <w:trHeight w:val="151"/>
        </w:trPr>
        <w:tc>
          <w:tcPr>
            <w:tcW w:w="3220" w:type="dxa"/>
            <w:vAlign w:val="bottom"/>
            <w:tcBorders>
              <w:bottom w:val="single" w:sz="8" w:color="auto"/>
            </w:tcBorders>
          </w:tcPr>
          <w:p>
            <w:pPr>
              <w:spacing w:after="0" w:line="151" w:lineRule="exact"/>
              <w:rPr>
                <w:sz w:val="20"/>
                <w:szCs w:val="20"/>
                <w:color w:val="auto"/>
              </w:rPr>
            </w:pPr>
            <w:r>
              <w:rPr>
                <w:rFonts w:ascii="Arial" w:cs="Arial" w:eastAsia="Arial" w:hAnsi="Arial"/>
                <w:sz w:val="14"/>
                <w:szCs w:val="14"/>
                <w:b w:val="1"/>
                <w:bCs w:val="1"/>
                <w:color w:val="auto"/>
              </w:rPr>
              <w:t>S/ 000</w:t>
            </w:r>
          </w:p>
        </w:tc>
        <w:tc>
          <w:tcPr>
            <w:tcW w:w="22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50"/>
              <w:spacing w:after="0" w:line="151" w:lineRule="exact"/>
              <w:rPr>
                <w:sz w:val="20"/>
                <w:szCs w:val="20"/>
                <w:color w:val="auto"/>
              </w:rPr>
            </w:pPr>
            <w:r>
              <w:rPr>
                <w:rFonts w:ascii="Arial" w:cs="Arial" w:eastAsia="Arial" w:hAnsi="Arial"/>
                <w:sz w:val="14"/>
                <w:szCs w:val="14"/>
                <w:b w:val="1"/>
                <w:bCs w:val="1"/>
                <w:color w:val="auto"/>
              </w:rPr>
              <w:t>3Q20</w:t>
            </w:r>
          </w:p>
        </w:tc>
        <w:tc>
          <w:tcPr>
            <w:tcW w:w="20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90"/>
              <w:spacing w:after="0" w:line="151" w:lineRule="exact"/>
              <w:rPr>
                <w:sz w:val="20"/>
                <w:szCs w:val="20"/>
                <w:color w:val="auto"/>
              </w:rPr>
            </w:pPr>
            <w:r>
              <w:rPr>
                <w:rFonts w:ascii="Arial" w:cs="Arial" w:eastAsia="Arial" w:hAnsi="Arial"/>
                <w:sz w:val="14"/>
                <w:szCs w:val="14"/>
                <w:b w:val="1"/>
                <w:bCs w:val="1"/>
                <w:color w:val="auto"/>
              </w:rPr>
              <w:t>2Q21</w:t>
            </w:r>
          </w:p>
        </w:tc>
        <w:tc>
          <w:tcPr>
            <w:tcW w:w="22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70"/>
              <w:spacing w:after="0" w:line="151" w:lineRule="exact"/>
              <w:rPr>
                <w:sz w:val="20"/>
                <w:szCs w:val="20"/>
                <w:color w:val="auto"/>
              </w:rPr>
            </w:pPr>
            <w:r>
              <w:rPr>
                <w:rFonts w:ascii="Arial" w:cs="Arial" w:eastAsia="Arial" w:hAnsi="Arial"/>
                <w:sz w:val="14"/>
                <w:szCs w:val="14"/>
                <w:b w:val="1"/>
                <w:bCs w:val="1"/>
                <w:color w:val="auto"/>
              </w:rPr>
              <w:t>3Q21</w:t>
            </w:r>
          </w:p>
        </w:tc>
        <w:tc>
          <w:tcPr>
            <w:tcW w:w="20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rPr>
              <w:t>QoQ</w:t>
            </w:r>
          </w:p>
        </w:tc>
        <w:tc>
          <w:tcPr>
            <w:tcW w:w="24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90"/>
              <w:spacing w:after="0" w:line="151" w:lineRule="exact"/>
              <w:rPr>
                <w:sz w:val="20"/>
                <w:szCs w:val="20"/>
                <w:color w:val="auto"/>
              </w:rPr>
            </w:pPr>
            <w:r>
              <w:rPr>
                <w:rFonts w:ascii="Arial" w:cs="Arial" w:eastAsia="Arial" w:hAnsi="Arial"/>
                <w:sz w:val="14"/>
                <w:szCs w:val="14"/>
                <w:b w:val="1"/>
                <w:bCs w:val="1"/>
                <w:color w:val="auto"/>
                <w:w w:val="87"/>
              </w:rPr>
              <w:t>YoY</w:t>
            </w:r>
          </w:p>
        </w:tc>
        <w:tc>
          <w:tcPr>
            <w:tcW w:w="26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30"/>
              <w:spacing w:after="0" w:line="151" w:lineRule="exact"/>
              <w:rPr>
                <w:sz w:val="20"/>
                <w:szCs w:val="20"/>
                <w:color w:val="auto"/>
              </w:rPr>
            </w:pPr>
            <w:r>
              <w:rPr>
                <w:rFonts w:ascii="Arial" w:cs="Arial" w:eastAsia="Arial" w:hAnsi="Arial"/>
                <w:sz w:val="14"/>
                <w:szCs w:val="14"/>
                <w:b w:val="1"/>
                <w:bCs w:val="1"/>
                <w:color w:val="auto"/>
              </w:rPr>
              <w:t>9M - 20</w:t>
            </w:r>
          </w:p>
        </w:tc>
        <w:tc>
          <w:tcPr>
            <w:tcW w:w="20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90"/>
              <w:spacing w:after="0" w:line="151" w:lineRule="exact"/>
              <w:rPr>
                <w:sz w:val="20"/>
                <w:szCs w:val="20"/>
                <w:color w:val="auto"/>
              </w:rPr>
            </w:pPr>
            <w:r>
              <w:rPr>
                <w:rFonts w:ascii="Arial" w:cs="Arial" w:eastAsia="Arial" w:hAnsi="Arial"/>
                <w:sz w:val="14"/>
                <w:szCs w:val="14"/>
                <w:b w:val="1"/>
                <w:bCs w:val="1"/>
                <w:color w:val="auto"/>
              </w:rPr>
              <w:t>9M - 21</w:t>
            </w:r>
          </w:p>
        </w:tc>
        <w:tc>
          <w:tcPr>
            <w:tcW w:w="220" w:type="dxa"/>
            <w:vAlign w:val="bottom"/>
            <w:tcBorders>
              <w:bottom w:val="single" w:sz="8" w:color="CCEEFF"/>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3"/>
              </w:rPr>
              <w:t>9M - 21 / 9M - 20</w:t>
            </w:r>
          </w:p>
        </w:tc>
        <w:tc>
          <w:tcPr>
            <w:tcW w:w="120" w:type="dxa"/>
            <w:vAlign w:val="bottom"/>
            <w:tcBorders>
              <w:bottom w:val="single" w:sz="8" w:color="CCEEFF"/>
            </w:tcBorders>
          </w:tcPr>
          <w:p>
            <w:pPr>
              <w:spacing w:after="0"/>
              <w:rPr>
                <w:sz w:val="13"/>
                <w:szCs w:val="13"/>
                <w:color w:val="auto"/>
              </w:rPr>
            </w:pPr>
          </w:p>
        </w:tc>
      </w:tr>
      <w:tr>
        <w:trPr>
          <w:trHeight w:val="138"/>
        </w:trPr>
        <w:tc>
          <w:tcPr>
            <w:tcW w:w="3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IT, Repair and maintenance</w:t>
            </w: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107,236</w:t>
            </w: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125,427</w:t>
            </w: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154,788</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50"/>
              <w:spacing w:after="0" w:line="138" w:lineRule="exact"/>
              <w:rPr>
                <w:sz w:val="20"/>
                <w:szCs w:val="20"/>
                <w:color w:val="auto"/>
              </w:rPr>
            </w:pPr>
            <w:r>
              <w:rPr>
                <w:rFonts w:ascii="Arial" w:cs="Arial" w:eastAsia="Arial" w:hAnsi="Arial"/>
                <w:sz w:val="14"/>
                <w:szCs w:val="14"/>
                <w:color w:val="auto"/>
              </w:rPr>
              <w:t>23.4%</w:t>
            </w:r>
          </w:p>
        </w:tc>
        <w:tc>
          <w:tcPr>
            <w:tcW w:w="2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70"/>
              <w:spacing w:after="0" w:line="138" w:lineRule="exact"/>
              <w:rPr>
                <w:sz w:val="20"/>
                <w:szCs w:val="20"/>
                <w:color w:val="auto"/>
              </w:rPr>
            </w:pPr>
            <w:r>
              <w:rPr>
                <w:rFonts w:ascii="Arial" w:cs="Arial" w:eastAsia="Arial" w:hAnsi="Arial"/>
                <w:sz w:val="14"/>
                <w:szCs w:val="14"/>
                <w:color w:val="auto"/>
              </w:rPr>
              <w:t>44.3%</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289,039</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386,840</w:t>
            </w:r>
          </w:p>
        </w:tc>
        <w:tc>
          <w:tcPr>
            <w:tcW w:w="2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33.8%</w:t>
            </w:r>
          </w:p>
        </w:tc>
      </w:tr>
      <w:tr>
        <w:trPr>
          <w:trHeight w:val="144"/>
        </w:trPr>
        <w:tc>
          <w:tcPr>
            <w:tcW w:w="3440" w:type="dxa"/>
            <w:vAlign w:val="bottom"/>
            <w:gridSpan w:val="2"/>
          </w:tcPr>
          <w:p>
            <w:pPr>
              <w:spacing w:after="0" w:line="145" w:lineRule="exact"/>
              <w:rPr>
                <w:sz w:val="20"/>
                <w:szCs w:val="20"/>
                <w:color w:val="auto"/>
              </w:rPr>
            </w:pPr>
            <w:r>
              <w:rPr>
                <w:rFonts w:ascii="Arial" w:cs="Arial" w:eastAsia="Arial" w:hAnsi="Arial"/>
                <w:sz w:val="14"/>
                <w:szCs w:val="14"/>
                <w:color w:val="auto"/>
              </w:rPr>
              <w:t>Marketing</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90,912</w:t>
            </w:r>
          </w:p>
        </w:tc>
        <w:tc>
          <w:tcPr>
            <w:tcW w:w="88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104,862</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123,370</w:t>
            </w:r>
          </w:p>
        </w:tc>
        <w:tc>
          <w:tcPr>
            <w:tcW w:w="900" w:type="dxa"/>
            <w:vAlign w:val="bottom"/>
            <w:gridSpan w:val="2"/>
          </w:tcPr>
          <w:p>
            <w:pPr>
              <w:jc w:val="right"/>
              <w:ind w:right="50"/>
              <w:spacing w:after="0" w:line="145" w:lineRule="exact"/>
              <w:rPr>
                <w:sz w:val="20"/>
                <w:szCs w:val="20"/>
                <w:color w:val="auto"/>
              </w:rPr>
            </w:pPr>
            <w:r>
              <w:rPr>
                <w:rFonts w:ascii="Arial" w:cs="Arial" w:eastAsia="Arial" w:hAnsi="Arial"/>
                <w:sz w:val="14"/>
                <w:szCs w:val="14"/>
                <w:color w:val="auto"/>
              </w:rPr>
              <w:t>17.6%</w:t>
            </w:r>
          </w:p>
        </w:tc>
        <w:tc>
          <w:tcPr>
            <w:tcW w:w="260" w:type="dxa"/>
            <w:vAlign w:val="bottom"/>
          </w:tcPr>
          <w:p>
            <w:pPr>
              <w:spacing w:after="0"/>
              <w:rPr>
                <w:sz w:val="12"/>
                <w:szCs w:val="12"/>
                <w:color w:val="auto"/>
              </w:rPr>
            </w:pPr>
          </w:p>
        </w:tc>
        <w:tc>
          <w:tcPr>
            <w:tcW w:w="780" w:type="dxa"/>
            <w:vAlign w:val="bottom"/>
            <w:gridSpan w:val="2"/>
          </w:tcPr>
          <w:p>
            <w:pPr>
              <w:jc w:val="right"/>
              <w:ind w:right="70"/>
              <w:spacing w:after="0" w:line="145" w:lineRule="exact"/>
              <w:rPr>
                <w:sz w:val="20"/>
                <w:szCs w:val="20"/>
                <w:color w:val="auto"/>
              </w:rPr>
            </w:pPr>
            <w:r>
              <w:rPr>
                <w:rFonts w:ascii="Arial" w:cs="Arial" w:eastAsia="Arial" w:hAnsi="Arial"/>
                <w:sz w:val="14"/>
                <w:szCs w:val="14"/>
                <w:color w:val="auto"/>
              </w:rPr>
              <w:t>35.7%</w:t>
            </w: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219,673</w:t>
            </w:r>
          </w:p>
        </w:tc>
        <w:tc>
          <w:tcPr>
            <w:tcW w:w="1200" w:type="dxa"/>
            <w:vAlign w:val="bottom"/>
            <w:gridSpan w:val="3"/>
          </w:tcPr>
          <w:p>
            <w:pPr>
              <w:jc w:val="right"/>
              <w:ind w:right="220"/>
              <w:spacing w:after="0" w:line="145" w:lineRule="exact"/>
              <w:rPr>
                <w:sz w:val="20"/>
                <w:szCs w:val="20"/>
                <w:color w:val="auto"/>
              </w:rPr>
            </w:pPr>
            <w:r>
              <w:rPr>
                <w:rFonts w:ascii="Arial" w:cs="Arial" w:eastAsia="Arial" w:hAnsi="Arial"/>
                <w:sz w:val="14"/>
                <w:szCs w:val="14"/>
                <w:color w:val="auto"/>
              </w:rPr>
              <w:t>300,502</w:t>
            </w:r>
          </w:p>
        </w:tc>
        <w:tc>
          <w:tcPr>
            <w:tcW w:w="1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36.8%</w:t>
            </w:r>
          </w:p>
        </w:tc>
      </w:tr>
      <w:tr>
        <w:trPr>
          <w:trHeight w:val="144"/>
        </w:trPr>
        <w:tc>
          <w:tcPr>
            <w:tcW w:w="34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Taxes and contributions</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59,866</w:t>
            </w:r>
          </w:p>
        </w:tc>
        <w:tc>
          <w:tcPr>
            <w:tcW w:w="8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77,406</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80,626</w:t>
            </w:r>
          </w:p>
        </w:tc>
        <w:tc>
          <w:tcPr>
            <w:tcW w:w="900" w:type="dxa"/>
            <w:vAlign w:val="bottom"/>
            <w:gridSpan w:val="2"/>
            <w:shd w:val="clear" w:color="auto" w:fill="CCEEFF"/>
          </w:tcPr>
          <w:p>
            <w:pPr>
              <w:jc w:val="right"/>
              <w:ind w:right="50"/>
              <w:spacing w:after="0" w:line="145" w:lineRule="exact"/>
              <w:rPr>
                <w:sz w:val="20"/>
                <w:szCs w:val="20"/>
                <w:color w:val="auto"/>
              </w:rPr>
            </w:pPr>
            <w:r>
              <w:rPr>
                <w:rFonts w:ascii="Arial" w:cs="Arial" w:eastAsia="Arial" w:hAnsi="Arial"/>
                <w:sz w:val="14"/>
                <w:szCs w:val="14"/>
                <w:color w:val="auto"/>
              </w:rPr>
              <w:t>4.2%</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34.7%</w:t>
            </w: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191,227</w:t>
            </w:r>
          </w:p>
        </w:tc>
        <w:tc>
          <w:tcPr>
            <w:tcW w:w="1200" w:type="dxa"/>
            <w:vAlign w:val="bottom"/>
            <w:gridSpan w:val="3"/>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226,840</w:t>
            </w:r>
          </w:p>
        </w:tc>
        <w:tc>
          <w:tcPr>
            <w:tcW w:w="11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18.6%</w:t>
            </w:r>
          </w:p>
        </w:tc>
      </w:tr>
      <w:tr>
        <w:trPr>
          <w:trHeight w:val="144"/>
        </w:trPr>
        <w:tc>
          <w:tcPr>
            <w:tcW w:w="3440" w:type="dxa"/>
            <w:vAlign w:val="bottom"/>
            <w:gridSpan w:val="2"/>
          </w:tcPr>
          <w:p>
            <w:pPr>
              <w:spacing w:after="0" w:line="145" w:lineRule="exact"/>
              <w:rPr>
                <w:sz w:val="20"/>
                <w:szCs w:val="20"/>
                <w:color w:val="auto"/>
              </w:rPr>
            </w:pPr>
            <w:r>
              <w:rPr>
                <w:rFonts w:ascii="Arial" w:cs="Arial" w:eastAsia="Arial" w:hAnsi="Arial"/>
                <w:sz w:val="14"/>
                <w:szCs w:val="14"/>
                <w:color w:val="auto"/>
              </w:rPr>
              <w:t>Consulting and professional fees</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45,962</w:t>
            </w:r>
          </w:p>
        </w:tc>
        <w:tc>
          <w:tcPr>
            <w:tcW w:w="88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57,720</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112,917</w:t>
            </w:r>
          </w:p>
        </w:tc>
        <w:tc>
          <w:tcPr>
            <w:tcW w:w="900" w:type="dxa"/>
            <w:vAlign w:val="bottom"/>
            <w:gridSpan w:val="2"/>
          </w:tcPr>
          <w:p>
            <w:pPr>
              <w:jc w:val="right"/>
              <w:ind w:right="50"/>
              <w:spacing w:after="0" w:line="145" w:lineRule="exact"/>
              <w:rPr>
                <w:sz w:val="20"/>
                <w:szCs w:val="20"/>
                <w:color w:val="auto"/>
              </w:rPr>
            </w:pPr>
            <w:r>
              <w:rPr>
                <w:rFonts w:ascii="Arial" w:cs="Arial" w:eastAsia="Arial" w:hAnsi="Arial"/>
                <w:sz w:val="14"/>
                <w:szCs w:val="14"/>
                <w:color w:val="auto"/>
              </w:rPr>
              <w:t>95.6%</w:t>
            </w:r>
          </w:p>
        </w:tc>
        <w:tc>
          <w:tcPr>
            <w:tcW w:w="260" w:type="dxa"/>
            <w:vAlign w:val="bottom"/>
          </w:tcPr>
          <w:p>
            <w:pPr>
              <w:spacing w:after="0"/>
              <w:rPr>
                <w:sz w:val="12"/>
                <w:szCs w:val="12"/>
                <w:color w:val="auto"/>
              </w:rPr>
            </w:pPr>
          </w:p>
        </w:tc>
        <w:tc>
          <w:tcPr>
            <w:tcW w:w="780" w:type="dxa"/>
            <w:vAlign w:val="bottom"/>
            <w:gridSpan w:val="2"/>
          </w:tcPr>
          <w:p>
            <w:pPr>
              <w:jc w:val="right"/>
              <w:ind w:right="70"/>
              <w:spacing w:after="0" w:line="145" w:lineRule="exact"/>
              <w:rPr>
                <w:sz w:val="20"/>
                <w:szCs w:val="20"/>
                <w:color w:val="auto"/>
              </w:rPr>
            </w:pPr>
            <w:r>
              <w:rPr>
                <w:rFonts w:ascii="Arial" w:cs="Arial" w:eastAsia="Arial" w:hAnsi="Arial"/>
                <w:sz w:val="14"/>
                <w:szCs w:val="14"/>
                <w:color w:val="auto"/>
              </w:rPr>
              <w:t>145.7%</w:t>
            </w: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131,859</w:t>
            </w:r>
          </w:p>
        </w:tc>
        <w:tc>
          <w:tcPr>
            <w:tcW w:w="1200" w:type="dxa"/>
            <w:vAlign w:val="bottom"/>
            <w:gridSpan w:val="3"/>
          </w:tcPr>
          <w:p>
            <w:pPr>
              <w:jc w:val="right"/>
              <w:ind w:right="220"/>
              <w:spacing w:after="0" w:line="145" w:lineRule="exact"/>
              <w:rPr>
                <w:sz w:val="20"/>
                <w:szCs w:val="20"/>
                <w:color w:val="auto"/>
              </w:rPr>
            </w:pPr>
            <w:r>
              <w:rPr>
                <w:rFonts w:ascii="Arial" w:cs="Arial" w:eastAsia="Arial" w:hAnsi="Arial"/>
                <w:sz w:val="14"/>
                <w:szCs w:val="14"/>
                <w:color w:val="auto"/>
              </w:rPr>
              <w:t>211,495</w:t>
            </w:r>
          </w:p>
        </w:tc>
        <w:tc>
          <w:tcPr>
            <w:tcW w:w="1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60.4%</w:t>
            </w:r>
          </w:p>
        </w:tc>
      </w:tr>
      <w:tr>
        <w:trPr>
          <w:trHeight w:val="144"/>
        </w:trPr>
        <w:tc>
          <w:tcPr>
            <w:tcW w:w="34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Transport and communications</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44,794</w:t>
            </w:r>
          </w:p>
        </w:tc>
        <w:tc>
          <w:tcPr>
            <w:tcW w:w="8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53,394</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59,008</w:t>
            </w:r>
          </w:p>
        </w:tc>
        <w:tc>
          <w:tcPr>
            <w:tcW w:w="900" w:type="dxa"/>
            <w:vAlign w:val="bottom"/>
            <w:gridSpan w:val="2"/>
            <w:shd w:val="clear" w:color="auto" w:fill="CCEEFF"/>
          </w:tcPr>
          <w:p>
            <w:pPr>
              <w:jc w:val="right"/>
              <w:ind w:right="50"/>
              <w:spacing w:after="0" w:line="145" w:lineRule="exact"/>
              <w:rPr>
                <w:sz w:val="20"/>
                <w:szCs w:val="20"/>
                <w:color w:val="auto"/>
              </w:rPr>
            </w:pPr>
            <w:r>
              <w:rPr>
                <w:rFonts w:ascii="Arial" w:cs="Arial" w:eastAsia="Arial" w:hAnsi="Arial"/>
                <w:sz w:val="14"/>
                <w:szCs w:val="14"/>
                <w:color w:val="auto"/>
              </w:rPr>
              <w:t>10.5%</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31.7%</w:t>
            </w: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113,003</w:t>
            </w:r>
          </w:p>
        </w:tc>
        <w:tc>
          <w:tcPr>
            <w:tcW w:w="1200" w:type="dxa"/>
            <w:vAlign w:val="bottom"/>
            <w:gridSpan w:val="3"/>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155,100</w:t>
            </w:r>
          </w:p>
        </w:tc>
        <w:tc>
          <w:tcPr>
            <w:tcW w:w="11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37.3%</w:t>
            </w:r>
          </w:p>
        </w:tc>
      </w:tr>
      <w:tr>
        <w:trPr>
          <w:trHeight w:val="144"/>
        </w:trPr>
        <w:tc>
          <w:tcPr>
            <w:tcW w:w="3440" w:type="dxa"/>
            <w:vAlign w:val="bottom"/>
            <w:gridSpan w:val="2"/>
          </w:tcPr>
          <w:p>
            <w:pPr>
              <w:spacing w:after="0" w:line="145" w:lineRule="exact"/>
              <w:rPr>
                <w:sz w:val="20"/>
                <w:szCs w:val="20"/>
                <w:color w:val="auto"/>
              </w:rPr>
            </w:pPr>
            <w:r>
              <w:rPr>
                <w:rFonts w:ascii="Arial" w:cs="Arial" w:eastAsia="Arial" w:hAnsi="Arial"/>
                <w:sz w:val="14"/>
                <w:szCs w:val="14"/>
                <w:color w:val="auto"/>
              </w:rPr>
              <w:t>IT third-party services</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40,148</w:t>
            </w:r>
          </w:p>
        </w:tc>
        <w:tc>
          <w:tcPr>
            <w:tcW w:w="88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42,826</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49,786</w:t>
            </w:r>
          </w:p>
        </w:tc>
        <w:tc>
          <w:tcPr>
            <w:tcW w:w="900" w:type="dxa"/>
            <w:vAlign w:val="bottom"/>
            <w:gridSpan w:val="2"/>
          </w:tcPr>
          <w:p>
            <w:pPr>
              <w:jc w:val="right"/>
              <w:ind w:right="50"/>
              <w:spacing w:after="0" w:line="145" w:lineRule="exact"/>
              <w:rPr>
                <w:sz w:val="20"/>
                <w:szCs w:val="20"/>
                <w:color w:val="auto"/>
              </w:rPr>
            </w:pPr>
            <w:r>
              <w:rPr>
                <w:rFonts w:ascii="Arial" w:cs="Arial" w:eastAsia="Arial" w:hAnsi="Arial"/>
                <w:sz w:val="14"/>
                <w:szCs w:val="14"/>
                <w:color w:val="auto"/>
              </w:rPr>
              <w:t>16.3%</w:t>
            </w:r>
          </w:p>
        </w:tc>
        <w:tc>
          <w:tcPr>
            <w:tcW w:w="260" w:type="dxa"/>
            <w:vAlign w:val="bottom"/>
          </w:tcPr>
          <w:p>
            <w:pPr>
              <w:spacing w:after="0"/>
              <w:rPr>
                <w:sz w:val="12"/>
                <w:szCs w:val="12"/>
                <w:color w:val="auto"/>
              </w:rPr>
            </w:pPr>
          </w:p>
        </w:tc>
        <w:tc>
          <w:tcPr>
            <w:tcW w:w="780" w:type="dxa"/>
            <w:vAlign w:val="bottom"/>
            <w:gridSpan w:val="2"/>
          </w:tcPr>
          <w:p>
            <w:pPr>
              <w:jc w:val="right"/>
              <w:ind w:right="70"/>
              <w:spacing w:after="0" w:line="145" w:lineRule="exact"/>
              <w:rPr>
                <w:sz w:val="20"/>
                <w:szCs w:val="20"/>
                <w:color w:val="auto"/>
              </w:rPr>
            </w:pPr>
            <w:r>
              <w:rPr>
                <w:rFonts w:ascii="Arial" w:cs="Arial" w:eastAsia="Arial" w:hAnsi="Arial"/>
                <w:sz w:val="14"/>
                <w:szCs w:val="14"/>
                <w:color w:val="auto"/>
              </w:rPr>
              <w:t>24.0%</w:t>
            </w: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103,463</w:t>
            </w:r>
          </w:p>
        </w:tc>
        <w:tc>
          <w:tcPr>
            <w:tcW w:w="1200" w:type="dxa"/>
            <w:vAlign w:val="bottom"/>
            <w:gridSpan w:val="3"/>
          </w:tcPr>
          <w:p>
            <w:pPr>
              <w:jc w:val="right"/>
              <w:ind w:right="220"/>
              <w:spacing w:after="0" w:line="145" w:lineRule="exact"/>
              <w:rPr>
                <w:sz w:val="20"/>
                <w:szCs w:val="20"/>
                <w:color w:val="auto"/>
              </w:rPr>
            </w:pPr>
            <w:r>
              <w:rPr>
                <w:rFonts w:ascii="Arial" w:cs="Arial" w:eastAsia="Arial" w:hAnsi="Arial"/>
                <w:sz w:val="14"/>
                <w:szCs w:val="14"/>
                <w:color w:val="auto"/>
              </w:rPr>
              <w:t>133,057</w:t>
            </w:r>
          </w:p>
        </w:tc>
        <w:tc>
          <w:tcPr>
            <w:tcW w:w="1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28.6%</w:t>
            </w:r>
          </w:p>
        </w:tc>
      </w:tr>
      <w:tr>
        <w:trPr>
          <w:trHeight w:val="144"/>
        </w:trPr>
        <w:tc>
          <w:tcPr>
            <w:tcW w:w="34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Comissions by agents</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22,270</w:t>
            </w:r>
          </w:p>
        </w:tc>
        <w:tc>
          <w:tcPr>
            <w:tcW w:w="8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25,218</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26,486</w:t>
            </w:r>
          </w:p>
        </w:tc>
        <w:tc>
          <w:tcPr>
            <w:tcW w:w="900" w:type="dxa"/>
            <w:vAlign w:val="bottom"/>
            <w:gridSpan w:val="2"/>
            <w:shd w:val="clear" w:color="auto" w:fill="CCEEFF"/>
          </w:tcPr>
          <w:p>
            <w:pPr>
              <w:jc w:val="right"/>
              <w:ind w:right="50"/>
              <w:spacing w:after="0" w:line="145" w:lineRule="exact"/>
              <w:rPr>
                <w:sz w:val="20"/>
                <w:szCs w:val="20"/>
                <w:color w:val="auto"/>
              </w:rPr>
            </w:pPr>
            <w:r>
              <w:rPr>
                <w:rFonts w:ascii="Arial" w:cs="Arial" w:eastAsia="Arial" w:hAnsi="Arial"/>
                <w:sz w:val="14"/>
                <w:szCs w:val="14"/>
                <w:color w:val="auto"/>
              </w:rPr>
              <w:t>5.0%</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18.9%</w:t>
            </w: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62,775</w:t>
            </w:r>
          </w:p>
        </w:tc>
        <w:tc>
          <w:tcPr>
            <w:tcW w:w="1200" w:type="dxa"/>
            <w:vAlign w:val="bottom"/>
            <w:gridSpan w:val="3"/>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11,120</w:t>
            </w:r>
          </w:p>
        </w:tc>
        <w:tc>
          <w:tcPr>
            <w:tcW w:w="11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-82.3%</w:t>
            </w:r>
          </w:p>
        </w:tc>
      </w:tr>
      <w:tr>
        <w:trPr>
          <w:trHeight w:val="144"/>
        </w:trPr>
        <w:tc>
          <w:tcPr>
            <w:tcW w:w="3440" w:type="dxa"/>
            <w:vAlign w:val="bottom"/>
            <w:gridSpan w:val="2"/>
          </w:tcPr>
          <w:p>
            <w:pPr>
              <w:spacing w:after="0" w:line="145" w:lineRule="exact"/>
              <w:rPr>
                <w:sz w:val="20"/>
                <w:szCs w:val="20"/>
                <w:color w:val="auto"/>
              </w:rPr>
            </w:pPr>
            <w:r>
              <w:rPr>
                <w:rFonts w:ascii="Arial" w:cs="Arial" w:eastAsia="Arial" w:hAnsi="Arial"/>
                <w:sz w:val="14"/>
                <w:szCs w:val="14"/>
                <w:color w:val="auto"/>
              </w:rPr>
              <w:t>Security and protection</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16,101</w:t>
            </w:r>
          </w:p>
        </w:tc>
        <w:tc>
          <w:tcPr>
            <w:tcW w:w="88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15,691</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15,469</w:t>
            </w:r>
          </w:p>
        </w:tc>
        <w:tc>
          <w:tcPr>
            <w:tcW w:w="900" w:type="dxa"/>
            <w:vAlign w:val="bottom"/>
            <w:gridSpan w:val="2"/>
          </w:tcPr>
          <w:p>
            <w:pPr>
              <w:jc w:val="right"/>
              <w:ind w:right="50"/>
              <w:spacing w:after="0" w:line="145" w:lineRule="exact"/>
              <w:rPr>
                <w:sz w:val="20"/>
                <w:szCs w:val="20"/>
                <w:color w:val="auto"/>
              </w:rPr>
            </w:pPr>
            <w:r>
              <w:rPr>
                <w:rFonts w:ascii="Arial" w:cs="Arial" w:eastAsia="Arial" w:hAnsi="Arial"/>
                <w:sz w:val="14"/>
                <w:szCs w:val="14"/>
                <w:color w:val="auto"/>
              </w:rPr>
              <w:t>-1.4%</w:t>
            </w:r>
          </w:p>
        </w:tc>
        <w:tc>
          <w:tcPr>
            <w:tcW w:w="260" w:type="dxa"/>
            <w:vAlign w:val="bottom"/>
          </w:tcPr>
          <w:p>
            <w:pPr>
              <w:spacing w:after="0"/>
              <w:rPr>
                <w:sz w:val="12"/>
                <w:szCs w:val="12"/>
                <w:color w:val="auto"/>
              </w:rPr>
            </w:pPr>
          </w:p>
        </w:tc>
        <w:tc>
          <w:tcPr>
            <w:tcW w:w="780" w:type="dxa"/>
            <w:vAlign w:val="bottom"/>
            <w:gridSpan w:val="2"/>
          </w:tcPr>
          <w:p>
            <w:pPr>
              <w:jc w:val="right"/>
              <w:ind w:right="70"/>
              <w:spacing w:after="0" w:line="145" w:lineRule="exact"/>
              <w:rPr>
                <w:sz w:val="20"/>
                <w:szCs w:val="20"/>
                <w:color w:val="auto"/>
              </w:rPr>
            </w:pPr>
            <w:r>
              <w:rPr>
                <w:rFonts w:ascii="Arial" w:cs="Arial" w:eastAsia="Arial" w:hAnsi="Arial"/>
                <w:sz w:val="14"/>
                <w:szCs w:val="14"/>
                <w:color w:val="auto"/>
              </w:rPr>
              <w:t>-3.9%</w:t>
            </w: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47,903</w:t>
            </w:r>
          </w:p>
        </w:tc>
        <w:tc>
          <w:tcPr>
            <w:tcW w:w="1200" w:type="dxa"/>
            <w:vAlign w:val="bottom"/>
            <w:gridSpan w:val="3"/>
          </w:tcPr>
          <w:p>
            <w:pPr>
              <w:jc w:val="right"/>
              <w:ind w:right="220"/>
              <w:spacing w:after="0" w:line="145" w:lineRule="exact"/>
              <w:rPr>
                <w:sz w:val="20"/>
                <w:szCs w:val="20"/>
                <w:color w:val="auto"/>
              </w:rPr>
            </w:pPr>
            <w:r>
              <w:rPr>
                <w:rFonts w:ascii="Arial" w:cs="Arial" w:eastAsia="Arial" w:hAnsi="Arial"/>
                <w:sz w:val="14"/>
                <w:szCs w:val="14"/>
                <w:color w:val="auto"/>
              </w:rPr>
              <w:t>47,119</w:t>
            </w:r>
          </w:p>
        </w:tc>
        <w:tc>
          <w:tcPr>
            <w:tcW w:w="1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-1.6%</w:t>
            </w:r>
          </w:p>
        </w:tc>
      </w:tr>
      <w:tr>
        <w:trPr>
          <w:trHeight w:val="144"/>
        </w:trPr>
        <w:tc>
          <w:tcPr>
            <w:tcW w:w="34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Sundry supplies</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12,679</w:t>
            </w:r>
          </w:p>
        </w:tc>
        <w:tc>
          <w:tcPr>
            <w:tcW w:w="8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14,171</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13,067</w:t>
            </w:r>
          </w:p>
        </w:tc>
        <w:tc>
          <w:tcPr>
            <w:tcW w:w="900" w:type="dxa"/>
            <w:vAlign w:val="bottom"/>
            <w:gridSpan w:val="2"/>
            <w:shd w:val="clear" w:color="auto" w:fill="CCEEFF"/>
          </w:tcPr>
          <w:p>
            <w:pPr>
              <w:jc w:val="right"/>
              <w:ind w:right="50"/>
              <w:spacing w:after="0" w:line="145" w:lineRule="exact"/>
              <w:rPr>
                <w:sz w:val="20"/>
                <w:szCs w:val="20"/>
                <w:color w:val="auto"/>
              </w:rPr>
            </w:pPr>
            <w:r>
              <w:rPr>
                <w:rFonts w:ascii="Arial" w:cs="Arial" w:eastAsia="Arial" w:hAnsi="Arial"/>
                <w:sz w:val="14"/>
                <w:szCs w:val="14"/>
                <w:color w:val="auto"/>
              </w:rPr>
              <w:t>-7.8%</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3.1%</w:t>
            </w: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46,226</w:t>
            </w:r>
          </w:p>
        </w:tc>
        <w:tc>
          <w:tcPr>
            <w:tcW w:w="1200" w:type="dxa"/>
            <w:vAlign w:val="bottom"/>
            <w:gridSpan w:val="3"/>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42,058</w:t>
            </w:r>
          </w:p>
        </w:tc>
        <w:tc>
          <w:tcPr>
            <w:tcW w:w="11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-9.0%</w:t>
            </w:r>
          </w:p>
        </w:tc>
      </w:tr>
      <w:tr>
        <w:trPr>
          <w:trHeight w:val="144"/>
        </w:trPr>
        <w:tc>
          <w:tcPr>
            <w:tcW w:w="3440" w:type="dxa"/>
            <w:vAlign w:val="bottom"/>
            <w:gridSpan w:val="2"/>
          </w:tcPr>
          <w:p>
            <w:pPr>
              <w:spacing w:after="0" w:line="145" w:lineRule="exact"/>
              <w:rPr>
                <w:sz w:val="20"/>
                <w:szCs w:val="20"/>
                <w:color w:val="auto"/>
              </w:rPr>
            </w:pPr>
            <w:r>
              <w:rPr>
                <w:rFonts w:ascii="Arial" w:cs="Arial" w:eastAsia="Arial" w:hAnsi="Arial"/>
                <w:sz w:val="14"/>
                <w:szCs w:val="14"/>
                <w:color w:val="auto"/>
              </w:rPr>
              <w:t>Leases of low value and short-term</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14,157</w:t>
            </w:r>
          </w:p>
        </w:tc>
        <w:tc>
          <w:tcPr>
            <w:tcW w:w="88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20,145</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23,517</w:t>
            </w:r>
          </w:p>
        </w:tc>
        <w:tc>
          <w:tcPr>
            <w:tcW w:w="900" w:type="dxa"/>
            <w:vAlign w:val="bottom"/>
            <w:gridSpan w:val="2"/>
          </w:tcPr>
          <w:p>
            <w:pPr>
              <w:jc w:val="right"/>
              <w:ind w:right="50"/>
              <w:spacing w:after="0" w:line="145" w:lineRule="exact"/>
              <w:rPr>
                <w:sz w:val="20"/>
                <w:szCs w:val="20"/>
                <w:color w:val="auto"/>
              </w:rPr>
            </w:pPr>
            <w:r>
              <w:rPr>
                <w:rFonts w:ascii="Arial" w:cs="Arial" w:eastAsia="Arial" w:hAnsi="Arial"/>
                <w:sz w:val="14"/>
                <w:szCs w:val="14"/>
                <w:color w:val="auto"/>
              </w:rPr>
              <w:t>16.7%</w:t>
            </w:r>
          </w:p>
        </w:tc>
        <w:tc>
          <w:tcPr>
            <w:tcW w:w="260" w:type="dxa"/>
            <w:vAlign w:val="bottom"/>
          </w:tcPr>
          <w:p>
            <w:pPr>
              <w:spacing w:after="0"/>
              <w:rPr>
                <w:sz w:val="12"/>
                <w:szCs w:val="12"/>
                <w:color w:val="auto"/>
              </w:rPr>
            </w:pPr>
          </w:p>
        </w:tc>
        <w:tc>
          <w:tcPr>
            <w:tcW w:w="780" w:type="dxa"/>
            <w:vAlign w:val="bottom"/>
            <w:gridSpan w:val="2"/>
          </w:tcPr>
          <w:p>
            <w:pPr>
              <w:jc w:val="right"/>
              <w:ind w:right="70"/>
              <w:spacing w:after="0" w:line="145" w:lineRule="exact"/>
              <w:rPr>
                <w:sz w:val="20"/>
                <w:szCs w:val="20"/>
                <w:color w:val="auto"/>
              </w:rPr>
            </w:pPr>
            <w:r>
              <w:rPr>
                <w:rFonts w:ascii="Arial" w:cs="Arial" w:eastAsia="Arial" w:hAnsi="Arial"/>
                <w:sz w:val="14"/>
                <w:szCs w:val="14"/>
                <w:color w:val="auto"/>
              </w:rPr>
              <w:t>66.1%</w:t>
            </w: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50,551</w:t>
            </w:r>
          </w:p>
        </w:tc>
        <w:tc>
          <w:tcPr>
            <w:tcW w:w="1200" w:type="dxa"/>
            <w:vAlign w:val="bottom"/>
            <w:gridSpan w:val="3"/>
          </w:tcPr>
          <w:p>
            <w:pPr>
              <w:jc w:val="right"/>
              <w:ind w:right="220"/>
              <w:spacing w:after="0" w:line="145" w:lineRule="exact"/>
              <w:rPr>
                <w:sz w:val="20"/>
                <w:szCs w:val="20"/>
                <w:color w:val="auto"/>
              </w:rPr>
            </w:pPr>
            <w:r>
              <w:rPr>
                <w:rFonts w:ascii="Arial" w:cs="Arial" w:eastAsia="Arial" w:hAnsi="Arial"/>
                <w:sz w:val="14"/>
                <w:szCs w:val="14"/>
                <w:color w:val="auto"/>
              </w:rPr>
              <w:t>64,564</w:t>
            </w:r>
          </w:p>
        </w:tc>
        <w:tc>
          <w:tcPr>
            <w:tcW w:w="1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27.7%</w:t>
            </w:r>
          </w:p>
        </w:tc>
      </w:tr>
      <w:tr>
        <w:trPr>
          <w:trHeight w:val="144"/>
        </w:trPr>
        <w:tc>
          <w:tcPr>
            <w:tcW w:w="34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Electricity and water</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12,171</w:t>
            </w:r>
          </w:p>
        </w:tc>
        <w:tc>
          <w:tcPr>
            <w:tcW w:w="8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12,709</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11,102</w:t>
            </w:r>
          </w:p>
        </w:tc>
        <w:tc>
          <w:tcPr>
            <w:tcW w:w="900" w:type="dxa"/>
            <w:vAlign w:val="bottom"/>
            <w:gridSpan w:val="2"/>
            <w:shd w:val="clear" w:color="auto" w:fill="CCEEFF"/>
          </w:tcPr>
          <w:p>
            <w:pPr>
              <w:jc w:val="right"/>
              <w:ind w:right="50"/>
              <w:spacing w:after="0" w:line="145" w:lineRule="exact"/>
              <w:rPr>
                <w:sz w:val="20"/>
                <w:szCs w:val="20"/>
                <w:color w:val="auto"/>
              </w:rPr>
            </w:pPr>
            <w:r>
              <w:rPr>
                <w:rFonts w:ascii="Arial" w:cs="Arial" w:eastAsia="Arial" w:hAnsi="Arial"/>
                <w:sz w:val="14"/>
                <w:szCs w:val="14"/>
                <w:color w:val="auto"/>
              </w:rPr>
              <w:t>-12.6%</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-8.8%</w:t>
            </w: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37,117</w:t>
            </w:r>
          </w:p>
        </w:tc>
        <w:tc>
          <w:tcPr>
            <w:tcW w:w="1200" w:type="dxa"/>
            <w:vAlign w:val="bottom"/>
            <w:gridSpan w:val="3"/>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34,502</w:t>
            </w:r>
          </w:p>
        </w:tc>
        <w:tc>
          <w:tcPr>
            <w:tcW w:w="11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-7.0%</w:t>
            </w:r>
          </w:p>
        </w:tc>
      </w:tr>
      <w:tr>
        <w:trPr>
          <w:trHeight w:val="144"/>
        </w:trPr>
        <w:tc>
          <w:tcPr>
            <w:tcW w:w="3440" w:type="dxa"/>
            <w:vAlign w:val="bottom"/>
            <w:gridSpan w:val="2"/>
          </w:tcPr>
          <w:p>
            <w:pPr>
              <w:spacing w:after="0" w:line="145" w:lineRule="exact"/>
              <w:rPr>
                <w:sz w:val="20"/>
                <w:szCs w:val="20"/>
                <w:color w:val="auto"/>
              </w:rPr>
            </w:pPr>
            <w:r>
              <w:rPr>
                <w:rFonts w:ascii="Arial" w:cs="Arial" w:eastAsia="Arial" w:hAnsi="Arial"/>
                <w:sz w:val="14"/>
                <w:szCs w:val="14"/>
                <w:color w:val="auto"/>
              </w:rPr>
              <w:t>Subscriptions and quotes</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12,263</w:t>
            </w:r>
          </w:p>
        </w:tc>
        <w:tc>
          <w:tcPr>
            <w:tcW w:w="88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13,462</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13,312</w:t>
            </w:r>
          </w:p>
        </w:tc>
        <w:tc>
          <w:tcPr>
            <w:tcW w:w="900" w:type="dxa"/>
            <w:vAlign w:val="bottom"/>
            <w:gridSpan w:val="2"/>
          </w:tcPr>
          <w:p>
            <w:pPr>
              <w:jc w:val="right"/>
              <w:ind w:right="50"/>
              <w:spacing w:after="0" w:line="145" w:lineRule="exact"/>
              <w:rPr>
                <w:sz w:val="20"/>
                <w:szCs w:val="20"/>
                <w:color w:val="auto"/>
              </w:rPr>
            </w:pPr>
            <w:r>
              <w:rPr>
                <w:rFonts w:ascii="Arial" w:cs="Arial" w:eastAsia="Arial" w:hAnsi="Arial"/>
                <w:sz w:val="14"/>
                <w:szCs w:val="14"/>
                <w:color w:val="auto"/>
              </w:rPr>
              <w:t>-1.1%</w:t>
            </w:r>
          </w:p>
        </w:tc>
        <w:tc>
          <w:tcPr>
            <w:tcW w:w="260" w:type="dxa"/>
            <w:vAlign w:val="bottom"/>
          </w:tcPr>
          <w:p>
            <w:pPr>
              <w:spacing w:after="0"/>
              <w:rPr>
                <w:sz w:val="12"/>
                <w:szCs w:val="12"/>
                <w:color w:val="auto"/>
              </w:rPr>
            </w:pPr>
          </w:p>
        </w:tc>
        <w:tc>
          <w:tcPr>
            <w:tcW w:w="780" w:type="dxa"/>
            <w:vAlign w:val="bottom"/>
            <w:gridSpan w:val="2"/>
          </w:tcPr>
          <w:p>
            <w:pPr>
              <w:jc w:val="right"/>
              <w:ind w:right="70"/>
              <w:spacing w:after="0" w:line="145" w:lineRule="exact"/>
              <w:rPr>
                <w:sz w:val="20"/>
                <w:szCs w:val="20"/>
                <w:color w:val="auto"/>
              </w:rPr>
            </w:pPr>
            <w:r>
              <w:rPr>
                <w:rFonts w:ascii="Arial" w:cs="Arial" w:eastAsia="Arial" w:hAnsi="Arial"/>
                <w:sz w:val="14"/>
                <w:szCs w:val="14"/>
                <w:color w:val="auto"/>
              </w:rPr>
              <w:t>8.6%</w:t>
            </w: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35,234</w:t>
            </w:r>
          </w:p>
        </w:tc>
        <w:tc>
          <w:tcPr>
            <w:tcW w:w="1200" w:type="dxa"/>
            <w:vAlign w:val="bottom"/>
            <w:gridSpan w:val="3"/>
          </w:tcPr>
          <w:p>
            <w:pPr>
              <w:jc w:val="right"/>
              <w:ind w:right="220"/>
              <w:spacing w:after="0" w:line="145" w:lineRule="exact"/>
              <w:rPr>
                <w:sz w:val="20"/>
                <w:szCs w:val="20"/>
                <w:color w:val="auto"/>
              </w:rPr>
            </w:pPr>
            <w:r>
              <w:rPr>
                <w:rFonts w:ascii="Arial" w:cs="Arial" w:eastAsia="Arial" w:hAnsi="Arial"/>
                <w:sz w:val="14"/>
                <w:szCs w:val="14"/>
                <w:color w:val="auto"/>
              </w:rPr>
              <w:t>39,957</w:t>
            </w:r>
          </w:p>
        </w:tc>
        <w:tc>
          <w:tcPr>
            <w:tcW w:w="1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13.4%</w:t>
            </w:r>
          </w:p>
        </w:tc>
      </w:tr>
      <w:tr>
        <w:trPr>
          <w:trHeight w:val="144"/>
        </w:trPr>
        <w:tc>
          <w:tcPr>
            <w:tcW w:w="34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Insurance</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20,392</w:t>
            </w:r>
          </w:p>
        </w:tc>
        <w:tc>
          <w:tcPr>
            <w:tcW w:w="8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5,320</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36,968</w:t>
            </w:r>
          </w:p>
        </w:tc>
        <w:tc>
          <w:tcPr>
            <w:tcW w:w="900" w:type="dxa"/>
            <w:vAlign w:val="bottom"/>
            <w:gridSpan w:val="2"/>
            <w:shd w:val="clear" w:color="auto" w:fill="CCEEFF"/>
          </w:tcPr>
          <w:p>
            <w:pPr>
              <w:jc w:val="right"/>
              <w:ind w:right="50"/>
              <w:spacing w:after="0" w:line="145" w:lineRule="exact"/>
              <w:rPr>
                <w:sz w:val="20"/>
                <w:szCs w:val="20"/>
                <w:color w:val="auto"/>
              </w:rPr>
            </w:pPr>
            <w:r>
              <w:rPr>
                <w:rFonts w:ascii="Arial" w:cs="Arial" w:eastAsia="Arial" w:hAnsi="Arial"/>
                <w:sz w:val="14"/>
                <w:szCs w:val="14"/>
                <w:color w:val="auto"/>
              </w:rPr>
              <w:t>594.9%</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81.3%</w:t>
            </w: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28,497</w:t>
            </w:r>
          </w:p>
        </w:tc>
        <w:tc>
          <w:tcPr>
            <w:tcW w:w="1200" w:type="dxa"/>
            <w:vAlign w:val="bottom"/>
            <w:gridSpan w:val="3"/>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50,562</w:t>
            </w:r>
          </w:p>
        </w:tc>
        <w:tc>
          <w:tcPr>
            <w:tcW w:w="11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77.4%</w:t>
            </w:r>
          </w:p>
        </w:tc>
      </w:tr>
      <w:tr>
        <w:trPr>
          <w:trHeight w:val="144"/>
        </w:trPr>
        <w:tc>
          <w:tcPr>
            <w:tcW w:w="3440" w:type="dxa"/>
            <w:vAlign w:val="bottom"/>
            <w:gridSpan w:val="2"/>
          </w:tcPr>
          <w:p>
            <w:pPr>
              <w:spacing w:after="0" w:line="145" w:lineRule="exact"/>
              <w:rPr>
                <w:sz w:val="20"/>
                <w:szCs w:val="20"/>
                <w:color w:val="auto"/>
              </w:rPr>
            </w:pPr>
            <w:r>
              <w:rPr>
                <w:rFonts w:ascii="Arial" w:cs="Arial" w:eastAsia="Arial" w:hAnsi="Arial"/>
                <w:sz w:val="14"/>
                <w:szCs w:val="14"/>
                <w:color w:val="auto"/>
              </w:rPr>
              <w:t>Electronic processing</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8,824</w:t>
            </w:r>
          </w:p>
        </w:tc>
        <w:tc>
          <w:tcPr>
            <w:tcW w:w="88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11,123</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10,864</w:t>
            </w:r>
          </w:p>
        </w:tc>
        <w:tc>
          <w:tcPr>
            <w:tcW w:w="900" w:type="dxa"/>
            <w:vAlign w:val="bottom"/>
            <w:gridSpan w:val="2"/>
          </w:tcPr>
          <w:p>
            <w:pPr>
              <w:jc w:val="right"/>
              <w:ind w:right="50"/>
              <w:spacing w:after="0" w:line="145" w:lineRule="exact"/>
              <w:rPr>
                <w:sz w:val="20"/>
                <w:szCs w:val="20"/>
                <w:color w:val="auto"/>
              </w:rPr>
            </w:pPr>
            <w:r>
              <w:rPr>
                <w:rFonts w:ascii="Arial" w:cs="Arial" w:eastAsia="Arial" w:hAnsi="Arial"/>
                <w:sz w:val="14"/>
                <w:szCs w:val="14"/>
                <w:color w:val="auto"/>
              </w:rPr>
              <w:t>-2.3%</w:t>
            </w:r>
          </w:p>
        </w:tc>
        <w:tc>
          <w:tcPr>
            <w:tcW w:w="260" w:type="dxa"/>
            <w:vAlign w:val="bottom"/>
          </w:tcPr>
          <w:p>
            <w:pPr>
              <w:spacing w:after="0"/>
              <w:rPr>
                <w:sz w:val="12"/>
                <w:szCs w:val="12"/>
                <w:color w:val="auto"/>
              </w:rPr>
            </w:pPr>
          </w:p>
        </w:tc>
        <w:tc>
          <w:tcPr>
            <w:tcW w:w="780" w:type="dxa"/>
            <w:vAlign w:val="bottom"/>
            <w:gridSpan w:val="2"/>
          </w:tcPr>
          <w:p>
            <w:pPr>
              <w:jc w:val="right"/>
              <w:ind w:right="70"/>
              <w:spacing w:after="0" w:line="145" w:lineRule="exact"/>
              <w:rPr>
                <w:sz w:val="20"/>
                <w:szCs w:val="20"/>
                <w:color w:val="auto"/>
              </w:rPr>
            </w:pPr>
            <w:r>
              <w:rPr>
                <w:rFonts w:ascii="Arial" w:cs="Arial" w:eastAsia="Arial" w:hAnsi="Arial"/>
                <w:sz w:val="14"/>
                <w:szCs w:val="14"/>
                <w:color w:val="auto"/>
              </w:rPr>
              <w:t>23.1%</w:t>
            </w: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24,301</w:t>
            </w:r>
          </w:p>
        </w:tc>
        <w:tc>
          <w:tcPr>
            <w:tcW w:w="1200" w:type="dxa"/>
            <w:vAlign w:val="bottom"/>
            <w:gridSpan w:val="3"/>
          </w:tcPr>
          <w:p>
            <w:pPr>
              <w:jc w:val="right"/>
              <w:ind w:right="220"/>
              <w:spacing w:after="0" w:line="145" w:lineRule="exact"/>
              <w:rPr>
                <w:sz w:val="20"/>
                <w:szCs w:val="20"/>
                <w:color w:val="auto"/>
              </w:rPr>
            </w:pPr>
            <w:r>
              <w:rPr>
                <w:rFonts w:ascii="Arial" w:cs="Arial" w:eastAsia="Arial" w:hAnsi="Arial"/>
                <w:sz w:val="14"/>
                <w:szCs w:val="14"/>
                <w:color w:val="auto"/>
              </w:rPr>
              <w:t>31,954</w:t>
            </w:r>
          </w:p>
        </w:tc>
        <w:tc>
          <w:tcPr>
            <w:tcW w:w="1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31.5%</w:t>
            </w:r>
          </w:p>
        </w:tc>
      </w:tr>
      <w:tr>
        <w:trPr>
          <w:trHeight w:val="144"/>
        </w:trPr>
        <w:tc>
          <w:tcPr>
            <w:tcW w:w="34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Cleaning</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6,705</w:t>
            </w:r>
          </w:p>
        </w:tc>
        <w:tc>
          <w:tcPr>
            <w:tcW w:w="8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5,206</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4,630</w:t>
            </w:r>
          </w:p>
        </w:tc>
        <w:tc>
          <w:tcPr>
            <w:tcW w:w="900" w:type="dxa"/>
            <w:vAlign w:val="bottom"/>
            <w:gridSpan w:val="2"/>
            <w:shd w:val="clear" w:color="auto" w:fill="CCEEFF"/>
          </w:tcPr>
          <w:p>
            <w:pPr>
              <w:jc w:val="right"/>
              <w:ind w:right="50"/>
              <w:spacing w:after="0" w:line="145" w:lineRule="exact"/>
              <w:rPr>
                <w:sz w:val="20"/>
                <w:szCs w:val="20"/>
                <w:color w:val="auto"/>
              </w:rPr>
            </w:pPr>
            <w:r>
              <w:rPr>
                <w:rFonts w:ascii="Arial" w:cs="Arial" w:eastAsia="Arial" w:hAnsi="Arial"/>
                <w:sz w:val="14"/>
                <w:szCs w:val="14"/>
                <w:color w:val="auto"/>
              </w:rPr>
              <w:t>-11.1%</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-30.9%</w:t>
            </w: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17,745</w:t>
            </w:r>
          </w:p>
        </w:tc>
        <w:tc>
          <w:tcPr>
            <w:tcW w:w="1200" w:type="dxa"/>
            <w:vAlign w:val="bottom"/>
            <w:gridSpan w:val="3"/>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15,118</w:t>
            </w:r>
          </w:p>
        </w:tc>
        <w:tc>
          <w:tcPr>
            <w:tcW w:w="11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-14.8%</w:t>
            </w:r>
          </w:p>
        </w:tc>
      </w:tr>
      <w:tr>
        <w:trPr>
          <w:trHeight w:val="144"/>
        </w:trPr>
        <w:tc>
          <w:tcPr>
            <w:tcW w:w="3440" w:type="dxa"/>
            <w:vAlign w:val="bottom"/>
            <w:gridSpan w:val="2"/>
          </w:tcPr>
          <w:p>
            <w:pPr>
              <w:spacing w:after="0" w:line="145" w:lineRule="exact"/>
              <w:rPr>
                <w:sz w:val="20"/>
                <w:szCs w:val="20"/>
                <w:color w:val="auto"/>
              </w:rPr>
            </w:pPr>
            <w:r>
              <w:rPr>
                <w:rFonts w:ascii="Arial" w:cs="Arial" w:eastAsia="Arial" w:hAnsi="Arial"/>
                <w:sz w:val="14"/>
                <w:szCs w:val="14"/>
                <w:color w:val="auto"/>
              </w:rPr>
              <w:t>Audit Services</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3,693</w:t>
            </w:r>
          </w:p>
        </w:tc>
        <w:tc>
          <w:tcPr>
            <w:tcW w:w="88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2,206</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2,479</w:t>
            </w:r>
          </w:p>
        </w:tc>
        <w:tc>
          <w:tcPr>
            <w:tcW w:w="900" w:type="dxa"/>
            <w:vAlign w:val="bottom"/>
            <w:gridSpan w:val="2"/>
          </w:tcPr>
          <w:p>
            <w:pPr>
              <w:jc w:val="right"/>
              <w:ind w:right="50"/>
              <w:spacing w:after="0" w:line="145" w:lineRule="exact"/>
              <w:rPr>
                <w:sz w:val="20"/>
                <w:szCs w:val="20"/>
                <w:color w:val="auto"/>
              </w:rPr>
            </w:pPr>
            <w:r>
              <w:rPr>
                <w:rFonts w:ascii="Arial" w:cs="Arial" w:eastAsia="Arial" w:hAnsi="Arial"/>
                <w:sz w:val="14"/>
                <w:szCs w:val="14"/>
                <w:color w:val="auto"/>
              </w:rPr>
              <w:t>12.4%</w:t>
            </w:r>
          </w:p>
        </w:tc>
        <w:tc>
          <w:tcPr>
            <w:tcW w:w="260" w:type="dxa"/>
            <w:vAlign w:val="bottom"/>
          </w:tcPr>
          <w:p>
            <w:pPr>
              <w:spacing w:after="0"/>
              <w:rPr>
                <w:sz w:val="12"/>
                <w:szCs w:val="12"/>
                <w:color w:val="auto"/>
              </w:rPr>
            </w:pPr>
          </w:p>
        </w:tc>
        <w:tc>
          <w:tcPr>
            <w:tcW w:w="780" w:type="dxa"/>
            <w:vAlign w:val="bottom"/>
            <w:gridSpan w:val="2"/>
          </w:tcPr>
          <w:p>
            <w:pPr>
              <w:jc w:val="right"/>
              <w:ind w:right="70"/>
              <w:spacing w:after="0" w:line="145" w:lineRule="exact"/>
              <w:rPr>
                <w:sz w:val="20"/>
                <w:szCs w:val="20"/>
                <w:color w:val="auto"/>
              </w:rPr>
            </w:pPr>
            <w:r>
              <w:rPr>
                <w:rFonts w:ascii="Arial" w:cs="Arial" w:eastAsia="Arial" w:hAnsi="Arial"/>
                <w:sz w:val="14"/>
                <w:szCs w:val="14"/>
                <w:color w:val="auto"/>
              </w:rPr>
              <w:t>-32.9%</w:t>
            </w: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6,163</w:t>
            </w:r>
          </w:p>
        </w:tc>
        <w:tc>
          <w:tcPr>
            <w:tcW w:w="1200" w:type="dxa"/>
            <w:vAlign w:val="bottom"/>
            <w:gridSpan w:val="3"/>
          </w:tcPr>
          <w:p>
            <w:pPr>
              <w:jc w:val="right"/>
              <w:ind w:right="220"/>
              <w:spacing w:after="0" w:line="145" w:lineRule="exact"/>
              <w:rPr>
                <w:sz w:val="20"/>
                <w:szCs w:val="20"/>
                <w:color w:val="auto"/>
              </w:rPr>
            </w:pPr>
            <w:r>
              <w:rPr>
                <w:rFonts w:ascii="Arial" w:cs="Arial" w:eastAsia="Arial" w:hAnsi="Arial"/>
                <w:sz w:val="14"/>
                <w:szCs w:val="14"/>
                <w:color w:val="auto"/>
              </w:rPr>
              <w:t>5,944</w:t>
            </w:r>
          </w:p>
        </w:tc>
        <w:tc>
          <w:tcPr>
            <w:tcW w:w="1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-3.6%</w:t>
            </w:r>
          </w:p>
        </w:tc>
      </w:tr>
      <w:tr>
        <w:trPr>
          <w:trHeight w:val="184"/>
        </w:trPr>
        <w:tc>
          <w:tcPr>
            <w:tcW w:w="3440" w:type="dxa"/>
            <w:vAlign w:val="bottom"/>
            <w:gridSpan w:val="2"/>
            <w:shd w:val="clear" w:color="auto" w:fill="CCEEFF"/>
          </w:tcPr>
          <w:p>
            <w:pPr>
              <w:spacing w:after="0" w:line="184" w:lineRule="exact"/>
              <w:rPr>
                <w:sz w:val="20"/>
                <w:szCs w:val="20"/>
                <w:color w:val="auto"/>
              </w:rPr>
            </w:pPr>
            <w:r>
              <w:rPr>
                <w:rFonts w:ascii="Arial" w:cs="Arial" w:eastAsia="Arial" w:hAnsi="Arial"/>
                <w:sz w:val="13"/>
                <w:szCs w:val="13"/>
                <w:color w:val="auto"/>
              </w:rPr>
              <w:t xml:space="preserve">Services by third-party and others </w:t>
            </w:r>
            <w:r>
              <w:rPr>
                <w:rFonts w:ascii="Arial" w:cs="Arial" w:eastAsia="Arial" w:hAnsi="Arial"/>
                <w:sz w:val="21"/>
                <w:szCs w:val="21"/>
                <w:color w:val="auto"/>
                <w:vertAlign w:val="superscript"/>
              </w:rPr>
              <w:t>(1)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73,040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85,919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64,767</w:t>
            </w: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-24.6%</w:t>
            </w:r>
          </w:p>
        </w:tc>
        <w:tc>
          <w:tcPr>
            <w:tcW w:w="2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-11.3%</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239,234</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300,071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25.4%</w:t>
            </w:r>
          </w:p>
        </w:tc>
      </w:tr>
      <w:tr>
        <w:trPr>
          <w:trHeight w:val="151"/>
        </w:trPr>
        <w:tc>
          <w:tcPr>
            <w:tcW w:w="344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Total administrative and general expenses</w:t>
            </w:r>
          </w:p>
        </w:tc>
        <w:tc>
          <w:tcPr>
            <w:tcW w:w="78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591,212</w:t>
            </w:r>
          </w:p>
        </w:tc>
        <w:tc>
          <w:tcPr>
            <w:tcW w:w="200" w:type="dxa"/>
            <w:vAlign w:val="bottom"/>
          </w:tcPr>
          <w:p>
            <w:pPr>
              <w:spacing w:after="0"/>
              <w:rPr>
                <w:sz w:val="13"/>
                <w:szCs w:val="13"/>
                <w:color w:val="auto"/>
              </w:rPr>
            </w:pPr>
          </w:p>
        </w:tc>
        <w:tc>
          <w:tcPr>
            <w:tcW w:w="6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672,805</w:t>
            </w:r>
          </w:p>
        </w:tc>
        <w:tc>
          <w:tcPr>
            <w:tcW w:w="220" w:type="dxa"/>
            <w:vAlign w:val="bottom"/>
          </w:tcPr>
          <w:p>
            <w:pPr>
              <w:spacing w:after="0"/>
              <w:rPr>
                <w:sz w:val="13"/>
                <w:szCs w:val="13"/>
                <w:color w:val="auto"/>
              </w:rPr>
            </w:pPr>
          </w:p>
        </w:tc>
        <w:tc>
          <w:tcPr>
            <w:tcW w:w="78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803,156</w:t>
            </w:r>
          </w:p>
        </w:tc>
        <w:tc>
          <w:tcPr>
            <w:tcW w:w="200" w:type="dxa"/>
            <w:vAlign w:val="bottom"/>
          </w:tcPr>
          <w:p>
            <w:pPr>
              <w:spacing w:after="0"/>
              <w:rPr>
                <w:sz w:val="13"/>
                <w:szCs w:val="13"/>
                <w:color w:val="auto"/>
              </w:rPr>
            </w:pPr>
          </w:p>
        </w:tc>
        <w:tc>
          <w:tcPr>
            <w:tcW w:w="6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19.4</w:t>
            </w:r>
          </w:p>
        </w:tc>
        <w:tc>
          <w:tcPr>
            <w:tcW w:w="240" w:type="dxa"/>
            <w:vAlign w:val="bottom"/>
          </w:tcPr>
          <w:p>
            <w:pPr>
              <w:jc w:val="right"/>
              <w:ind w:right="30"/>
              <w:spacing w:after="0" w:line="151" w:lineRule="exact"/>
              <w:rPr>
                <w:sz w:val="20"/>
                <w:szCs w:val="20"/>
                <w:color w:val="auto"/>
              </w:rPr>
            </w:pPr>
            <w:r>
              <w:rPr>
                <w:rFonts w:ascii="Arial" w:cs="Arial" w:eastAsia="Arial" w:hAnsi="Arial"/>
                <w:sz w:val="14"/>
                <w:szCs w:val="14"/>
                <w:b w:val="1"/>
                <w:bCs w:val="1"/>
                <w:color w:val="auto"/>
                <w:w w:val="96"/>
              </w:rPr>
              <w:t>%</w:t>
            </w:r>
          </w:p>
        </w:tc>
        <w:tc>
          <w:tcPr>
            <w:tcW w:w="2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35.8</w:t>
            </w:r>
          </w:p>
        </w:tc>
        <w:tc>
          <w:tcPr>
            <w:tcW w:w="260" w:type="dxa"/>
            <w:vAlign w:val="bottom"/>
          </w:tcPr>
          <w:p>
            <w:pPr>
              <w:jc w:val="right"/>
              <w:ind w:right="50"/>
              <w:spacing w:after="0" w:line="151" w:lineRule="exact"/>
              <w:rPr>
                <w:sz w:val="20"/>
                <w:szCs w:val="20"/>
                <w:color w:val="auto"/>
              </w:rPr>
            </w:pPr>
            <w:r>
              <w:rPr>
                <w:rFonts w:ascii="Arial" w:cs="Arial" w:eastAsia="Arial" w:hAnsi="Arial"/>
                <w:sz w:val="14"/>
                <w:szCs w:val="14"/>
                <w:b w:val="1"/>
                <w:bCs w:val="1"/>
                <w:color w:val="auto"/>
                <w:w w:val="96"/>
              </w:rPr>
              <w:t>%</w:t>
            </w:r>
          </w:p>
        </w:tc>
        <w:tc>
          <w:tcPr>
            <w:tcW w:w="6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1,644,010</w:t>
            </w:r>
          </w:p>
        </w:tc>
        <w:tc>
          <w:tcPr>
            <w:tcW w:w="200" w:type="dxa"/>
            <w:vAlign w:val="bottom"/>
          </w:tcPr>
          <w:p>
            <w:pPr>
              <w:spacing w:after="0"/>
              <w:rPr>
                <w:sz w:val="13"/>
                <w:szCs w:val="13"/>
                <w:color w:val="auto"/>
              </w:rPr>
            </w:pPr>
          </w:p>
        </w:tc>
        <w:tc>
          <w:tcPr>
            <w:tcW w:w="78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2,056,803</w:t>
            </w:r>
          </w:p>
        </w:tc>
        <w:tc>
          <w:tcPr>
            <w:tcW w:w="220" w:type="dxa"/>
            <w:vAlign w:val="bottom"/>
          </w:tcPr>
          <w:p>
            <w:pPr>
              <w:spacing w:after="0"/>
              <w:rPr>
                <w:sz w:val="13"/>
                <w:szCs w:val="13"/>
                <w:color w:val="auto"/>
              </w:rPr>
            </w:pPr>
          </w:p>
        </w:tc>
        <w:tc>
          <w:tcPr>
            <w:tcW w:w="10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25.1</w:t>
            </w:r>
          </w:p>
        </w:tc>
        <w:tc>
          <w:tcPr>
            <w:tcW w:w="120" w:type="dxa"/>
            <w:vAlign w:val="bottom"/>
          </w:tcPr>
          <w:p>
            <w:pPr>
              <w:jc w:val="right"/>
              <w:spacing w:after="0" w:line="151" w:lineRule="exact"/>
              <w:rPr>
                <w:sz w:val="20"/>
                <w:szCs w:val="20"/>
                <w:color w:val="auto"/>
              </w:rPr>
            </w:pPr>
            <w:r>
              <w:rPr>
                <w:rFonts w:ascii="Arial" w:cs="Arial" w:eastAsia="Arial" w:hAnsi="Arial"/>
                <w:sz w:val="14"/>
                <w:szCs w:val="14"/>
                <w:b w:val="1"/>
                <w:bCs w:val="1"/>
                <w:color w:val="auto"/>
                <w:w w:val="79"/>
              </w:rPr>
              <w:t>%</w:t>
            </w:r>
          </w:p>
        </w:tc>
      </w:tr>
      <w:tr>
        <w:trPr>
          <w:trHeight w:val="20"/>
        </w:trPr>
        <w:tc>
          <w:tcPr>
            <w:tcW w:w="3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2" w:lineRule="exact"/>
        <w:rPr>
          <w:sz w:val="20"/>
          <w:szCs w:val="20"/>
          <w:color w:val="auto"/>
        </w:rPr>
      </w:pPr>
    </w:p>
    <w:p>
      <w:pPr>
        <w:ind w:firstLine="5"/>
        <w:spacing w:after="0" w:line="241" w:lineRule="auto"/>
        <w:tabs>
          <w:tab w:leader="none" w:pos="214"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balance consists mainly of security and protection services, cleaning service, representation expenses, electricity and water utilities, insurance policiy expenses, subscription expenses and commission expenses.</w:t>
      </w:r>
    </w:p>
    <w:p>
      <w:pPr>
        <w:spacing w:after="0" w:line="392"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 YoY and 9 month YoY</w:t>
      </w:r>
      <w:r>
        <w:rPr>
          <w:rFonts w:ascii="Arial" w:cs="Arial" w:eastAsia="Arial" w:hAnsi="Arial"/>
          <w:sz w:val="18"/>
          <w:szCs w:val="18"/>
          <w:color w:val="auto"/>
        </w:rPr>
        <w:t xml:space="preserve"> analyses, administrative and general expenses and taxes rose due to:</w:t>
      </w:r>
    </w:p>
    <w:p>
      <w:pPr>
        <w:spacing w:after="0" w:line="213" w:lineRule="exact"/>
        <w:rPr>
          <w:sz w:val="20"/>
          <w:szCs w:val="20"/>
          <w:color w:val="auto"/>
        </w:rPr>
      </w:pPr>
    </w:p>
    <w:p>
      <w:pPr>
        <w:ind w:left="640" w:hanging="320"/>
        <w:spacing w:after="0" w:line="267"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Growth in expenses in </w:t>
      </w:r>
      <w:r>
        <w:rPr>
          <w:rFonts w:ascii="Arial" w:cs="Arial" w:eastAsia="Arial" w:hAnsi="Arial"/>
          <w:sz w:val="18"/>
          <w:szCs w:val="18"/>
          <w:b w:val="1"/>
          <w:bCs w:val="1"/>
          <w:color w:val="auto"/>
        </w:rPr>
        <w:t>IT, Repairs and Maintenance</w:t>
      </w:r>
      <w:r>
        <w:rPr>
          <w:rFonts w:ascii="Arial" w:cs="Arial" w:eastAsia="Arial" w:hAnsi="Arial"/>
          <w:sz w:val="18"/>
          <w:szCs w:val="18"/>
          <w:color w:val="auto"/>
        </w:rPr>
        <w:t>, which was associated with the development of new IT projects for digital transformation; business improvements; and sustainability.</w:t>
      </w:r>
    </w:p>
    <w:p>
      <w:pPr>
        <w:spacing w:after="0" w:line="169" w:lineRule="exact"/>
        <w:rPr>
          <w:rFonts w:ascii="Arial" w:cs="Arial" w:eastAsia="Arial" w:hAnsi="Arial"/>
          <w:sz w:val="18"/>
          <w:szCs w:val="18"/>
          <w:color w:val="auto"/>
        </w:rPr>
      </w:pPr>
    </w:p>
    <w:p>
      <w:pPr>
        <w:ind w:left="640" w:hanging="320"/>
        <w:spacing w:after="0" w:line="267"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Growth in expenses in </w:t>
      </w:r>
      <w:r>
        <w:rPr>
          <w:rFonts w:ascii="Arial" w:cs="Arial" w:eastAsia="Arial" w:hAnsi="Arial"/>
          <w:sz w:val="18"/>
          <w:szCs w:val="18"/>
          <w:b w:val="1"/>
          <w:bCs w:val="1"/>
          <w:color w:val="auto"/>
        </w:rPr>
        <w:t>Marketing</w:t>
      </w:r>
      <w:r>
        <w:rPr>
          <w:rFonts w:ascii="Arial" w:cs="Arial" w:eastAsia="Arial" w:hAnsi="Arial"/>
          <w:sz w:val="18"/>
          <w:szCs w:val="18"/>
          <w:color w:val="auto"/>
        </w:rPr>
        <w:t xml:space="preserve"> due to an uptick in consumption of LATAM miles through the client fidelity program after consumption with credit and debit cards rose in a context of economic reactivation post-quarantine.</w:t>
      </w:r>
    </w:p>
    <w:p>
      <w:pPr>
        <w:spacing w:after="0" w:line="169" w:lineRule="exact"/>
        <w:rPr>
          <w:rFonts w:ascii="Arial" w:cs="Arial" w:eastAsia="Arial" w:hAnsi="Arial"/>
          <w:sz w:val="18"/>
          <w:szCs w:val="18"/>
          <w:color w:val="auto"/>
        </w:rPr>
      </w:pPr>
    </w:p>
    <w:p>
      <w:pPr>
        <w:ind w:left="640" w:hanging="320"/>
        <w:spacing w:after="0" w:line="267"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An increase in expenses for </w:t>
      </w:r>
      <w:r>
        <w:rPr>
          <w:rFonts w:ascii="Arial" w:cs="Arial" w:eastAsia="Arial" w:hAnsi="Arial"/>
          <w:sz w:val="18"/>
          <w:szCs w:val="18"/>
          <w:b w:val="1"/>
          <w:bCs w:val="1"/>
          <w:color w:val="auto"/>
        </w:rPr>
        <w:t>Consultancy and professional services</w:t>
      </w:r>
      <w:r>
        <w:rPr>
          <w:rFonts w:ascii="Arial" w:cs="Arial" w:eastAsia="Arial" w:hAnsi="Arial"/>
          <w:sz w:val="18"/>
          <w:szCs w:val="18"/>
          <w:color w:val="auto"/>
        </w:rPr>
        <w:t xml:space="preserve"> due to an uptick in investment in the digital transformation program and in new disruptive initiatives.</w:t>
      </w:r>
    </w:p>
    <w:p>
      <w:pPr>
        <w:spacing w:after="0" w:line="386"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572135</wp:posOffset>
            </wp:positionV>
            <wp:extent cx="7136130" cy="83362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6130" cy="833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8. Operating Efficiency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Operating Efficiency</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ind w:left="520"/>
              <w:spacing w:after="0"/>
              <w:rPr>
                <w:sz w:val="20"/>
                <w:szCs w:val="20"/>
                <w:color w:val="auto"/>
              </w:rPr>
            </w:pPr>
            <w:r>
              <w:rPr>
                <w:rFonts w:ascii="Arial" w:cs="Arial" w:eastAsia="Arial" w:hAnsi="Arial"/>
                <w:sz w:val="14"/>
                <w:szCs w:val="14"/>
                <w:b w:val="1"/>
                <w:bCs w:val="1"/>
                <w:color w:val="auto"/>
                <w:w w:val="85"/>
              </w:rPr>
              <w:t>% change</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ind w:left="740"/>
              <w:spacing w:after="0"/>
              <w:rPr>
                <w:sz w:val="20"/>
                <w:szCs w:val="20"/>
                <w:color w:val="auto"/>
              </w:rPr>
            </w:pPr>
            <w:r>
              <w:rPr>
                <w:rFonts w:ascii="Arial" w:cs="Arial" w:eastAsia="Arial" w:hAnsi="Arial"/>
                <w:sz w:val="14"/>
                <w:szCs w:val="14"/>
                <w:b w:val="1"/>
                <w:bCs w:val="1"/>
                <w:color w:val="auto"/>
                <w:w w:val="98"/>
              </w:rPr>
              <w:t>Year</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 change</w:t>
            </w:r>
          </w:p>
        </w:tc>
      </w:tr>
      <w:tr>
        <w:trPr>
          <w:trHeight w:val="151"/>
        </w:trPr>
        <w:tc>
          <w:tcPr>
            <w:tcW w:w="3180" w:type="dxa"/>
            <w:vAlign w:val="bottom"/>
            <w:tcBorders>
              <w:bottom w:val="single" w:sz="8" w:color="auto"/>
            </w:tcBorders>
          </w:tcPr>
          <w:p>
            <w:pPr>
              <w:spacing w:after="0" w:line="151" w:lineRule="exact"/>
              <w:rPr>
                <w:sz w:val="20"/>
                <w:szCs w:val="20"/>
                <w:color w:val="auto"/>
              </w:rPr>
            </w:pPr>
            <w:r>
              <w:rPr>
                <w:rFonts w:ascii="Arial" w:cs="Arial" w:eastAsia="Arial" w:hAnsi="Arial"/>
                <w:sz w:val="14"/>
                <w:szCs w:val="14"/>
                <w:b w:val="1"/>
                <w:bCs w:val="1"/>
                <w:color w:val="auto"/>
              </w:rPr>
              <w:t>S/ 000</w:t>
            </w:r>
          </w:p>
        </w:tc>
        <w:tc>
          <w:tcPr>
            <w:tcW w:w="22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50"/>
              <w:spacing w:after="0" w:line="151" w:lineRule="exact"/>
              <w:rPr>
                <w:sz w:val="20"/>
                <w:szCs w:val="20"/>
                <w:color w:val="auto"/>
              </w:rPr>
            </w:pPr>
            <w:r>
              <w:rPr>
                <w:rFonts w:ascii="Arial" w:cs="Arial" w:eastAsia="Arial" w:hAnsi="Arial"/>
                <w:sz w:val="14"/>
                <w:szCs w:val="14"/>
                <w:b w:val="1"/>
                <w:bCs w:val="1"/>
                <w:color w:val="auto"/>
              </w:rPr>
              <w:t>3Q20</w:t>
            </w:r>
          </w:p>
        </w:tc>
        <w:tc>
          <w:tcPr>
            <w:tcW w:w="22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rPr>
              <w:t>2Q21</w:t>
            </w:r>
          </w:p>
        </w:tc>
        <w:tc>
          <w:tcPr>
            <w:tcW w:w="22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70"/>
              <w:spacing w:after="0" w:line="151" w:lineRule="exact"/>
              <w:rPr>
                <w:sz w:val="20"/>
                <w:szCs w:val="20"/>
                <w:color w:val="auto"/>
              </w:rPr>
            </w:pPr>
            <w:r>
              <w:rPr>
                <w:rFonts w:ascii="Arial" w:cs="Arial" w:eastAsia="Arial" w:hAnsi="Arial"/>
                <w:sz w:val="14"/>
                <w:szCs w:val="14"/>
                <w:b w:val="1"/>
                <w:bCs w:val="1"/>
                <w:color w:val="auto"/>
              </w:rPr>
              <w:t>3Q21</w:t>
            </w:r>
          </w:p>
        </w:tc>
        <w:tc>
          <w:tcPr>
            <w:tcW w:w="22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rPr>
              <w:t>QoQ</w:t>
            </w:r>
          </w:p>
        </w:tc>
        <w:tc>
          <w:tcPr>
            <w:tcW w:w="22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ind w:left="20"/>
              <w:spacing w:after="0" w:line="151" w:lineRule="exact"/>
              <w:rPr>
                <w:sz w:val="20"/>
                <w:szCs w:val="20"/>
                <w:color w:val="auto"/>
              </w:rPr>
            </w:pPr>
            <w:r>
              <w:rPr>
                <w:rFonts w:ascii="Arial" w:cs="Arial" w:eastAsia="Arial" w:hAnsi="Arial"/>
                <w:sz w:val="14"/>
                <w:szCs w:val="14"/>
                <w:b w:val="1"/>
                <w:bCs w:val="1"/>
                <w:color w:val="auto"/>
              </w:rPr>
              <w:t>YoY</w:t>
            </w:r>
          </w:p>
        </w:tc>
        <w:tc>
          <w:tcPr>
            <w:tcW w:w="22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70"/>
              <w:spacing w:after="0" w:line="151" w:lineRule="exact"/>
              <w:rPr>
                <w:sz w:val="20"/>
                <w:szCs w:val="20"/>
                <w:color w:val="auto"/>
              </w:rPr>
            </w:pPr>
            <w:r>
              <w:rPr>
                <w:rFonts w:ascii="Arial" w:cs="Arial" w:eastAsia="Arial" w:hAnsi="Arial"/>
                <w:sz w:val="14"/>
                <w:szCs w:val="14"/>
                <w:b w:val="1"/>
                <w:bCs w:val="1"/>
                <w:color w:val="auto"/>
              </w:rPr>
              <w:t>9M - 20</w:t>
            </w:r>
          </w:p>
        </w:tc>
        <w:tc>
          <w:tcPr>
            <w:tcW w:w="2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90"/>
              <w:spacing w:after="0" w:line="151" w:lineRule="exact"/>
              <w:rPr>
                <w:sz w:val="20"/>
                <w:szCs w:val="20"/>
                <w:color w:val="auto"/>
              </w:rPr>
            </w:pPr>
            <w:r>
              <w:rPr>
                <w:rFonts w:ascii="Arial" w:cs="Arial" w:eastAsia="Arial" w:hAnsi="Arial"/>
                <w:sz w:val="14"/>
                <w:szCs w:val="14"/>
                <w:b w:val="1"/>
                <w:bCs w:val="1"/>
                <w:color w:val="auto"/>
              </w:rPr>
              <w:t>9M - 21</w:t>
            </w:r>
          </w:p>
        </w:tc>
        <w:tc>
          <w:tcPr>
            <w:tcW w:w="220" w:type="dxa"/>
            <w:vAlign w:val="bottom"/>
            <w:tcBorders>
              <w:bottom w:val="single" w:sz="8" w:color="CCEEFF"/>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3"/>
              </w:rPr>
              <w:t>9M - 21 / 9M - 20</w:t>
            </w:r>
          </w:p>
        </w:tc>
        <w:tc>
          <w:tcPr>
            <w:tcW w:w="120" w:type="dxa"/>
            <w:vAlign w:val="bottom"/>
            <w:tcBorders>
              <w:bottom w:val="single" w:sz="8" w:color="CCEEFF"/>
            </w:tcBorders>
          </w:tcPr>
          <w:p>
            <w:pPr>
              <w:spacing w:after="0"/>
              <w:rPr>
                <w:sz w:val="13"/>
                <w:szCs w:val="13"/>
                <w:color w:val="auto"/>
              </w:rPr>
            </w:pPr>
          </w:p>
        </w:tc>
      </w:tr>
      <w:tr>
        <w:trPr>
          <w:trHeight w:val="177"/>
        </w:trPr>
        <w:tc>
          <w:tcPr>
            <w:tcW w:w="3180" w:type="dxa"/>
            <w:vAlign w:val="bottom"/>
            <w:shd w:val="clear" w:color="auto" w:fill="CCEEFF"/>
          </w:tcPr>
          <w:p>
            <w:pPr>
              <w:spacing w:after="0" w:line="177" w:lineRule="exact"/>
              <w:rPr>
                <w:sz w:val="20"/>
                <w:szCs w:val="20"/>
                <w:color w:val="auto"/>
              </w:rPr>
            </w:pPr>
            <w:r>
              <w:rPr>
                <w:rFonts w:ascii="Arial" w:cs="Arial" w:eastAsia="Arial" w:hAnsi="Arial"/>
                <w:sz w:val="12"/>
                <w:szCs w:val="12"/>
                <w:color w:val="auto"/>
              </w:rPr>
              <w:t xml:space="preserve">Operating expenses </w:t>
            </w:r>
            <w:r>
              <w:rPr>
                <w:rFonts w:ascii="Arial" w:cs="Arial" w:eastAsia="Arial" w:hAnsi="Arial"/>
                <w:sz w:val="20"/>
                <w:szCs w:val="20"/>
                <w:color w:val="auto"/>
                <w:vertAlign w:val="superscript"/>
              </w:rPr>
              <w:t>(1)</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1,657,964</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1,812,674</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1,987,522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9.6%</w:t>
            </w: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4,991,690</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5,505,090</w:t>
            </w: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10.29%</w:t>
            </w:r>
          </w:p>
        </w:tc>
      </w:tr>
      <w:tr>
        <w:trPr>
          <w:trHeight w:val="184"/>
        </w:trPr>
        <w:tc>
          <w:tcPr>
            <w:tcW w:w="3400" w:type="dxa"/>
            <w:vAlign w:val="bottom"/>
            <w:gridSpan w:val="2"/>
          </w:tcPr>
          <w:p>
            <w:pPr>
              <w:spacing w:after="0" w:line="184" w:lineRule="exact"/>
              <w:rPr>
                <w:sz w:val="20"/>
                <w:szCs w:val="20"/>
                <w:color w:val="auto"/>
              </w:rPr>
            </w:pPr>
            <w:r>
              <w:rPr>
                <w:rFonts w:ascii="Arial" w:cs="Arial" w:eastAsia="Arial" w:hAnsi="Arial"/>
                <w:sz w:val="13"/>
                <w:szCs w:val="13"/>
                <w:color w:val="auto"/>
              </w:rPr>
              <w:t xml:space="preserve">Operating income </w:t>
            </w:r>
            <w:r>
              <w:rPr>
                <w:rFonts w:ascii="Arial" w:cs="Arial" w:eastAsia="Arial" w:hAnsi="Arial"/>
                <w:sz w:val="21"/>
                <w:szCs w:val="21"/>
                <w:color w:val="auto"/>
                <w:vertAlign w:val="superscript"/>
              </w:rPr>
              <w:t>(2)</w:t>
            </w:r>
          </w:p>
        </w:tc>
        <w:tc>
          <w:tcPr>
            <w:tcW w:w="780" w:type="dxa"/>
            <w:vAlign w:val="bottom"/>
          </w:tcPr>
          <w:p>
            <w:pPr>
              <w:jc w:val="right"/>
              <w:spacing w:after="0"/>
              <w:rPr>
                <w:sz w:val="20"/>
                <w:szCs w:val="20"/>
                <w:color w:val="auto"/>
              </w:rPr>
            </w:pPr>
            <w:r>
              <w:rPr>
                <w:rFonts w:ascii="Arial" w:cs="Arial" w:eastAsia="Arial" w:hAnsi="Arial"/>
                <w:sz w:val="14"/>
                <w:szCs w:val="14"/>
                <w:color w:val="auto"/>
              </w:rPr>
              <w:t>3,684,610</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4,147,704</w:t>
            </w:r>
          </w:p>
        </w:tc>
        <w:tc>
          <w:tcPr>
            <w:tcW w:w="2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4,307,965</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3.9%</w:t>
            </w:r>
          </w:p>
        </w:tc>
        <w:tc>
          <w:tcPr>
            <w:tcW w:w="24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16.9%</w:t>
            </w:r>
          </w:p>
        </w:tc>
        <w:tc>
          <w:tcPr>
            <w:tcW w:w="740" w:type="dxa"/>
            <w:vAlign w:val="bottom"/>
          </w:tcPr>
          <w:p>
            <w:pPr>
              <w:jc w:val="right"/>
              <w:spacing w:after="0"/>
              <w:rPr>
                <w:sz w:val="20"/>
                <w:szCs w:val="20"/>
                <w:color w:val="auto"/>
              </w:rPr>
            </w:pPr>
            <w:r>
              <w:rPr>
                <w:rFonts w:ascii="Arial" w:cs="Arial" w:eastAsia="Arial" w:hAnsi="Arial"/>
                <w:sz w:val="14"/>
                <w:szCs w:val="14"/>
                <w:color w:val="auto"/>
              </w:rPr>
              <w:t>10,866,506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12,327,232</w:t>
            </w:r>
          </w:p>
        </w:tc>
        <w:tc>
          <w:tcPr>
            <w:tcW w:w="2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13.4%</w:t>
            </w:r>
          </w:p>
        </w:tc>
      </w:tr>
      <w:tr>
        <w:trPr>
          <w:trHeight w:val="184"/>
        </w:trPr>
        <w:tc>
          <w:tcPr>
            <w:tcW w:w="3400" w:type="dxa"/>
            <w:vAlign w:val="bottom"/>
            <w:gridSpan w:val="2"/>
            <w:shd w:val="clear" w:color="auto" w:fill="CCEEFF"/>
          </w:tcPr>
          <w:p>
            <w:pPr>
              <w:spacing w:after="0" w:line="184" w:lineRule="exact"/>
              <w:rPr>
                <w:sz w:val="20"/>
                <w:szCs w:val="20"/>
                <w:color w:val="auto"/>
              </w:rPr>
            </w:pPr>
            <w:r>
              <w:rPr>
                <w:rFonts w:ascii="Arial" w:cs="Arial" w:eastAsia="Arial" w:hAnsi="Arial"/>
                <w:sz w:val="13"/>
                <w:szCs w:val="13"/>
                <w:color w:val="auto"/>
              </w:rPr>
              <w:t xml:space="preserve">Efficiency ratio </w:t>
            </w:r>
            <w:r>
              <w:rPr>
                <w:rFonts w:ascii="Arial" w:cs="Arial" w:eastAsia="Arial" w:hAnsi="Arial"/>
                <w:sz w:val="21"/>
                <w:szCs w:val="21"/>
                <w:color w:val="auto"/>
                <w:vertAlign w:val="superscript"/>
              </w:rPr>
              <w:t>(3)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43.7%</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46.1%</w:t>
            </w: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240 bps</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110 bps</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44.7%</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-120 bps</w:t>
            </w:r>
          </w:p>
        </w:tc>
      </w:tr>
      <w:tr>
        <w:trPr>
          <w:trHeight w:val="304"/>
        </w:trPr>
        <w:tc>
          <w:tcPr>
            <w:tcW w:w="3400" w:type="dxa"/>
            <w:vAlign w:val="bottom"/>
            <w:gridSpan w:val="2"/>
          </w:tcPr>
          <w:p>
            <w:pPr>
              <w:spacing w:after="0"/>
              <w:rPr>
                <w:sz w:val="20"/>
                <w:szCs w:val="20"/>
                <w:color w:val="auto"/>
              </w:rPr>
            </w:pPr>
            <w:r>
              <w:rPr>
                <w:rFonts w:ascii="Arial" w:cs="Arial" w:eastAsia="Arial" w:hAnsi="Arial"/>
                <w:sz w:val="14"/>
                <w:szCs w:val="14"/>
                <w:color w:val="auto"/>
              </w:rPr>
              <w:t xml:space="preserve">Operating expenses / Total average assets </w:t>
            </w:r>
            <w:r>
              <w:rPr>
                <w:rFonts w:ascii="Arial" w:cs="Arial" w:eastAsia="Arial" w:hAnsi="Arial"/>
                <w:sz w:val="23"/>
                <w:szCs w:val="23"/>
                <w:color w:val="auto"/>
                <w:vertAlign w:val="superscript"/>
              </w:rPr>
              <w:t>(4)</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2.93%</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2.96%</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3.20%</w:t>
            </w:r>
          </w:p>
        </w:tc>
        <w:tc>
          <w:tcPr>
            <w:tcW w:w="1100" w:type="dxa"/>
            <w:vAlign w:val="bottom"/>
            <w:gridSpan w:val="3"/>
          </w:tcPr>
          <w:p>
            <w:pPr>
              <w:jc w:val="right"/>
              <w:ind w:right="460"/>
              <w:spacing w:after="0"/>
              <w:rPr>
                <w:sz w:val="20"/>
                <w:szCs w:val="20"/>
                <w:color w:val="auto"/>
              </w:rPr>
            </w:pPr>
            <w:r>
              <w:rPr>
                <w:rFonts w:ascii="Arial" w:cs="Arial" w:eastAsia="Arial" w:hAnsi="Arial"/>
                <w:sz w:val="14"/>
                <w:szCs w:val="14"/>
                <w:color w:val="auto"/>
              </w:rPr>
              <w:t>24 bps</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27 bps</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3.00%</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-17 bps</w:t>
            </w:r>
          </w:p>
        </w:tc>
      </w:tr>
    </w:tbl>
    <w:p>
      <w:pPr>
        <w:spacing w:after="0" w:line="67" w:lineRule="exact"/>
        <w:rPr>
          <w:sz w:val="20"/>
          <w:szCs w:val="20"/>
          <w:color w:val="auto"/>
        </w:rPr>
      </w:pPr>
    </w:p>
    <w:p>
      <w:pPr>
        <w:ind w:left="200" w:hanging="195"/>
        <w:spacing w:after="0"/>
        <w:tabs>
          <w:tab w:leader="none" w:pos="2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Operating expenses = Salaries and employee’s benefits + Administrative expenses + Depreciation and amortization + Association in participation + Acquisition cost.</w:t>
      </w:r>
    </w:p>
    <w:p>
      <w:pPr>
        <w:ind w:right="20" w:firstLine="5"/>
        <w:spacing w:after="0" w:line="215" w:lineRule="auto"/>
        <w:tabs>
          <w:tab w:leader="none" w:pos="198" w:val="left"/>
        </w:tabs>
        <w:numPr>
          <w:ilvl w:val="0"/>
          <w:numId w:val="63"/>
        </w:numPr>
        <w:rPr>
          <w:rFonts w:ascii="Arial" w:cs="Arial" w:eastAsia="Arial" w:hAnsi="Arial"/>
          <w:sz w:val="14"/>
          <w:szCs w:val="14"/>
          <w:color w:val="auto"/>
        </w:rPr>
      </w:pPr>
      <w:r>
        <w:rPr>
          <w:rFonts w:ascii="Arial" w:cs="Arial" w:eastAsia="Arial" w:hAnsi="Arial"/>
          <w:sz w:val="14"/>
          <w:szCs w:val="14"/>
          <w:color w:val="auto"/>
        </w:rPr>
        <w:t>Operating income = Net interest, similar income and expenses + Fee income + Net gain on foreign exchange transactions + Net gain from associates + Net gain on derivatives held for trading + Net gain from exchange differences + Net premiums earned</w:t>
      </w:r>
    </w:p>
    <w:p>
      <w:pPr>
        <w:ind w:left="200" w:hanging="195"/>
        <w:spacing w:after="0" w:line="215" w:lineRule="auto"/>
        <w:tabs>
          <w:tab w:leader="none" w:pos="2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Operating expenses / Operating income.</w:t>
      </w:r>
    </w:p>
    <w:p>
      <w:pPr>
        <w:ind w:left="200" w:hanging="195"/>
        <w:spacing w:after="0"/>
        <w:tabs>
          <w:tab w:leader="none" w:pos="2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Operating expenses / Average of Total Assets. Average is calculated with period beginning and period-ending balances.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8.1 Efficiency ratio by income and expense item</w:t>
      </w:r>
    </w:p>
    <w:p>
      <w:pPr>
        <w:spacing w:after="0" w:line="21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color w:val="auto"/>
        </w:rPr>
        <w:t xml:space="preserve">QoQ and YoY, </w:t>
      </w:r>
      <w:r>
        <w:rPr>
          <w:rFonts w:ascii="Arial" w:cs="Arial" w:eastAsia="Arial" w:hAnsi="Arial"/>
          <w:sz w:val="16"/>
          <w:szCs w:val="16"/>
          <w:color w:val="auto"/>
        </w:rPr>
        <w:t>the efficiency ratio deteriorated 240 bps and 110 pbs. This decline was attributable to an increase in</w:t>
      </w:r>
      <w:r>
        <w:rPr>
          <w:rFonts w:ascii="Arial" w:cs="Arial" w:eastAsia="Arial" w:hAnsi="Arial"/>
          <w:sz w:val="16"/>
          <w:szCs w:val="16"/>
          <w:b w:val="1"/>
          <w:bCs w:val="1"/>
          <w:color w:val="auto"/>
        </w:rPr>
        <w:t xml:space="preserve"> Administrative and general expenses and taxes, </w:t>
      </w:r>
      <w:r>
        <w:rPr>
          <w:rFonts w:ascii="Arial" w:cs="Arial" w:eastAsia="Arial" w:hAnsi="Arial"/>
          <w:sz w:val="16"/>
          <w:szCs w:val="16"/>
          <w:color w:val="auto"/>
        </w:rPr>
        <w:t>which was driven by an uptick in investment in digital transformation at BCP Stand-alone, and by growth in</w:t>
      </w:r>
      <w:r>
        <w:rPr>
          <w:rFonts w:ascii="Arial" w:cs="Arial" w:eastAsia="Arial" w:hAnsi="Arial"/>
          <w:sz w:val="16"/>
          <w:szCs w:val="16"/>
          <w:b w:val="1"/>
          <w:bCs w:val="1"/>
          <w:color w:val="auto"/>
        </w:rPr>
        <w:t xml:space="preserve"> Salaries and Employee Benefits</w:t>
      </w:r>
      <w:r>
        <w:rPr>
          <w:rFonts w:ascii="Arial" w:cs="Arial" w:eastAsia="Arial" w:hAnsi="Arial"/>
          <w:sz w:val="16"/>
          <w:szCs w:val="16"/>
          <w:color w:val="auto"/>
        </w:rPr>
        <w:t>, which</w:t>
      </w:r>
      <w:r>
        <w:rPr>
          <w:rFonts w:ascii="Arial" w:cs="Arial" w:eastAsia="Arial" w:hAnsi="Arial"/>
          <w:sz w:val="16"/>
          <w:szCs w:val="16"/>
          <w:b w:val="1"/>
          <w:bCs w:val="1"/>
          <w:color w:val="auto"/>
        </w:rPr>
        <w:t xml:space="preserve"> </w:t>
      </w:r>
      <w:r>
        <w:rPr>
          <w:rFonts w:ascii="Arial" w:cs="Arial" w:eastAsia="Arial" w:hAnsi="Arial"/>
          <w:sz w:val="16"/>
          <w:szCs w:val="16"/>
          <w:color w:val="auto"/>
        </w:rPr>
        <w:t>was fueled by an increase in provisions for profit sharing and by growth in expenses to hire personnel with specialized technical profiles.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YTD evolution of the efficiency ratio by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147320</wp:posOffset>
            </wp:positionV>
            <wp:extent cx="7127875" cy="18091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27875" cy="180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60" w:firstLine="5"/>
        <w:spacing w:after="0" w:line="250" w:lineRule="auto"/>
        <w:tabs>
          <w:tab w:leader="none" w:pos="248" w:val="left"/>
        </w:tabs>
        <w:numPr>
          <w:ilvl w:val="0"/>
          <w:numId w:val="64"/>
        </w:numPr>
        <w:rPr>
          <w:rFonts w:ascii="Arial" w:cs="Arial" w:eastAsia="Arial" w:hAnsi="Arial"/>
          <w:sz w:val="18"/>
          <w:szCs w:val="18"/>
          <w:color w:val="auto"/>
        </w:rPr>
      </w:pPr>
      <w:r>
        <w:rPr>
          <w:rFonts w:ascii="Arial" w:cs="Arial" w:eastAsia="Arial" w:hAnsi="Arial"/>
          <w:sz w:val="18"/>
          <w:szCs w:val="18"/>
          <w:color w:val="auto"/>
        </w:rPr>
        <w:t>Other operating income includes: Net gain on foreign exchange transactions, Net gain from associates, Net gain on derivatives held for trading and Net gain from exchange difference.</w:t>
      </w:r>
    </w:p>
    <w:p>
      <w:pPr>
        <w:ind w:left="260" w:hanging="255"/>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Other operating expenses includes: Acquisition cost and Association in participation.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YTD (9 months)</w:t>
      </w:r>
      <w:r>
        <w:rPr>
          <w:rFonts w:ascii="Arial" w:cs="Arial" w:eastAsia="Arial" w:hAnsi="Arial"/>
          <w:sz w:val="29"/>
          <w:szCs w:val="29"/>
          <w:b w:val="1"/>
          <w:bCs w:val="1"/>
          <w:color w:val="auto"/>
          <w:vertAlign w:val="superscript"/>
        </w:rPr>
        <w:t>14</w:t>
      </w:r>
      <w:r>
        <w:rPr>
          <w:rFonts w:ascii="Arial" w:cs="Arial" w:eastAsia="Arial" w:hAnsi="Arial"/>
          <w:sz w:val="18"/>
          <w:szCs w:val="18"/>
          <w:color w:val="auto"/>
        </w:rPr>
        <w:t>, the efficiency ratio improved 120pbs due to:</w:t>
      </w:r>
    </w:p>
    <w:p>
      <w:pPr>
        <w:spacing w:after="0" w:line="122" w:lineRule="exact"/>
        <w:rPr>
          <w:sz w:val="20"/>
          <w:szCs w:val="20"/>
          <w:color w:val="auto"/>
        </w:rPr>
      </w:pPr>
    </w:p>
    <w:p>
      <w:pPr>
        <w:ind w:left="960" w:hanging="640"/>
        <w:spacing w:after="0" w:line="267" w:lineRule="auto"/>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The increase in </w:t>
      </w:r>
      <w:r>
        <w:rPr>
          <w:rFonts w:ascii="Arial" w:cs="Arial" w:eastAsia="Arial" w:hAnsi="Arial"/>
          <w:sz w:val="18"/>
          <w:szCs w:val="18"/>
          <w:b w:val="1"/>
          <w:bCs w:val="1"/>
          <w:color w:val="auto"/>
        </w:rPr>
        <w:t>Fee Income,</w:t>
      </w:r>
      <w:r>
        <w:rPr>
          <w:rFonts w:ascii="Arial" w:cs="Arial" w:eastAsia="Arial" w:hAnsi="Arial"/>
          <w:sz w:val="18"/>
          <w:szCs w:val="18"/>
          <w:color w:val="auto"/>
        </w:rPr>
        <w:t xml:space="preserve"> given that throughout the most part of 2020, fee exemptions were offered to clients to mitigate the impact of the pandemic. During this same period, restrictions on mobility were in place that reduced the transactions base.</w:t>
      </w:r>
    </w:p>
    <w:p>
      <w:pPr>
        <w:spacing w:after="0" w:line="169" w:lineRule="exact"/>
        <w:rPr>
          <w:rFonts w:ascii="Arial" w:cs="Arial" w:eastAsia="Arial" w:hAnsi="Arial"/>
          <w:sz w:val="18"/>
          <w:szCs w:val="18"/>
          <w:color w:val="auto"/>
        </w:rPr>
      </w:pPr>
    </w:p>
    <w:p>
      <w:pPr>
        <w:ind w:left="960" w:hanging="640"/>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Net interest income</w:t>
      </w:r>
      <w:r>
        <w:rPr>
          <w:rFonts w:ascii="Arial" w:cs="Arial" w:eastAsia="Arial" w:hAnsi="Arial"/>
          <w:sz w:val="18"/>
          <w:szCs w:val="18"/>
          <w:color w:val="auto"/>
        </w:rPr>
        <w:t>, which was driven by an uptick in structural loans at Mibanco this quarter.</w:t>
      </w:r>
    </w:p>
    <w:p>
      <w:pPr>
        <w:spacing w:after="0" w:line="213" w:lineRule="exact"/>
        <w:rPr>
          <w:rFonts w:ascii="Arial" w:cs="Arial" w:eastAsia="Arial" w:hAnsi="Arial"/>
          <w:sz w:val="18"/>
          <w:szCs w:val="18"/>
          <w:color w:val="auto"/>
        </w:rPr>
      </w:pPr>
    </w:p>
    <w:p>
      <w:pPr>
        <w:jc w:val="both"/>
        <w:ind w:left="960" w:hanging="640"/>
        <w:spacing w:after="0" w:line="255" w:lineRule="auto"/>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An increase in income from </w:t>
      </w:r>
      <w:r>
        <w:rPr>
          <w:rFonts w:ascii="Arial" w:cs="Arial" w:eastAsia="Arial" w:hAnsi="Arial"/>
          <w:sz w:val="18"/>
          <w:szCs w:val="18"/>
          <w:b w:val="1"/>
          <w:bCs w:val="1"/>
          <w:color w:val="auto"/>
        </w:rPr>
        <w:t>Net earned premiums,</w:t>
      </w:r>
      <w:r>
        <w:rPr>
          <w:rFonts w:ascii="Arial" w:cs="Arial" w:eastAsia="Arial" w:hAnsi="Arial"/>
          <w:sz w:val="18"/>
          <w:szCs w:val="18"/>
          <w:color w:val="auto"/>
        </w:rPr>
        <w:t xml:space="preserve"> which rose after Pacifico was awarded a larger tranche of SISCO V, which offers a better premiums structure than SISCO IV, and due to growth in premiums for credit life insurance, in line with an uptick in loan disbursements at Mibanco.</w:t>
      </w:r>
    </w:p>
    <w:p>
      <w:pPr>
        <w:spacing w:after="0" w:line="180" w:lineRule="exact"/>
        <w:rPr>
          <w:rFonts w:ascii="Arial" w:cs="Arial" w:eastAsia="Arial" w:hAnsi="Arial"/>
          <w:sz w:val="18"/>
          <w:szCs w:val="18"/>
          <w:color w:val="auto"/>
        </w:rPr>
      </w:pPr>
    </w:p>
    <w:p>
      <w:pPr>
        <w:ind w:left="960" w:hanging="640"/>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Net gains on foreign exchange transactions</w:t>
      </w:r>
      <w:r>
        <w:rPr>
          <w:rFonts w:ascii="Arial" w:cs="Arial" w:eastAsia="Arial" w:hAnsi="Arial"/>
          <w:sz w:val="18"/>
          <w:szCs w:val="18"/>
          <w:color w:val="auto"/>
        </w:rPr>
        <w:t>, which were affected by the volatility created by political uncertainty.</w:t>
      </w:r>
    </w:p>
    <w:p>
      <w:pPr>
        <w:spacing w:after="0" w:line="213" w:lineRule="exact"/>
        <w:rPr>
          <w:sz w:val="20"/>
          <w:szCs w:val="20"/>
          <w:color w:val="auto"/>
        </w:rPr>
      </w:pPr>
    </w:p>
    <w:p>
      <w:pPr>
        <w:spacing w:after="0" w:line="331" w:lineRule="auto"/>
        <w:rPr>
          <w:sz w:val="20"/>
          <w:szCs w:val="20"/>
          <w:color w:val="auto"/>
        </w:rPr>
      </w:pPr>
      <w:r>
        <w:rPr>
          <w:rFonts w:ascii="Arial" w:cs="Arial" w:eastAsia="Arial" w:hAnsi="Arial"/>
          <w:sz w:val="16"/>
          <w:szCs w:val="16"/>
          <w:color w:val="auto"/>
        </w:rPr>
        <w:t xml:space="preserve">The improvement this quarter was partially offset by growth in </w:t>
      </w:r>
      <w:r>
        <w:rPr>
          <w:rFonts w:ascii="Arial" w:cs="Arial" w:eastAsia="Arial" w:hAnsi="Arial"/>
          <w:sz w:val="16"/>
          <w:szCs w:val="16"/>
          <w:b w:val="1"/>
          <w:bCs w:val="1"/>
          <w:color w:val="auto"/>
        </w:rPr>
        <w:t>Administrative and general expenses and taxes</w:t>
      </w:r>
      <w:r>
        <w:rPr>
          <w:rFonts w:ascii="Arial" w:cs="Arial" w:eastAsia="Arial" w:hAnsi="Arial"/>
          <w:sz w:val="16"/>
          <w:szCs w:val="16"/>
          <w:color w:val="auto"/>
        </w:rPr>
        <w:t xml:space="preserve"> (increase in expenses related to digital transformation at BCP Stand-alone) and in </w:t>
      </w:r>
      <w:r>
        <w:rPr>
          <w:rFonts w:ascii="Arial" w:cs="Arial" w:eastAsia="Arial" w:hAnsi="Arial"/>
          <w:sz w:val="16"/>
          <w:szCs w:val="16"/>
          <w:b w:val="1"/>
          <w:bCs w:val="1"/>
          <w:color w:val="auto"/>
        </w:rPr>
        <w:t>Salaries and employee benefits</w:t>
      </w:r>
      <w:r>
        <w:rPr>
          <w:rFonts w:ascii="Arial" w:cs="Arial" w:eastAsia="Arial" w:hAnsi="Arial"/>
          <w:sz w:val="16"/>
          <w:szCs w:val="16"/>
          <w:color w:val="auto"/>
        </w:rPr>
        <w:t xml:space="preserve"> (increase in provisions for profit sharing, in line with an improvement in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17837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202" w:lineRule="exact"/>
        <w:rPr>
          <w:sz w:val="20"/>
          <w:szCs w:val="20"/>
          <w:color w:val="auto"/>
        </w:rPr>
      </w:pPr>
    </w:p>
    <w:p>
      <w:pPr>
        <w:ind w:left="200" w:hanging="195"/>
        <w:spacing w:after="0"/>
        <w:tabs>
          <w:tab w:leader="none" w:pos="200" w:val="left"/>
        </w:tabs>
        <w:numPr>
          <w:ilvl w:val="0"/>
          <w:numId w:val="66"/>
        </w:numPr>
        <w:rPr>
          <w:rFonts w:ascii="Arial" w:cs="Arial" w:eastAsia="Arial" w:hAnsi="Arial"/>
          <w:sz w:val="26"/>
          <w:szCs w:val="26"/>
          <w:color w:val="auto"/>
          <w:vertAlign w:val="superscript"/>
        </w:rPr>
      </w:pPr>
      <w:r>
        <w:rPr>
          <w:rFonts w:ascii="Arial" w:cs="Arial" w:eastAsia="Arial" w:hAnsi="Arial"/>
          <w:sz w:val="16"/>
          <w:szCs w:val="16"/>
          <w:color w:val="auto"/>
        </w:rPr>
        <w:t>This is the most efficient measurement of said indicator given that it eliminates the effects of seasonality between quarters.</w:t>
      </w:r>
    </w:p>
    <w:p>
      <w:pPr>
        <w:spacing w:after="0" w:line="200" w:lineRule="exact"/>
        <w:rPr>
          <w:sz w:val="20"/>
          <w:szCs w:val="20"/>
          <w:color w:val="auto"/>
        </w:rPr>
      </w:pPr>
    </w:p>
    <w:p>
      <w:pPr>
        <w:spacing w:after="0" w:line="208"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361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 xml:space="preserve">8.2. Efficiency ratio reported by subsidiary </w:t>
      </w:r>
      <w:r>
        <w:rPr>
          <w:rFonts w:ascii="Arial" w:cs="Arial" w:eastAsia="Arial" w:hAnsi="Arial"/>
          <w:sz w:val="29"/>
          <w:szCs w:val="29"/>
          <w:b w:val="1"/>
          <w:bCs w:val="1"/>
          <w:color w:val="auto"/>
          <w:vertAlign w:val="superscript"/>
        </w:rPr>
        <w:t>(1)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BCP</w:t>
            </w:r>
          </w:p>
        </w:tc>
        <w:tc>
          <w:tcPr>
            <w:tcW w:w="11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BCP Bolivia</w:t>
            </w:r>
          </w:p>
        </w:tc>
        <w:tc>
          <w:tcPr>
            <w:tcW w:w="340" w:type="dxa"/>
            <w:vAlign w:val="bottom"/>
            <w:vMerge w:val="restart"/>
          </w:tcPr>
          <w:p>
            <w:pPr>
              <w:spacing w:after="0"/>
              <w:rPr>
                <w:sz w:val="14"/>
                <w:szCs w:val="14"/>
                <w:color w:val="auto"/>
              </w:rPr>
            </w:pPr>
          </w:p>
        </w:tc>
        <w:tc>
          <w:tcPr>
            <w:tcW w:w="12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Mibanco Peru</w:t>
            </w:r>
          </w:p>
        </w:tc>
        <w:tc>
          <w:tcPr>
            <w:tcW w:w="340" w:type="dxa"/>
            <w:vAlign w:val="bottom"/>
            <w:vMerge w:val="restart"/>
          </w:tcPr>
          <w:p>
            <w:pPr>
              <w:spacing w:after="0"/>
              <w:rPr>
                <w:sz w:val="14"/>
                <w:szCs w:val="14"/>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Mibanco</w:t>
            </w:r>
          </w:p>
        </w:tc>
        <w:tc>
          <w:tcPr>
            <w:tcW w:w="1200" w:type="dxa"/>
            <w:vAlign w:val="bottom"/>
            <w:vMerge w:val="restart"/>
          </w:tcPr>
          <w:p>
            <w:pPr>
              <w:jc w:val="right"/>
              <w:ind w:right="290"/>
              <w:spacing w:after="0"/>
              <w:rPr>
                <w:sz w:val="20"/>
                <w:szCs w:val="20"/>
                <w:color w:val="auto"/>
              </w:rPr>
            </w:pPr>
            <w:r>
              <w:rPr>
                <w:rFonts w:ascii="Arial" w:cs="Arial" w:eastAsia="Arial" w:hAnsi="Arial"/>
                <w:sz w:val="14"/>
                <w:szCs w:val="14"/>
                <w:b w:val="1"/>
                <w:bCs w:val="1"/>
                <w:color w:val="auto"/>
              </w:rPr>
              <w:t>Pacifico</w:t>
            </w:r>
          </w:p>
        </w:tc>
        <w:tc>
          <w:tcPr>
            <w:tcW w:w="340" w:type="dxa"/>
            <w:vAlign w:val="bottom"/>
            <w:vMerge w:val="restart"/>
          </w:tcPr>
          <w:p>
            <w:pPr>
              <w:spacing w:after="0"/>
              <w:rPr>
                <w:sz w:val="14"/>
                <w:szCs w:val="14"/>
                <w:color w:val="auto"/>
              </w:rPr>
            </w:pPr>
          </w:p>
        </w:tc>
        <w:tc>
          <w:tcPr>
            <w:tcW w:w="12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Prima AFP</w:t>
            </w:r>
          </w:p>
        </w:tc>
        <w:tc>
          <w:tcPr>
            <w:tcW w:w="340" w:type="dxa"/>
            <w:vAlign w:val="bottom"/>
            <w:vMerge w:val="restart"/>
          </w:tcPr>
          <w:p>
            <w:pPr>
              <w:spacing w:after="0"/>
              <w:rPr>
                <w:sz w:val="14"/>
                <w:szCs w:val="14"/>
                <w:color w:val="auto"/>
              </w:rPr>
            </w:pPr>
          </w:p>
        </w:tc>
        <w:tc>
          <w:tcPr>
            <w:tcW w:w="6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0"/>
              </w:rPr>
              <w:t>Credicorp</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6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Stand-alone</w:t>
            </w:r>
          </w:p>
        </w:tc>
        <w:tc>
          <w:tcPr>
            <w:tcW w:w="3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vMerge w:val="continue"/>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Colombia</w:t>
            </w:r>
          </w:p>
        </w:tc>
        <w:tc>
          <w:tcPr>
            <w:tcW w:w="34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260" w:type="dxa"/>
            <w:vAlign w:val="bottom"/>
            <w:shd w:val="clear" w:color="auto" w:fill="CCEEFF"/>
          </w:tcPr>
          <w:p>
            <w:pPr>
              <w:jc w:val="center"/>
              <w:ind w:right="130"/>
              <w:spacing w:after="0" w:line="138" w:lineRule="exact"/>
              <w:rPr>
                <w:sz w:val="20"/>
                <w:szCs w:val="20"/>
                <w:color w:val="auto"/>
              </w:rPr>
            </w:pPr>
            <w:r>
              <w:rPr>
                <w:rFonts w:ascii="Arial" w:cs="Arial" w:eastAsia="Arial" w:hAnsi="Arial"/>
                <w:sz w:val="14"/>
                <w:szCs w:val="14"/>
                <w:b w:val="1"/>
                <w:bCs w:val="1"/>
                <w:color w:val="auto"/>
                <w:w w:val="87"/>
              </w:rPr>
              <w:t>3Q20</w:t>
            </w:r>
          </w:p>
        </w:tc>
        <w:tc>
          <w:tcPr>
            <w:tcW w:w="15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40.8%</w:t>
            </w:r>
          </w:p>
        </w:tc>
        <w:tc>
          <w:tcPr>
            <w:tcW w:w="15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51.2%</w:t>
            </w:r>
          </w:p>
        </w:tc>
        <w:tc>
          <w:tcPr>
            <w:tcW w:w="15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58.7%</w:t>
            </w:r>
          </w:p>
        </w:tc>
        <w:tc>
          <w:tcPr>
            <w:tcW w:w="15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113.3%</w:t>
            </w:r>
          </w:p>
        </w:tc>
        <w:tc>
          <w:tcPr>
            <w:tcW w:w="15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35.4%</w:t>
            </w:r>
          </w:p>
        </w:tc>
        <w:tc>
          <w:tcPr>
            <w:tcW w:w="15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49.3%</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144"/>
        </w:trPr>
        <w:tc>
          <w:tcPr>
            <w:tcW w:w="1260" w:type="dxa"/>
            <w:vAlign w:val="bottom"/>
          </w:tcPr>
          <w:p>
            <w:pPr>
              <w:jc w:val="center"/>
              <w:ind w:right="130"/>
              <w:spacing w:after="0" w:line="145" w:lineRule="exact"/>
              <w:rPr>
                <w:sz w:val="20"/>
                <w:szCs w:val="20"/>
                <w:color w:val="auto"/>
              </w:rPr>
            </w:pPr>
            <w:r>
              <w:rPr>
                <w:rFonts w:ascii="Arial" w:cs="Arial" w:eastAsia="Arial" w:hAnsi="Arial"/>
                <w:sz w:val="14"/>
                <w:szCs w:val="14"/>
                <w:b w:val="1"/>
                <w:bCs w:val="1"/>
                <w:color w:val="auto"/>
                <w:w w:val="87"/>
              </w:rPr>
              <w:t>2Q21</w:t>
            </w:r>
          </w:p>
        </w:tc>
        <w:tc>
          <w:tcPr>
            <w:tcW w:w="152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40.3%</w:t>
            </w:r>
          </w:p>
        </w:tc>
        <w:tc>
          <w:tcPr>
            <w:tcW w:w="152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58.9%</w:t>
            </w:r>
          </w:p>
        </w:tc>
        <w:tc>
          <w:tcPr>
            <w:tcW w:w="15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55.6%</w:t>
            </w:r>
          </w:p>
        </w:tc>
        <w:tc>
          <w:tcPr>
            <w:tcW w:w="15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74.1%</w:t>
            </w:r>
          </w:p>
        </w:tc>
        <w:tc>
          <w:tcPr>
            <w:tcW w:w="15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36.6%</w:t>
            </w:r>
          </w:p>
        </w:tc>
        <w:tc>
          <w:tcPr>
            <w:tcW w:w="15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44.9%</w:t>
            </w:r>
          </w:p>
        </w:tc>
        <w:tc>
          <w:tcPr>
            <w:tcW w:w="78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158"/>
        </w:trPr>
        <w:tc>
          <w:tcPr>
            <w:tcW w:w="1260" w:type="dxa"/>
            <w:vAlign w:val="bottom"/>
            <w:shd w:val="clear" w:color="auto" w:fill="CCEEFF"/>
          </w:tcPr>
          <w:p>
            <w:pPr>
              <w:jc w:val="center"/>
              <w:ind w:right="130"/>
              <w:spacing w:after="0" w:line="157" w:lineRule="exact"/>
              <w:rPr>
                <w:sz w:val="20"/>
                <w:szCs w:val="20"/>
                <w:color w:val="auto"/>
              </w:rPr>
            </w:pPr>
            <w:r>
              <w:rPr>
                <w:rFonts w:ascii="Arial" w:cs="Arial" w:eastAsia="Arial" w:hAnsi="Arial"/>
                <w:sz w:val="14"/>
                <w:szCs w:val="14"/>
                <w:b w:val="1"/>
                <w:bCs w:val="1"/>
                <w:color w:val="auto"/>
                <w:w w:val="87"/>
              </w:rPr>
              <w:t>3Q21</w:t>
            </w:r>
          </w:p>
        </w:tc>
        <w:tc>
          <w:tcPr>
            <w:tcW w:w="152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45.3%</w:t>
            </w:r>
          </w:p>
        </w:tc>
        <w:tc>
          <w:tcPr>
            <w:tcW w:w="152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53.0%</w:t>
            </w:r>
          </w:p>
        </w:tc>
        <w:tc>
          <w:tcPr>
            <w:tcW w:w="154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49.7%</w:t>
            </w:r>
          </w:p>
        </w:tc>
        <w:tc>
          <w:tcPr>
            <w:tcW w:w="154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86.4%</w:t>
            </w:r>
          </w:p>
        </w:tc>
        <w:tc>
          <w:tcPr>
            <w:tcW w:w="154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36.9%</w:t>
            </w:r>
          </w:p>
        </w:tc>
        <w:tc>
          <w:tcPr>
            <w:tcW w:w="154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51.1%</w:t>
            </w:r>
          </w:p>
        </w:tc>
        <w:tc>
          <w:tcPr>
            <w:tcW w:w="7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158"/>
        </w:trPr>
        <w:tc>
          <w:tcPr>
            <w:tcW w:w="1260" w:type="dxa"/>
            <w:vAlign w:val="bottom"/>
          </w:tcPr>
          <w:p>
            <w:pPr>
              <w:ind w:left="240"/>
              <w:spacing w:after="0" w:line="157" w:lineRule="exact"/>
              <w:rPr>
                <w:sz w:val="20"/>
                <w:szCs w:val="20"/>
                <w:color w:val="auto"/>
              </w:rPr>
            </w:pPr>
            <w:r>
              <w:rPr>
                <w:rFonts w:ascii="Arial" w:cs="Arial" w:eastAsia="Arial" w:hAnsi="Arial"/>
                <w:sz w:val="14"/>
                <w:szCs w:val="14"/>
                <w:b w:val="1"/>
                <w:bCs w:val="1"/>
                <w:color w:val="auto"/>
              </w:rPr>
              <w:t>Var. QoQ</w:t>
            </w:r>
          </w:p>
        </w:tc>
        <w:tc>
          <w:tcPr>
            <w:tcW w:w="1520" w:type="dxa"/>
            <w:vAlign w:val="bottom"/>
            <w:gridSpan w:val="2"/>
          </w:tcPr>
          <w:p>
            <w:pPr>
              <w:jc w:val="right"/>
              <w:ind w:right="340"/>
              <w:spacing w:after="0" w:line="157" w:lineRule="exact"/>
              <w:rPr>
                <w:sz w:val="20"/>
                <w:szCs w:val="20"/>
                <w:color w:val="auto"/>
              </w:rPr>
            </w:pPr>
            <w:r>
              <w:rPr>
                <w:rFonts w:ascii="Arial" w:cs="Arial" w:eastAsia="Arial" w:hAnsi="Arial"/>
                <w:sz w:val="14"/>
                <w:szCs w:val="14"/>
                <w:b w:val="1"/>
                <w:bCs w:val="1"/>
                <w:color w:val="auto"/>
              </w:rPr>
              <w:t>500 bps</w:t>
            </w:r>
          </w:p>
        </w:tc>
        <w:tc>
          <w:tcPr>
            <w:tcW w:w="1520" w:type="dxa"/>
            <w:vAlign w:val="bottom"/>
            <w:gridSpan w:val="2"/>
          </w:tcPr>
          <w:p>
            <w:pPr>
              <w:jc w:val="right"/>
              <w:ind w:right="320"/>
              <w:spacing w:after="0" w:line="157" w:lineRule="exact"/>
              <w:rPr>
                <w:sz w:val="20"/>
                <w:szCs w:val="20"/>
                <w:color w:val="auto"/>
              </w:rPr>
            </w:pPr>
            <w:r>
              <w:rPr>
                <w:rFonts w:ascii="Arial" w:cs="Arial" w:eastAsia="Arial" w:hAnsi="Arial"/>
                <w:sz w:val="14"/>
                <w:szCs w:val="14"/>
                <w:b w:val="1"/>
                <w:bCs w:val="1"/>
                <w:color w:val="auto"/>
              </w:rPr>
              <w:t>-590 bps</w:t>
            </w:r>
          </w:p>
        </w:tc>
        <w:tc>
          <w:tcPr>
            <w:tcW w:w="1540" w:type="dxa"/>
            <w:vAlign w:val="bottom"/>
            <w:gridSpan w:val="2"/>
          </w:tcPr>
          <w:p>
            <w:pPr>
              <w:jc w:val="right"/>
              <w:ind w:right="340"/>
              <w:spacing w:after="0" w:line="157" w:lineRule="exact"/>
              <w:rPr>
                <w:sz w:val="20"/>
                <w:szCs w:val="20"/>
                <w:color w:val="auto"/>
              </w:rPr>
            </w:pPr>
            <w:r>
              <w:rPr>
                <w:rFonts w:ascii="Arial" w:cs="Arial" w:eastAsia="Arial" w:hAnsi="Arial"/>
                <w:sz w:val="14"/>
                <w:szCs w:val="14"/>
                <w:b w:val="1"/>
                <w:bCs w:val="1"/>
                <w:color w:val="auto"/>
              </w:rPr>
              <w:t>-590 bps</w:t>
            </w:r>
          </w:p>
        </w:tc>
        <w:tc>
          <w:tcPr>
            <w:tcW w:w="1540" w:type="dxa"/>
            <w:vAlign w:val="bottom"/>
            <w:gridSpan w:val="2"/>
          </w:tcPr>
          <w:p>
            <w:pPr>
              <w:jc w:val="right"/>
              <w:ind w:right="340"/>
              <w:spacing w:after="0" w:line="157" w:lineRule="exact"/>
              <w:rPr>
                <w:sz w:val="20"/>
                <w:szCs w:val="20"/>
                <w:color w:val="auto"/>
              </w:rPr>
            </w:pPr>
            <w:r>
              <w:rPr>
                <w:rFonts w:ascii="Arial" w:cs="Arial" w:eastAsia="Arial" w:hAnsi="Arial"/>
                <w:sz w:val="14"/>
                <w:szCs w:val="14"/>
                <w:b w:val="1"/>
                <w:bCs w:val="1"/>
                <w:color w:val="auto"/>
              </w:rPr>
              <w:t>1230 bps</w:t>
            </w:r>
          </w:p>
        </w:tc>
        <w:tc>
          <w:tcPr>
            <w:tcW w:w="1540" w:type="dxa"/>
            <w:vAlign w:val="bottom"/>
            <w:gridSpan w:val="2"/>
          </w:tcPr>
          <w:p>
            <w:pPr>
              <w:jc w:val="right"/>
              <w:ind w:right="340"/>
              <w:spacing w:after="0" w:line="157" w:lineRule="exact"/>
              <w:rPr>
                <w:sz w:val="20"/>
                <w:szCs w:val="20"/>
                <w:color w:val="auto"/>
              </w:rPr>
            </w:pPr>
            <w:r>
              <w:rPr>
                <w:rFonts w:ascii="Arial" w:cs="Arial" w:eastAsia="Arial" w:hAnsi="Arial"/>
                <w:sz w:val="14"/>
                <w:szCs w:val="14"/>
                <w:b w:val="1"/>
                <w:bCs w:val="1"/>
                <w:color w:val="auto"/>
              </w:rPr>
              <w:t>30 bps</w:t>
            </w:r>
          </w:p>
        </w:tc>
        <w:tc>
          <w:tcPr>
            <w:tcW w:w="1540" w:type="dxa"/>
            <w:vAlign w:val="bottom"/>
            <w:gridSpan w:val="2"/>
          </w:tcPr>
          <w:p>
            <w:pPr>
              <w:jc w:val="right"/>
              <w:ind w:right="340"/>
              <w:spacing w:after="0" w:line="157" w:lineRule="exact"/>
              <w:rPr>
                <w:sz w:val="20"/>
                <w:szCs w:val="20"/>
                <w:color w:val="auto"/>
              </w:rPr>
            </w:pPr>
            <w:r>
              <w:rPr>
                <w:rFonts w:ascii="Arial" w:cs="Arial" w:eastAsia="Arial" w:hAnsi="Arial"/>
                <w:sz w:val="14"/>
                <w:szCs w:val="14"/>
                <w:b w:val="1"/>
                <w:bCs w:val="1"/>
                <w:color w:val="auto"/>
              </w:rPr>
              <w:t>620 bps</w:t>
            </w:r>
          </w:p>
        </w:tc>
        <w:tc>
          <w:tcPr>
            <w:tcW w:w="780" w:type="dxa"/>
            <w:vAlign w:val="bottom"/>
            <w:gridSpan w:val="2"/>
          </w:tcPr>
          <w:p>
            <w:pPr>
              <w:jc w:val="right"/>
              <w:ind w:right="120"/>
              <w:spacing w:after="0" w:line="157" w:lineRule="exact"/>
              <w:rPr>
                <w:sz w:val="20"/>
                <w:szCs w:val="20"/>
                <w:color w:val="auto"/>
              </w:rPr>
            </w:pPr>
            <w:r>
              <w:rPr>
                <w:rFonts w:ascii="Arial" w:cs="Arial" w:eastAsia="Arial" w:hAnsi="Arial"/>
                <w:sz w:val="14"/>
                <w:szCs w:val="14"/>
                <w:b w:val="1"/>
                <w:bCs w:val="1"/>
                <w:color w:val="auto"/>
              </w:rPr>
              <w:t>240 bps</w:t>
            </w:r>
          </w:p>
        </w:tc>
        <w:tc>
          <w:tcPr>
            <w:tcW w:w="0" w:type="dxa"/>
            <w:vAlign w:val="bottom"/>
          </w:tcPr>
          <w:p>
            <w:pPr>
              <w:spacing w:after="0"/>
              <w:rPr>
                <w:sz w:val="1"/>
                <w:szCs w:val="1"/>
                <w:color w:val="auto"/>
              </w:rPr>
            </w:pPr>
          </w:p>
        </w:tc>
      </w:tr>
      <w:tr>
        <w:trPr>
          <w:trHeight w:val="158"/>
        </w:trPr>
        <w:tc>
          <w:tcPr>
            <w:tcW w:w="126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b w:val="1"/>
                <w:bCs w:val="1"/>
                <w:color w:val="auto"/>
              </w:rPr>
              <w:t>Var. YoY</w:t>
            </w:r>
          </w:p>
        </w:tc>
        <w:tc>
          <w:tcPr>
            <w:tcW w:w="1520" w:type="dxa"/>
            <w:vAlign w:val="bottom"/>
            <w:gridSpan w:val="2"/>
            <w:shd w:val="clear" w:color="auto" w:fill="CCEEFF"/>
          </w:tcPr>
          <w:p>
            <w:pPr>
              <w:jc w:val="right"/>
              <w:ind w:right="340"/>
              <w:spacing w:after="0" w:line="157" w:lineRule="exact"/>
              <w:rPr>
                <w:sz w:val="20"/>
                <w:szCs w:val="20"/>
                <w:color w:val="auto"/>
              </w:rPr>
            </w:pPr>
            <w:r>
              <w:rPr>
                <w:rFonts w:ascii="Arial" w:cs="Arial" w:eastAsia="Arial" w:hAnsi="Arial"/>
                <w:sz w:val="14"/>
                <w:szCs w:val="14"/>
                <w:b w:val="1"/>
                <w:bCs w:val="1"/>
                <w:color w:val="auto"/>
              </w:rPr>
              <w:t>450 bps</w:t>
            </w:r>
          </w:p>
        </w:tc>
        <w:tc>
          <w:tcPr>
            <w:tcW w:w="1520" w:type="dxa"/>
            <w:vAlign w:val="bottom"/>
            <w:gridSpan w:val="2"/>
            <w:shd w:val="clear" w:color="auto" w:fill="CCEEFF"/>
          </w:tcPr>
          <w:p>
            <w:pPr>
              <w:jc w:val="right"/>
              <w:ind w:right="320"/>
              <w:spacing w:after="0" w:line="157" w:lineRule="exact"/>
              <w:rPr>
                <w:sz w:val="20"/>
                <w:szCs w:val="20"/>
                <w:color w:val="auto"/>
              </w:rPr>
            </w:pPr>
            <w:r>
              <w:rPr>
                <w:rFonts w:ascii="Arial" w:cs="Arial" w:eastAsia="Arial" w:hAnsi="Arial"/>
                <w:sz w:val="14"/>
                <w:szCs w:val="14"/>
                <w:b w:val="1"/>
                <w:bCs w:val="1"/>
                <w:color w:val="auto"/>
              </w:rPr>
              <w:t>180 bps</w:t>
            </w:r>
          </w:p>
        </w:tc>
        <w:tc>
          <w:tcPr>
            <w:tcW w:w="1540" w:type="dxa"/>
            <w:vAlign w:val="bottom"/>
            <w:gridSpan w:val="2"/>
            <w:shd w:val="clear" w:color="auto" w:fill="CCEEFF"/>
          </w:tcPr>
          <w:p>
            <w:pPr>
              <w:jc w:val="right"/>
              <w:ind w:right="340"/>
              <w:spacing w:after="0" w:line="157" w:lineRule="exact"/>
              <w:rPr>
                <w:sz w:val="20"/>
                <w:szCs w:val="20"/>
                <w:color w:val="auto"/>
              </w:rPr>
            </w:pPr>
            <w:r>
              <w:rPr>
                <w:rFonts w:ascii="Arial" w:cs="Arial" w:eastAsia="Arial" w:hAnsi="Arial"/>
                <w:sz w:val="14"/>
                <w:szCs w:val="14"/>
                <w:b w:val="1"/>
                <w:bCs w:val="1"/>
                <w:color w:val="auto"/>
              </w:rPr>
              <w:t>-900 bps</w:t>
            </w:r>
          </w:p>
        </w:tc>
        <w:tc>
          <w:tcPr>
            <w:tcW w:w="1540" w:type="dxa"/>
            <w:vAlign w:val="bottom"/>
            <w:gridSpan w:val="2"/>
            <w:shd w:val="clear" w:color="auto" w:fill="CCEEFF"/>
          </w:tcPr>
          <w:p>
            <w:pPr>
              <w:jc w:val="right"/>
              <w:ind w:right="340"/>
              <w:spacing w:after="0" w:line="157" w:lineRule="exact"/>
              <w:rPr>
                <w:sz w:val="20"/>
                <w:szCs w:val="20"/>
                <w:color w:val="auto"/>
              </w:rPr>
            </w:pPr>
            <w:r>
              <w:rPr>
                <w:rFonts w:ascii="Arial" w:cs="Arial" w:eastAsia="Arial" w:hAnsi="Arial"/>
                <w:sz w:val="14"/>
                <w:szCs w:val="14"/>
                <w:b w:val="1"/>
                <w:bCs w:val="1"/>
                <w:color w:val="auto"/>
              </w:rPr>
              <w:t>-2690 bps</w:t>
            </w:r>
          </w:p>
        </w:tc>
        <w:tc>
          <w:tcPr>
            <w:tcW w:w="1540" w:type="dxa"/>
            <w:vAlign w:val="bottom"/>
            <w:gridSpan w:val="2"/>
            <w:shd w:val="clear" w:color="auto" w:fill="CCEEFF"/>
          </w:tcPr>
          <w:p>
            <w:pPr>
              <w:jc w:val="right"/>
              <w:ind w:right="340"/>
              <w:spacing w:after="0" w:line="157" w:lineRule="exact"/>
              <w:rPr>
                <w:sz w:val="20"/>
                <w:szCs w:val="20"/>
                <w:color w:val="auto"/>
              </w:rPr>
            </w:pPr>
            <w:r>
              <w:rPr>
                <w:rFonts w:ascii="Arial" w:cs="Arial" w:eastAsia="Arial" w:hAnsi="Arial"/>
                <w:sz w:val="14"/>
                <w:szCs w:val="14"/>
                <w:b w:val="1"/>
                <w:bCs w:val="1"/>
                <w:color w:val="auto"/>
              </w:rPr>
              <w:t>150 bps</w:t>
            </w:r>
          </w:p>
        </w:tc>
        <w:tc>
          <w:tcPr>
            <w:tcW w:w="1540" w:type="dxa"/>
            <w:vAlign w:val="bottom"/>
            <w:gridSpan w:val="2"/>
            <w:shd w:val="clear" w:color="auto" w:fill="CCEEFF"/>
          </w:tcPr>
          <w:p>
            <w:pPr>
              <w:jc w:val="right"/>
              <w:ind w:right="340"/>
              <w:spacing w:after="0" w:line="157" w:lineRule="exact"/>
              <w:rPr>
                <w:sz w:val="20"/>
                <w:szCs w:val="20"/>
                <w:color w:val="auto"/>
              </w:rPr>
            </w:pPr>
            <w:r>
              <w:rPr>
                <w:rFonts w:ascii="Arial" w:cs="Arial" w:eastAsia="Arial" w:hAnsi="Arial"/>
                <w:sz w:val="14"/>
                <w:szCs w:val="14"/>
                <w:b w:val="1"/>
                <w:bCs w:val="1"/>
                <w:color w:val="auto"/>
              </w:rPr>
              <w:t>180 bps</w:t>
            </w:r>
          </w:p>
        </w:tc>
        <w:tc>
          <w:tcPr>
            <w:tcW w:w="78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b w:val="1"/>
                <w:bCs w:val="1"/>
                <w:color w:val="auto"/>
              </w:rPr>
              <w:t>110 bps</w:t>
            </w:r>
          </w:p>
        </w:tc>
        <w:tc>
          <w:tcPr>
            <w:tcW w:w="0" w:type="dxa"/>
            <w:vAlign w:val="bottom"/>
          </w:tcPr>
          <w:p>
            <w:pPr>
              <w:spacing w:after="0"/>
              <w:rPr>
                <w:sz w:val="1"/>
                <w:szCs w:val="1"/>
                <w:color w:val="auto"/>
              </w:rPr>
            </w:pPr>
          </w:p>
        </w:tc>
      </w:tr>
      <w:tr>
        <w:trPr>
          <w:trHeight w:val="144"/>
        </w:trPr>
        <w:tc>
          <w:tcPr>
            <w:tcW w:w="1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shd w:val="clear" w:color="auto" w:fill="CCEEFF"/>
          </w:tcPr>
          <w:p>
            <w:pPr>
              <w:jc w:val="center"/>
              <w:ind w:right="130"/>
              <w:spacing w:after="0" w:line="145" w:lineRule="exact"/>
              <w:rPr>
                <w:sz w:val="20"/>
                <w:szCs w:val="20"/>
                <w:color w:val="auto"/>
              </w:rPr>
            </w:pPr>
            <w:r>
              <w:rPr>
                <w:rFonts w:ascii="Arial" w:cs="Arial" w:eastAsia="Arial" w:hAnsi="Arial"/>
                <w:sz w:val="14"/>
                <w:szCs w:val="14"/>
                <w:b w:val="1"/>
                <w:bCs w:val="1"/>
                <w:color w:val="auto"/>
                <w:w w:val="96"/>
              </w:rPr>
              <w:t>9M - 20</w:t>
            </w:r>
          </w:p>
        </w:tc>
        <w:tc>
          <w:tcPr>
            <w:tcW w:w="152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40.8%</w:t>
            </w:r>
          </w:p>
        </w:tc>
        <w:tc>
          <w:tcPr>
            <w:tcW w:w="152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52.9%</w:t>
            </w:r>
          </w:p>
        </w:tc>
        <w:tc>
          <w:tcPr>
            <w:tcW w:w="154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65.2%</w:t>
            </w:r>
          </w:p>
        </w:tc>
        <w:tc>
          <w:tcPr>
            <w:tcW w:w="154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98.4%</w:t>
            </w:r>
          </w:p>
        </w:tc>
        <w:tc>
          <w:tcPr>
            <w:tcW w:w="154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38.7%</w:t>
            </w:r>
          </w:p>
        </w:tc>
        <w:tc>
          <w:tcPr>
            <w:tcW w:w="154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47.9%</w:t>
            </w:r>
          </w:p>
        </w:tc>
        <w:tc>
          <w:tcPr>
            <w:tcW w:w="7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135"/>
        </w:trPr>
        <w:tc>
          <w:tcPr>
            <w:tcW w:w="1260" w:type="dxa"/>
            <w:vAlign w:val="bottom"/>
          </w:tcPr>
          <w:p>
            <w:pPr>
              <w:jc w:val="center"/>
              <w:ind w:right="130"/>
              <w:spacing w:after="0" w:line="135" w:lineRule="exact"/>
              <w:rPr>
                <w:sz w:val="20"/>
                <w:szCs w:val="20"/>
                <w:color w:val="auto"/>
              </w:rPr>
            </w:pPr>
            <w:r>
              <w:rPr>
                <w:rFonts w:ascii="Arial" w:cs="Arial" w:eastAsia="Arial" w:hAnsi="Arial"/>
                <w:sz w:val="14"/>
                <w:szCs w:val="14"/>
                <w:b w:val="1"/>
                <w:bCs w:val="1"/>
                <w:color w:val="auto"/>
                <w:w w:val="96"/>
              </w:rPr>
              <w:t>9M - 21</w:t>
            </w:r>
          </w:p>
        </w:tc>
        <w:tc>
          <w:tcPr>
            <w:tcW w:w="1520" w:type="dxa"/>
            <w:vAlign w:val="bottom"/>
            <w:gridSpan w:val="2"/>
          </w:tcPr>
          <w:p>
            <w:pPr>
              <w:jc w:val="right"/>
              <w:ind w:right="220"/>
              <w:spacing w:after="0" w:line="135" w:lineRule="exact"/>
              <w:rPr>
                <w:sz w:val="20"/>
                <w:szCs w:val="20"/>
                <w:color w:val="auto"/>
              </w:rPr>
            </w:pPr>
            <w:r>
              <w:rPr>
                <w:rFonts w:ascii="Arial" w:cs="Arial" w:eastAsia="Arial" w:hAnsi="Arial"/>
                <w:sz w:val="14"/>
                <w:szCs w:val="14"/>
                <w:color w:val="auto"/>
              </w:rPr>
              <w:t>42.0%</w:t>
            </w:r>
          </w:p>
        </w:tc>
        <w:tc>
          <w:tcPr>
            <w:tcW w:w="1520" w:type="dxa"/>
            <w:vAlign w:val="bottom"/>
            <w:gridSpan w:val="2"/>
          </w:tcPr>
          <w:p>
            <w:pPr>
              <w:jc w:val="right"/>
              <w:ind w:right="220"/>
              <w:spacing w:after="0" w:line="135" w:lineRule="exact"/>
              <w:rPr>
                <w:sz w:val="20"/>
                <w:szCs w:val="20"/>
                <w:color w:val="auto"/>
              </w:rPr>
            </w:pPr>
            <w:r>
              <w:rPr>
                <w:rFonts w:ascii="Arial" w:cs="Arial" w:eastAsia="Arial" w:hAnsi="Arial"/>
                <w:sz w:val="14"/>
                <w:szCs w:val="14"/>
                <w:color w:val="auto"/>
              </w:rPr>
              <w:t>56.9%</w:t>
            </w:r>
          </w:p>
        </w:tc>
        <w:tc>
          <w:tcPr>
            <w:tcW w:w="1540" w:type="dxa"/>
            <w:vAlign w:val="bottom"/>
            <w:gridSpan w:val="2"/>
          </w:tcPr>
          <w:p>
            <w:pPr>
              <w:jc w:val="right"/>
              <w:ind w:right="220"/>
              <w:spacing w:after="0" w:line="135" w:lineRule="exact"/>
              <w:rPr>
                <w:sz w:val="20"/>
                <w:szCs w:val="20"/>
                <w:color w:val="auto"/>
              </w:rPr>
            </w:pPr>
            <w:r>
              <w:rPr>
                <w:rFonts w:ascii="Arial" w:cs="Arial" w:eastAsia="Arial" w:hAnsi="Arial"/>
                <w:sz w:val="14"/>
                <w:szCs w:val="14"/>
                <w:color w:val="auto"/>
              </w:rPr>
              <w:t>55.4%</w:t>
            </w:r>
          </w:p>
        </w:tc>
        <w:tc>
          <w:tcPr>
            <w:tcW w:w="1540" w:type="dxa"/>
            <w:vAlign w:val="bottom"/>
            <w:gridSpan w:val="2"/>
          </w:tcPr>
          <w:p>
            <w:pPr>
              <w:jc w:val="right"/>
              <w:ind w:right="220"/>
              <w:spacing w:after="0" w:line="135" w:lineRule="exact"/>
              <w:rPr>
                <w:sz w:val="20"/>
                <w:szCs w:val="20"/>
                <w:color w:val="auto"/>
              </w:rPr>
            </w:pPr>
            <w:r>
              <w:rPr>
                <w:rFonts w:ascii="Arial" w:cs="Arial" w:eastAsia="Arial" w:hAnsi="Arial"/>
                <w:sz w:val="14"/>
                <w:szCs w:val="14"/>
                <w:color w:val="auto"/>
              </w:rPr>
              <w:t>79.9%</w:t>
            </w:r>
          </w:p>
        </w:tc>
        <w:tc>
          <w:tcPr>
            <w:tcW w:w="1540" w:type="dxa"/>
            <w:vAlign w:val="bottom"/>
            <w:gridSpan w:val="2"/>
          </w:tcPr>
          <w:p>
            <w:pPr>
              <w:jc w:val="right"/>
              <w:ind w:right="220"/>
              <w:spacing w:after="0" w:line="135" w:lineRule="exact"/>
              <w:rPr>
                <w:sz w:val="20"/>
                <w:szCs w:val="20"/>
                <w:color w:val="auto"/>
              </w:rPr>
            </w:pPr>
            <w:r>
              <w:rPr>
                <w:rFonts w:ascii="Arial" w:cs="Arial" w:eastAsia="Arial" w:hAnsi="Arial"/>
                <w:sz w:val="14"/>
                <w:szCs w:val="14"/>
                <w:color w:val="auto"/>
              </w:rPr>
              <w:t>37.0%</w:t>
            </w:r>
          </w:p>
        </w:tc>
        <w:tc>
          <w:tcPr>
            <w:tcW w:w="1540" w:type="dxa"/>
            <w:vAlign w:val="bottom"/>
            <w:gridSpan w:val="2"/>
          </w:tcPr>
          <w:p>
            <w:pPr>
              <w:jc w:val="right"/>
              <w:ind w:right="220"/>
              <w:spacing w:after="0" w:line="135" w:lineRule="exact"/>
              <w:rPr>
                <w:sz w:val="20"/>
                <w:szCs w:val="20"/>
                <w:color w:val="auto"/>
              </w:rPr>
            </w:pPr>
            <w:r>
              <w:rPr>
                <w:rFonts w:ascii="Arial" w:cs="Arial" w:eastAsia="Arial" w:hAnsi="Arial"/>
                <w:sz w:val="14"/>
                <w:szCs w:val="14"/>
                <w:color w:val="auto"/>
              </w:rPr>
              <w:t>47.5%</w:t>
            </w:r>
          </w:p>
        </w:tc>
        <w:tc>
          <w:tcPr>
            <w:tcW w:w="780" w:type="dxa"/>
            <w:vAlign w:val="bottom"/>
            <w:gridSpan w:val="2"/>
          </w:tcPr>
          <w:p>
            <w:pPr>
              <w:jc w:val="right"/>
              <w:spacing w:after="0" w:line="135" w:lineRule="exact"/>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160"/>
        </w:trPr>
        <w:tc>
          <w:tcPr>
            <w:tcW w:w="1260" w:type="dxa"/>
            <w:vAlign w:val="bottom"/>
          </w:tcPr>
          <w:p>
            <w:pPr>
              <w:ind w:left="240"/>
              <w:spacing w:after="0"/>
              <w:rPr>
                <w:sz w:val="20"/>
                <w:szCs w:val="20"/>
                <w:color w:val="auto"/>
              </w:rPr>
            </w:pPr>
            <w:r>
              <w:rPr>
                <w:rFonts w:ascii="Arial" w:cs="Arial" w:eastAsia="Arial" w:hAnsi="Arial"/>
                <w:sz w:val="14"/>
                <w:szCs w:val="14"/>
                <w:b w:val="1"/>
                <w:bCs w:val="1"/>
                <w:color w:val="auto"/>
              </w:rPr>
              <w:t>% change</w:t>
            </w:r>
          </w:p>
        </w:tc>
        <w:tc>
          <w:tcPr>
            <w:tcW w:w="15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120 bps</w:t>
            </w:r>
          </w:p>
        </w:tc>
        <w:tc>
          <w:tcPr>
            <w:tcW w:w="15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400 bps</w:t>
            </w: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-980 bps</w:t>
            </w: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-1850 bps</w:t>
            </w: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-170 bps</w:t>
            </w: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-40 bps</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-120 bps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36130" cy="914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6130" cy="914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9M - 21 / 9M - 20</w:t>
      </w:r>
    </w:p>
    <w:p>
      <w:pPr>
        <w:spacing w:after="0" w:line="188" w:lineRule="exact"/>
        <w:rPr>
          <w:sz w:val="20"/>
          <w:szCs w:val="20"/>
          <w:color w:val="auto"/>
        </w:rPr>
      </w:pPr>
    </w:p>
    <w:p>
      <w:pPr>
        <w:jc w:val="both"/>
        <w:ind w:left="640" w:hanging="320"/>
        <w:spacing w:after="0" w:line="252" w:lineRule="auto"/>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(Salaries and employees benefits + Administrative, general and tax expenses + Depreciation and amortization + Acquisition cost + Association in participation) / (Net interest income + Fee income + Net gain on foreign exchange transactions + Net gain from associates + Net gain on derivatives held for trading + Result on exchange differences + Net premiums earned).</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w:t>
      </w:r>
      <w:r>
        <w:rPr>
          <w:rFonts w:ascii="Arial" w:cs="Arial" w:eastAsia="Arial" w:hAnsi="Arial"/>
          <w:sz w:val="18"/>
          <w:szCs w:val="18"/>
          <w:color w:val="auto"/>
        </w:rPr>
        <w:t xml:space="preserve"> and </w:t>
      </w:r>
      <w:r>
        <w:rPr>
          <w:rFonts w:ascii="Arial" w:cs="Arial" w:eastAsia="Arial" w:hAnsi="Arial"/>
          <w:sz w:val="18"/>
          <w:szCs w:val="18"/>
          <w:b w:val="1"/>
          <w:bCs w:val="1"/>
          <w:color w:val="auto"/>
        </w:rPr>
        <w:t>YoY</w:t>
      </w:r>
      <w:r>
        <w:rPr>
          <w:rFonts w:ascii="Arial" w:cs="Arial" w:eastAsia="Arial" w:hAnsi="Arial"/>
          <w:sz w:val="18"/>
          <w:szCs w:val="18"/>
          <w:color w:val="auto"/>
        </w:rPr>
        <w:t xml:space="preserve"> analysis, the </w:t>
      </w:r>
      <w:r>
        <w:rPr>
          <w:rFonts w:ascii="Arial" w:cs="Arial" w:eastAsia="Arial" w:hAnsi="Arial"/>
          <w:sz w:val="18"/>
          <w:szCs w:val="18"/>
          <w:b w:val="1"/>
          <w:bCs w:val="1"/>
          <w:color w:val="auto"/>
        </w:rPr>
        <w:t>efficiency ratio</w:t>
      </w:r>
      <w:r>
        <w:rPr>
          <w:rFonts w:ascii="Arial" w:cs="Arial" w:eastAsia="Arial" w:hAnsi="Arial"/>
          <w:sz w:val="18"/>
          <w:szCs w:val="18"/>
          <w:color w:val="auto"/>
        </w:rPr>
        <w:t xml:space="preserve"> deteriorated due to an increase in expenses for digital transformation and for disruptive initiatives at </w:t>
      </w:r>
      <w:r>
        <w:rPr>
          <w:rFonts w:ascii="Arial" w:cs="Arial" w:eastAsia="Arial" w:hAnsi="Arial"/>
          <w:sz w:val="18"/>
          <w:szCs w:val="18"/>
          <w:b w:val="1"/>
          <w:bCs w:val="1"/>
          <w:color w:val="auto"/>
        </w:rPr>
        <w:t>BCP</w:t>
      </w:r>
      <w:r>
        <w:rPr>
          <w:rFonts w:ascii="Arial" w:cs="Arial" w:eastAsia="Arial" w:hAnsi="Arial"/>
          <w:sz w:val="18"/>
          <w:szCs w:val="18"/>
          <w:color w:val="auto"/>
        </w:rPr>
        <w:t xml:space="preserve"> </w:t>
      </w:r>
      <w:r>
        <w:rPr>
          <w:rFonts w:ascii="Arial" w:cs="Arial" w:eastAsia="Arial" w:hAnsi="Arial"/>
          <w:sz w:val="18"/>
          <w:szCs w:val="18"/>
          <w:b w:val="1"/>
          <w:bCs w:val="1"/>
          <w:color w:val="auto"/>
        </w:rPr>
        <w:t>Stand-alone</w:t>
      </w:r>
      <w:r>
        <w:rPr>
          <w:rFonts w:ascii="Arial" w:cs="Arial" w:eastAsia="Arial" w:hAnsi="Arial"/>
          <w:sz w:val="18"/>
          <w:szCs w:val="18"/>
          <w:color w:val="auto"/>
        </w:rPr>
        <w:t>. The improvement registered in Mibanco’s results, which were boosted by growth in structural loans and better funding structure, was insufficient</w:t>
      </w:r>
      <w:r>
        <w:rPr>
          <w:rFonts w:ascii="Arial" w:cs="Arial" w:eastAsia="Arial" w:hAnsi="Arial"/>
          <w:sz w:val="18"/>
          <w:szCs w:val="18"/>
          <w:b w:val="1"/>
          <w:bCs w:val="1"/>
          <w:color w:val="auto"/>
        </w:rPr>
        <w:t xml:space="preserve"> </w:t>
      </w:r>
      <w:r>
        <w:rPr>
          <w:rFonts w:ascii="Arial" w:cs="Arial" w:eastAsia="Arial" w:hAnsi="Arial"/>
          <w:sz w:val="18"/>
          <w:szCs w:val="18"/>
          <w:color w:val="auto"/>
        </w:rPr>
        <w:t>to offset the aforementioned increase.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YTD evolution of the efficiency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102475" cy="18256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2475"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 Others includes Grupo Credito, among other subsidiaries and consolidation eliminations.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YTD (9 months), </w:t>
      </w:r>
      <w:r>
        <w:rPr>
          <w:rFonts w:ascii="Arial" w:cs="Arial" w:eastAsia="Arial" w:hAnsi="Arial"/>
          <w:sz w:val="18"/>
          <w:szCs w:val="18"/>
          <w:color w:val="auto"/>
        </w:rPr>
        <w:t>the efficiency ratio improved due to:</w:t>
      </w:r>
    </w:p>
    <w:p>
      <w:pPr>
        <w:spacing w:after="0" w:line="213" w:lineRule="exact"/>
        <w:rPr>
          <w:sz w:val="20"/>
          <w:szCs w:val="20"/>
          <w:color w:val="auto"/>
        </w:rPr>
      </w:pPr>
    </w:p>
    <w:p>
      <w:pPr>
        <w:ind w:left="640" w:hanging="320"/>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Growth in interest income at </w:t>
      </w:r>
      <w:r>
        <w:rPr>
          <w:rFonts w:ascii="Arial" w:cs="Arial" w:eastAsia="Arial" w:hAnsi="Arial"/>
          <w:sz w:val="18"/>
          <w:szCs w:val="18"/>
          <w:b w:val="1"/>
          <w:bCs w:val="1"/>
          <w:color w:val="auto"/>
        </w:rPr>
        <w:t>Mibanc</w:t>
      </w:r>
      <w:r>
        <w:rPr>
          <w:rFonts w:ascii="Arial" w:cs="Arial" w:eastAsia="Arial" w:hAnsi="Arial"/>
          <w:sz w:val="18"/>
          <w:szCs w:val="18"/>
          <w:color w:val="auto"/>
        </w:rPr>
        <w:t>o due to an uptick in structural loan disbursements in 2Q21 and 3Q21.</w:t>
      </w:r>
    </w:p>
    <w:p>
      <w:pPr>
        <w:spacing w:after="0" w:line="213" w:lineRule="exact"/>
        <w:rPr>
          <w:rFonts w:ascii="Arial" w:cs="Arial" w:eastAsia="Arial" w:hAnsi="Arial"/>
          <w:sz w:val="18"/>
          <w:szCs w:val="18"/>
          <w:color w:val="auto"/>
        </w:rPr>
      </w:pPr>
    </w:p>
    <w:p>
      <w:pPr>
        <w:ind w:left="640" w:hanging="320"/>
        <w:spacing w:after="0" w:line="267"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Growth in premiums at </w:t>
      </w:r>
      <w:r>
        <w:rPr>
          <w:rFonts w:ascii="Arial" w:cs="Arial" w:eastAsia="Arial" w:hAnsi="Arial"/>
          <w:sz w:val="18"/>
          <w:szCs w:val="18"/>
          <w:b w:val="1"/>
          <w:bCs w:val="1"/>
          <w:color w:val="auto"/>
        </w:rPr>
        <w:t>Pacifico,</w:t>
      </w:r>
      <w:r>
        <w:rPr>
          <w:rFonts w:ascii="Arial" w:cs="Arial" w:eastAsia="Arial" w:hAnsi="Arial"/>
          <w:sz w:val="18"/>
          <w:szCs w:val="18"/>
          <w:color w:val="auto"/>
        </w:rPr>
        <w:t xml:space="preserve"> after the company won a larger tranche of the SISCO V tender, which contemplates a better premiums structure than SISCO IV; expansion was also fueled by an increase in health insurance policy renewals.</w:t>
      </w:r>
    </w:p>
    <w:p>
      <w:pPr>
        <w:spacing w:after="0" w:line="169" w:lineRule="exact"/>
        <w:rPr>
          <w:rFonts w:ascii="Arial" w:cs="Arial" w:eastAsia="Arial" w:hAnsi="Arial"/>
          <w:sz w:val="18"/>
          <w:szCs w:val="18"/>
          <w:color w:val="auto"/>
        </w:rPr>
      </w:pPr>
    </w:p>
    <w:p>
      <w:pPr>
        <w:ind w:left="640" w:hanging="320"/>
        <w:spacing w:after="0" w:line="267"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An increase in fee income from Investment </w:t>
      </w:r>
      <w:r>
        <w:rPr>
          <w:rFonts w:ascii="Arial" w:cs="Arial" w:eastAsia="Arial" w:hAnsi="Arial"/>
          <w:sz w:val="18"/>
          <w:szCs w:val="18"/>
          <w:b w:val="1"/>
          <w:bCs w:val="1"/>
          <w:color w:val="auto"/>
        </w:rPr>
        <w:t>Banking and Wealth Management</w:t>
      </w:r>
      <w:r>
        <w:rPr>
          <w:rFonts w:ascii="Arial" w:cs="Arial" w:eastAsia="Arial" w:hAnsi="Arial"/>
          <w:sz w:val="18"/>
          <w:szCs w:val="18"/>
          <w:color w:val="auto"/>
        </w:rPr>
        <w:t>, as a result of the increase in clients that entered international platforms through ASB services, mainly during 2Q21.</w:t>
      </w:r>
    </w:p>
    <w:p>
      <w:pPr>
        <w:spacing w:after="0" w:line="386"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572770</wp:posOffset>
            </wp:positionV>
            <wp:extent cx="7136130" cy="85032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6130" cy="8503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9. Regulatory capital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 Regulatory Capital at 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-119380</wp:posOffset>
            </wp:positionV>
            <wp:extent cx="2917825" cy="18510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917825" cy="1851025"/>
                    </a:xfrm>
                    <a:prstGeom prst="rect">
                      <a:avLst/>
                    </a:prstGeom>
                    <a:noFill/>
                  </pic:spPr>
                </pic:pic>
              </a:graphicData>
            </a:graphic>
          </wp:anchor>
        </w:drawing>
      </w:r>
    </w:p>
    <w:p>
      <w:pPr>
        <w:spacing w:after="0" w:line="199" w:lineRule="exact"/>
        <w:rPr>
          <w:sz w:val="20"/>
          <w:szCs w:val="20"/>
          <w:color w:val="auto"/>
        </w:rPr>
      </w:pPr>
    </w:p>
    <w:p>
      <w:pPr>
        <w:jc w:val="both"/>
        <w:ind w:right="5840"/>
        <w:spacing w:after="0" w:line="260" w:lineRule="auto"/>
        <w:rPr>
          <w:sz w:val="20"/>
          <w:szCs w:val="20"/>
          <w:color w:val="auto"/>
        </w:rPr>
      </w:pPr>
      <w:r>
        <w:rPr>
          <w:rFonts w:ascii="Arial" w:cs="Arial" w:eastAsia="Arial" w:hAnsi="Arial"/>
          <w:sz w:val="18"/>
          <w:szCs w:val="18"/>
          <w:color w:val="auto"/>
        </w:rPr>
        <w:t>The regulatory capital ratio stood at 1.53 at the end of 3Q21. The following dynamics were noteworthy:</w:t>
      </w:r>
    </w:p>
    <w:p>
      <w:pPr>
        <w:spacing w:after="0" w:line="182" w:lineRule="exact"/>
        <w:rPr>
          <w:sz w:val="20"/>
          <w:szCs w:val="20"/>
          <w:color w:val="auto"/>
        </w:rPr>
      </w:pPr>
    </w:p>
    <w:p>
      <w:pPr>
        <w:jc w:val="both"/>
        <w:ind w:right="5840"/>
        <w:spacing w:after="0" w:line="252" w:lineRule="auto"/>
        <w:rPr>
          <w:sz w:val="20"/>
          <w:szCs w:val="20"/>
          <w:color w:val="auto"/>
        </w:rPr>
      </w:pPr>
      <w:r>
        <w:rPr>
          <w:rFonts w:ascii="Arial" w:cs="Arial" w:eastAsia="Arial" w:hAnsi="Arial"/>
          <w:sz w:val="18"/>
          <w:szCs w:val="18"/>
          <w:color w:val="auto"/>
        </w:rPr>
        <w:t>In the QoQ analysis, the regulatory capital ratio fell slightly, driven by a +4.7% QoQ increase in Credicorp’s Regulatory Capital Requirement, which was mainly attributable to BCP Stand-alone.</w:t>
      </w:r>
    </w:p>
    <w:p>
      <w:pPr>
        <w:spacing w:after="0" w:line="188" w:lineRule="exact"/>
        <w:rPr>
          <w:sz w:val="20"/>
          <w:szCs w:val="20"/>
          <w:color w:val="auto"/>
        </w:rPr>
      </w:pPr>
    </w:p>
    <w:p>
      <w:pPr>
        <w:jc w:val="both"/>
        <w:ind w:right="5840"/>
        <w:spacing w:after="0" w:line="249" w:lineRule="auto"/>
        <w:rPr>
          <w:sz w:val="20"/>
          <w:szCs w:val="20"/>
          <w:color w:val="auto"/>
        </w:rPr>
      </w:pPr>
      <w:r>
        <w:rPr>
          <w:rFonts w:ascii="Arial" w:cs="Arial" w:eastAsia="Arial" w:hAnsi="Arial"/>
          <w:sz w:val="18"/>
          <w:szCs w:val="18"/>
          <w:color w:val="auto"/>
        </w:rPr>
        <w:t>It is important to note that the Regulatory Capital level remained relatively constant given that the effect of the dividend declaration in the month of August was largely offset by growth in subordinated debt balance (which was attributable to the exchange rate effect).</w:t>
      </w:r>
    </w:p>
    <w:p>
      <w:pPr>
        <w:spacing w:after="0" w:line="200" w:lineRule="exact"/>
        <w:rPr>
          <w:sz w:val="20"/>
          <w:szCs w:val="20"/>
          <w:color w:val="auto"/>
        </w:rPr>
      </w:pPr>
    </w:p>
    <w:p>
      <w:pPr>
        <w:spacing w:after="0" w:line="228"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 the YoY analysis, the capital ratio registered a slight increase, which was attributable to (i) the exchange rate effect at the subordinated debt level and, (ii) a base effect, associated with losses incurred in 3Q20.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9.2. Regulatory Capital BCP Individual – Peru GAAP</w:t>
      </w:r>
    </w:p>
    <w:p>
      <w:pPr>
        <w:spacing w:after="0" w:line="219"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At the end of 3Q21, the Tier 1 and BIS ratios at BCP Stand-alone registered</w:t>
      </w:r>
    </w:p>
    <w:p>
      <w:pPr>
        <w:spacing w:after="0" w:line="38"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a  decline  and  stood  at  10.00%  and  15.16%  respectively.  This  was</w:t>
      </w:r>
    </w:p>
    <w:p>
      <w:pPr>
        <w:spacing w:after="0" w:line="26"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attributable to growth of +3.0% QoQ in RWAs, which was driven by (i) an</w:t>
      </w:r>
    </w:p>
    <w:p>
      <w:pPr>
        <w:spacing w:after="0" w:line="2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uptick in the exchange rate and to a lesser extent, (ii) an increase in</w:t>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structural loans.</w:t>
      </w:r>
    </w:p>
    <w:p>
      <w:pPr>
        <w:spacing w:after="0" w:line="20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The decrease in the BIS ratio was partially offset by +1.8% growth in</w:t>
      </w:r>
    </w:p>
    <w:p>
      <w:pPr>
        <w:spacing w:after="0" w:line="38"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regulatory capital, which was attributable to an increase in subordinated debt</w:t>
      </w:r>
    </w:p>
    <w:p>
      <w:pPr>
        <w:spacing w:after="0" w:line="3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due to an uptick in the exchange rate.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60" w:hanging="255"/>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Regulatory Tier 1 Capital / Total Risk-weighted assets</w:t>
      </w:r>
    </w:p>
    <w:p>
      <w:pPr>
        <w:spacing w:after="0" w:line="14" w:lineRule="exact"/>
        <w:rPr>
          <w:rFonts w:ascii="Arial" w:cs="Arial" w:eastAsia="Arial" w:hAnsi="Arial"/>
          <w:sz w:val="18"/>
          <w:szCs w:val="18"/>
          <w:color w:val="auto"/>
        </w:rPr>
      </w:pPr>
    </w:p>
    <w:p>
      <w:pPr>
        <w:ind w:left="240" w:hanging="235"/>
        <w:spacing w:after="0"/>
        <w:tabs>
          <w:tab w:leader="none" w:pos="2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Total Regulatory Capital / Total Risk-weighted assets (legal minimum = 10% since July 2011).</w:t>
      </w:r>
    </w:p>
    <w:p>
      <w:pPr>
        <w:spacing w:after="0" w:line="20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YoY evolution shows the same trend, which reflects a decrease in the BIS ratio and in the Tier 1 ratio in comparison to the levels reported in 3Q20. Both ratios were affected by 8.2% growth in RWAs. These reductions were partially offset by an increase in capital levels and in reserves, which was driven by an improvement in BCP’s results. The BIS ratio fell to a less significant degree than Tier 1 due to an increase in subordinated debt through a liability management transaction at BCP Stand-alone.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Equity Tier 1 Ratio–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085965" cy="15506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85965" cy="155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 Figures at Jun21 differ from previously reported.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 Includes investments in BCP Bolivia and other subsidiaries.</w:t>
      </w:r>
    </w:p>
    <w:p>
      <w:pPr>
        <w:spacing w:after="0" w:line="20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Finally, the Common Equity Tier 1 ratio (CET 1), which is considered the most rigorous indicator of capitalization levels, posted a drop of -13bps QoQ to stand at 11.10% at the end of 3Q21. This evolution was primarily attributable to an increase in RWAs (+3.3% QoQ). Growth in RWAs was driven by an uptick in the exchange rate, which subsequently affected the loan portfolio and, to a lesser extent, by a decrease in unrealized gains. These effects were partially offset by an improvement in retained earnings.</w:t>
      </w:r>
    </w:p>
    <w:p>
      <w:pPr>
        <w:spacing w:after="0" w:line="200" w:lineRule="exact"/>
        <w:rPr>
          <w:sz w:val="20"/>
          <w:szCs w:val="20"/>
          <w:color w:val="auto"/>
        </w:rPr>
      </w:pPr>
    </w:p>
    <w:p>
      <w:pPr>
        <w:spacing w:after="0" w:line="20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1361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1303" w:right="339" w:bottom="746" w:gutter="0" w:footer="0" w:header="0"/>
        </w:sectPr>
      </w:pPr>
    </w:p>
    <w:bookmarkStart w:id="53" w:name="page54"/>
    <w:bookmarkEnd w:id="53"/>
    <w:p>
      <w:pPr>
        <w:spacing w:after="0" w:line="260" w:lineRule="auto"/>
        <w:rPr>
          <w:sz w:val="20"/>
          <w:szCs w:val="20"/>
          <w:color w:val="auto"/>
        </w:rPr>
      </w:pPr>
      <w:r>
        <w:rPr>
          <w:rFonts w:ascii="Arial" w:cs="Arial" w:eastAsia="Arial" w:hAnsi="Arial"/>
          <w:sz w:val="18"/>
          <w:szCs w:val="18"/>
          <w:color w:val="auto"/>
        </w:rPr>
        <w:t>In the YoY analysis, the CET1 ratio fell -35bps due to a +7.2% increase in RWAs and to a decrease in unrealized gains. These effects were partially offset by an increase in retained earnings and, to a lesser extent, to growth in the levels of capital and reserves.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9.3. Regulatory Capital Mibanco – Perú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280670</wp:posOffset>
            </wp:positionV>
            <wp:extent cx="2917825" cy="14757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917825" cy="147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5840"/>
        <w:spacing w:after="0" w:line="286" w:lineRule="auto"/>
        <w:rPr>
          <w:sz w:val="20"/>
          <w:szCs w:val="20"/>
          <w:color w:val="auto"/>
        </w:rPr>
      </w:pPr>
      <w:r>
        <w:rPr>
          <w:rFonts w:ascii="Arial" w:cs="Arial" w:eastAsia="Arial" w:hAnsi="Arial"/>
          <w:sz w:val="16"/>
          <w:szCs w:val="16"/>
          <w:color w:val="auto"/>
        </w:rPr>
        <w:t>At the end of 3Q21, the Tier 1 and BIS ratios at Mibanco stood at 14.30% and 16.79%, which represented a QoQ drop of -36bps and -43bps respectively. This evolution was attributable to growth in RWAs, which was in turn driven by loan expansion. The aforementioned was partially attenuated by an increase in share earnings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60" w:hanging="255"/>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Regulatory Tier 1 Capital / Total Risk-weighted assets</w:t>
      </w:r>
    </w:p>
    <w:p>
      <w:pPr>
        <w:spacing w:after="0" w:line="14" w:lineRule="exact"/>
        <w:rPr>
          <w:rFonts w:ascii="Arial" w:cs="Arial" w:eastAsia="Arial" w:hAnsi="Arial"/>
          <w:sz w:val="18"/>
          <w:szCs w:val="18"/>
          <w:color w:val="auto"/>
        </w:rPr>
      </w:pPr>
    </w:p>
    <w:p>
      <w:pPr>
        <w:ind w:left="260" w:hanging="255"/>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Total Regulatory Capital / Total Risk-weighted assets (legal minimum = 10% since July 2011).</w:t>
      </w:r>
    </w:p>
    <w:p>
      <w:pPr>
        <w:spacing w:after="0" w:line="20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YoY evolution reflects a decrease of -117bps and -90bps in the Tier 1 and BIS ratios respectively. Both variations were attributable to a +13.9% increase in RWAs, which was driven by the same factors that impacted the QoQ evolution. The drop in the Tier 1 Ratio was partially attenuated by growth in Tier 1 Regulatory Capital (+2.6%) while the decrease in BIS ratio was mitigated by growth in Total Regulatory Capital (+2.6%). Growth in both of these capital ratios was attributable to an increase in share earnings agreements.</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Finally, the Common Equity Tier 1 ratio (CET 1), which is considered the most rigorous indicator of capitalization levels, registered a decrease of -11bps QoQ and stood at 15.15% in 3Q21. This decrease was primarily due to growth of +6.1% in RWAs, which was attributable to loan expansion. This effect was partially mitigated by an increase in Common Equity Tier 1, which was driven by growth in retained earnings (+42.9%). In the YoY analysis, the CET1 ratio fell -107bps due to the effect described in the QoQ analysis.</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572135</wp:posOffset>
            </wp:positionV>
            <wp:extent cx="7136130" cy="81864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6130" cy="8186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28"/>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10. Digital Transformation at BCP Stand-alone</w:t>
            </w:r>
          </w:p>
        </w:tc>
        <w:tc>
          <w:tcPr>
            <w:tcW w:w="2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20"/>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10.1. Client digitalization in Personal Banking</w:t>
            </w: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81"/>
        </w:trPr>
        <w:tc>
          <w:tcPr>
            <w:tcW w:w="6720" w:type="dxa"/>
            <w:vAlign w:val="bottom"/>
            <w:gridSpan w:val="2"/>
          </w:tcPr>
          <w:p>
            <w:pPr>
              <w:ind w:left="1580"/>
              <w:spacing w:after="0"/>
              <w:rPr>
                <w:sz w:val="20"/>
                <w:szCs w:val="20"/>
                <w:color w:val="auto"/>
              </w:rPr>
            </w:pPr>
            <w:r>
              <w:rPr>
                <w:rFonts w:ascii="Arial" w:cs="Arial" w:eastAsia="Arial" w:hAnsi="Arial"/>
                <w:sz w:val="18"/>
                <w:szCs w:val="18"/>
                <w:b w:val="1"/>
                <w:bCs w:val="1"/>
                <w:color w:val="auto"/>
              </w:rPr>
              <w:t xml:space="preserve">Evolution of digital clients </w:t>
            </w:r>
            <w:r>
              <w:rPr>
                <w:rFonts w:ascii="Arial" w:cs="Arial" w:eastAsia="Arial" w:hAnsi="Arial"/>
                <w:sz w:val="29"/>
                <w:szCs w:val="29"/>
                <w:b w:val="1"/>
                <w:bCs w:val="1"/>
                <w:color w:val="auto"/>
                <w:vertAlign w:val="superscript"/>
              </w:rPr>
              <w:t>(1)</w:t>
            </w:r>
          </w:p>
        </w:tc>
        <w:tc>
          <w:tcPr>
            <w:tcW w:w="3680" w:type="dxa"/>
            <w:vAlign w:val="bottom"/>
            <w:gridSpan w:val="6"/>
          </w:tcPr>
          <w:p>
            <w:pPr>
              <w:jc w:val="right"/>
              <w:ind w:right="172"/>
              <w:spacing w:after="0"/>
              <w:rPr>
                <w:sz w:val="20"/>
                <w:szCs w:val="20"/>
                <w:color w:val="auto"/>
              </w:rPr>
            </w:pPr>
            <w:r>
              <w:rPr>
                <w:rFonts w:ascii="Arial" w:cs="Arial" w:eastAsia="Arial" w:hAnsi="Arial"/>
                <w:sz w:val="18"/>
                <w:szCs w:val="18"/>
                <w:b w:val="1"/>
                <w:bCs w:val="1"/>
                <w:color w:val="auto"/>
                <w:w w:val="88"/>
              </w:rPr>
              <w:t xml:space="preserve">Composition of digital clients </w:t>
            </w:r>
            <w:r>
              <w:rPr>
                <w:rFonts w:ascii="Arial" w:cs="Arial" w:eastAsia="Arial" w:hAnsi="Arial"/>
                <w:sz w:val="29"/>
                <w:szCs w:val="29"/>
                <w:b w:val="1"/>
                <w:bCs w:val="1"/>
                <w:color w:val="auto"/>
                <w:w w:val="88"/>
                <w:vertAlign w:val="superscript"/>
              </w:rPr>
              <w:t>(1)</w:t>
            </w:r>
            <w:r>
              <w:rPr>
                <w:rFonts w:ascii="Arial" w:cs="Arial" w:eastAsia="Arial" w:hAnsi="Arial"/>
                <w:sz w:val="18"/>
                <w:szCs w:val="18"/>
                <w:b w:val="1"/>
                <w:bCs w:val="1"/>
                <w:color w:val="auto"/>
                <w:w w:val="88"/>
              </w:rPr>
              <w:t xml:space="preserve"> by segment</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12"/>
        </w:trPr>
        <w:tc>
          <w:tcPr>
            <w:tcW w:w="584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Group</w:t>
            </w:r>
          </w:p>
        </w:tc>
        <w:tc>
          <w:tcPr>
            <w:tcW w:w="200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3Q20</w:t>
            </w:r>
          </w:p>
        </w:tc>
        <w:tc>
          <w:tcPr>
            <w:tcW w:w="2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2Q21</w:t>
            </w:r>
          </w:p>
        </w:tc>
        <w:tc>
          <w:tcPr>
            <w:tcW w:w="20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3Q21</w:t>
            </w:r>
          </w:p>
        </w:tc>
        <w:tc>
          <w:tcPr>
            <w:tcW w:w="120" w:type="dxa"/>
            <w:vAlign w:val="bottom"/>
            <w:tcBorders>
              <w:bottom w:val="single" w:sz="8" w:color="CCEEFF"/>
            </w:tcBorders>
          </w:tcPr>
          <w:p>
            <w:pPr>
              <w:spacing w:after="0"/>
              <w:rPr>
                <w:sz w:val="24"/>
                <w:szCs w:val="24"/>
                <w:color w:val="auto"/>
              </w:rPr>
            </w:pPr>
          </w:p>
        </w:tc>
      </w:tr>
      <w:tr>
        <w:trPr>
          <w:trHeight w:val="203"/>
        </w:trPr>
        <w:tc>
          <w:tcPr>
            <w:tcW w:w="5840" w:type="dxa"/>
            <w:vAlign w:val="bottom"/>
          </w:tcPr>
          <w:p>
            <w:pPr>
              <w:spacing w:after="0"/>
              <w:rPr>
                <w:sz w:val="17"/>
                <w:szCs w:val="17"/>
                <w:color w:val="auto"/>
              </w:rPr>
            </w:pPr>
          </w:p>
        </w:tc>
        <w:tc>
          <w:tcPr>
            <w:tcW w:w="8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Enalta</w:t>
            </w:r>
          </w:p>
        </w:tc>
        <w:tc>
          <w:tcPr>
            <w:tcW w:w="2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85.49%</w:t>
            </w:r>
          </w:p>
        </w:tc>
        <w:tc>
          <w:tcPr>
            <w:tcW w:w="8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86.96%</w:t>
            </w:r>
          </w:p>
        </w:tc>
        <w:tc>
          <w:tcPr>
            <w:tcW w:w="8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87.08%</w:t>
            </w:r>
          </w:p>
        </w:tc>
      </w:tr>
      <w:tr>
        <w:trPr>
          <w:trHeight w:val="210"/>
        </w:trPr>
        <w:tc>
          <w:tcPr>
            <w:tcW w:w="584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Affluent</w:t>
            </w:r>
          </w:p>
        </w:tc>
        <w:tc>
          <w:tcPr>
            <w:tcW w:w="2840" w:type="dxa"/>
            <w:vAlign w:val="bottom"/>
            <w:gridSpan w:val="4"/>
          </w:tcPr>
          <w:p>
            <w:pPr>
              <w:jc w:val="right"/>
              <w:spacing w:after="0"/>
              <w:rPr>
                <w:sz w:val="20"/>
                <w:szCs w:val="20"/>
                <w:color w:val="auto"/>
              </w:rPr>
            </w:pPr>
            <w:r>
              <w:rPr>
                <w:rFonts w:ascii="Arial" w:cs="Arial" w:eastAsia="Arial" w:hAnsi="Arial"/>
                <w:sz w:val="18"/>
                <w:szCs w:val="18"/>
                <w:color w:val="auto"/>
              </w:rPr>
              <w:t>79.38%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81.23%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81.31%</w:t>
            </w:r>
          </w:p>
        </w:tc>
      </w:tr>
      <w:tr>
        <w:trPr>
          <w:trHeight w:val="223"/>
        </w:trPr>
        <w:tc>
          <w:tcPr>
            <w:tcW w:w="5840" w:type="dxa"/>
            <w:vAlign w:val="bottom"/>
          </w:tcPr>
          <w:p>
            <w:pPr>
              <w:spacing w:after="0"/>
              <w:rPr>
                <w:sz w:val="19"/>
                <w:szCs w:val="19"/>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36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51.97%    55.15%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55.82%</w:t>
            </w:r>
          </w:p>
        </w:tc>
      </w:tr>
      <w:tr>
        <w:trPr>
          <w:trHeight w:val="203"/>
        </w:trPr>
        <w:tc>
          <w:tcPr>
            <w:tcW w:w="5840" w:type="dxa"/>
            <w:vAlign w:val="bottom"/>
          </w:tcPr>
          <w:p>
            <w:pPr>
              <w:spacing w:after="0"/>
              <w:rPr>
                <w:sz w:val="17"/>
                <w:szCs w:val="17"/>
                <w:color w:val="auto"/>
              </w:rPr>
            </w:pPr>
          </w:p>
        </w:tc>
        <w:tc>
          <w:tcPr>
            <w:tcW w:w="880" w:type="dxa"/>
            <w:vAlign w:val="bottom"/>
          </w:tcPr>
          <w:p>
            <w:pPr>
              <w:spacing w:after="0" w:line="202" w:lineRule="exact"/>
              <w:rPr>
                <w:sz w:val="20"/>
                <w:szCs w:val="20"/>
                <w:color w:val="auto"/>
              </w:rPr>
            </w:pPr>
            <w:r>
              <w:rPr>
                <w:rFonts w:ascii="Arial" w:cs="Arial" w:eastAsia="Arial" w:hAnsi="Arial"/>
                <w:sz w:val="18"/>
                <w:szCs w:val="18"/>
                <w:color w:val="auto"/>
              </w:rPr>
              <w:t>Total</w:t>
            </w:r>
          </w:p>
        </w:tc>
        <w:tc>
          <w:tcPr>
            <w:tcW w:w="2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53.31</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74"/>
              </w:rPr>
              <w:t>%</w:t>
            </w: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56.33</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74"/>
              </w:rPr>
              <w:t>%</w:t>
            </w: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56.94</w:t>
            </w:r>
          </w:p>
        </w:tc>
        <w:tc>
          <w:tcPr>
            <w:tcW w:w="120" w:type="dxa"/>
            <w:vAlign w:val="bottom"/>
          </w:tcPr>
          <w:p>
            <w:pPr>
              <w:jc w:val="right"/>
              <w:spacing w:after="0"/>
              <w:rPr>
                <w:sz w:val="20"/>
                <w:szCs w:val="20"/>
                <w:color w:val="auto"/>
              </w:rPr>
            </w:pPr>
            <w:r>
              <w:rPr>
                <w:rFonts w:ascii="Arial" w:cs="Arial" w:eastAsia="Arial" w:hAnsi="Arial"/>
                <w:sz w:val="15"/>
                <w:szCs w:val="15"/>
                <w:color w:val="auto"/>
                <w:w w:val="74"/>
              </w:rPr>
              <w:t>%</w:t>
            </w:r>
          </w:p>
        </w:tc>
      </w:tr>
      <w:tr>
        <w:trPr>
          <w:trHeight w:val="20"/>
        </w:trPr>
        <w:tc>
          <w:tcPr>
            <w:tcW w:w="5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-708025</wp:posOffset>
            </wp:positionV>
            <wp:extent cx="2917825" cy="12090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917825"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60" w:hanging="255"/>
        <w:spacing w:after="0"/>
        <w:tabs>
          <w:tab w:leader="none" w:pos="2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Digital clients: Retail Baking clients that conduct 50% of their monetary transactions through digital channels or who purchased online products in the last</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12 months.</w:t>
      </w:r>
    </w:p>
    <w:p>
      <w:pPr>
        <w:spacing w:after="0" w:line="20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number of digital clients this quarter has followed the upward trend seen in previous quarters. In 3Q21, digital clients represented 56.94% of all Personal Banking clients. Through the digital education program, 55.82% of the clients in the Consumer segment have been digitalized. By driving migration to digital channels, we increase the convenience of services and improve customer experiences while optimizing our efficiency in the medium term. In this context, we are accelerating initiatives to improve digital functions and products.</w:t>
      </w:r>
    </w:p>
    <w:p>
      <w:pPr>
        <w:sectPr>
          <w:pgSz w:w="11900" w:h="16838" w:orient="portrait"/>
          <w:cols w:equalWidth="0" w:num="1">
            <w:col w:w="11240"/>
          </w:cols>
          <w:pgMar w:left="320" w:top="883" w:right="33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Migration of Transactions to digital channels</w:t>
      </w:r>
    </w:p>
    <w:p>
      <w:pPr>
        <w:spacing w:after="0" w:line="213"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Evolution of the monthly average transactions by channel</w:t>
      </w:r>
    </w:p>
    <w:p>
      <w:pPr>
        <w:spacing w:after="0" w:line="5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Expressed in millions of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135890</wp:posOffset>
            </wp:positionV>
            <wp:extent cx="2917825" cy="1525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917825" cy="1525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jc w:val="center"/>
        <w:ind w:right="300"/>
        <w:spacing w:after="0"/>
        <w:rPr>
          <w:sz w:val="20"/>
          <w:szCs w:val="20"/>
          <w:color w:val="auto"/>
        </w:rPr>
      </w:pPr>
      <w:r>
        <w:rPr>
          <w:rFonts w:ascii="Arial" w:cs="Arial" w:eastAsia="Arial" w:hAnsi="Arial"/>
          <w:sz w:val="15"/>
          <w:szCs w:val="15"/>
          <w:b w:val="1"/>
          <w:bCs w:val="1"/>
          <w:color w:val="auto"/>
        </w:rPr>
        <w:t>Evolution of the monthly averages for monetary transactions by</w:t>
      </w:r>
    </w:p>
    <w:p>
      <w:pPr>
        <w:spacing w:after="0" w:line="55"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channel and unit cost</w:t>
      </w:r>
    </w:p>
    <w:p>
      <w:pPr>
        <w:spacing w:after="0" w:line="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Expressed in millions of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135890</wp:posOffset>
            </wp:positionV>
            <wp:extent cx="2917825" cy="15087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917825" cy="1508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40" w:space="720"/>
            <w:col w:w="5080"/>
          </w:cols>
          <w:pgMar w:left="320" w:top="88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total monthly average transactions</w:t>
      </w:r>
      <w:r>
        <w:rPr>
          <w:rFonts w:ascii="Arial" w:cs="Arial" w:eastAsia="Arial" w:hAnsi="Arial"/>
          <w:sz w:val="18"/>
          <w:szCs w:val="18"/>
          <w:color w:val="auto"/>
        </w:rPr>
        <w:t xml:space="preserve"> grew 10.9%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QoQ and +44.4% YoY, which was driven primarily by monetary transactions (+18.8% QoQ and +60.2% YoY).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monetary transactions</w:t>
      </w:r>
      <w:r>
        <w:rPr>
          <w:rFonts w:ascii="Arial" w:cs="Arial" w:eastAsia="Arial" w:hAnsi="Arial"/>
          <w:sz w:val="18"/>
          <w:szCs w:val="18"/>
          <w:color w:val="auto"/>
        </w:rPr>
        <w:t xml:space="preserve"> was seen across channels.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 digital channels, growth in monthly average transactions was particularly noteworthy for:</w:t>
      </w:r>
    </w:p>
    <w:p>
      <w:pPr>
        <w:spacing w:after="0" w:line="207" w:lineRule="exact"/>
        <w:rPr>
          <w:sz w:val="20"/>
          <w:szCs w:val="20"/>
          <w:color w:val="auto"/>
        </w:rPr>
      </w:pPr>
    </w:p>
    <w:p>
      <w:pPr>
        <w:ind w:left="960" w:hanging="338"/>
        <w:spacing w:after="0"/>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Yape, </w:t>
      </w:r>
      <w:r>
        <w:rPr>
          <w:rFonts w:ascii="Arial" w:cs="Arial" w:eastAsia="Arial" w:hAnsi="Arial"/>
          <w:sz w:val="18"/>
          <w:szCs w:val="18"/>
          <w:color w:val="auto"/>
        </w:rPr>
        <w:t>which grew 32.6% QoQ and 220.7% YoY, (see section 10.5. Disruptive Initiatives – Yape.).</w:t>
      </w:r>
    </w:p>
    <w:p>
      <w:pPr>
        <w:spacing w:after="0" w:line="213" w:lineRule="exact"/>
        <w:rPr>
          <w:rFonts w:ascii="Arial" w:cs="Arial" w:eastAsia="Arial" w:hAnsi="Arial"/>
          <w:sz w:val="18"/>
          <w:szCs w:val="18"/>
          <w:color w:val="auto"/>
        </w:rPr>
      </w:pPr>
    </w:p>
    <w:p>
      <w:pPr>
        <w:ind w:left="960" w:hanging="338"/>
        <w:spacing w:after="0" w:line="267" w:lineRule="auto"/>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Mobile Banking </w:t>
      </w:r>
      <w:r>
        <w:rPr>
          <w:rFonts w:ascii="Arial" w:cs="Arial" w:eastAsia="Arial" w:hAnsi="Arial"/>
          <w:sz w:val="18"/>
          <w:szCs w:val="18"/>
          <w:color w:val="auto"/>
        </w:rPr>
        <w:t>grew 14.5% QoQ and 35.7% YoY, which reflected the significant upward trend in play since the beginning of the pandemic. A</w:t>
      </w:r>
      <w:r>
        <w:rPr>
          <w:rFonts w:ascii="Arial" w:cs="Arial" w:eastAsia="Arial" w:hAnsi="Arial"/>
          <w:sz w:val="18"/>
          <w:szCs w:val="18"/>
          <w:b w:val="1"/>
          <w:bCs w:val="1"/>
          <w:color w:val="auto"/>
        </w:rPr>
        <w:t xml:space="preserve"> </w:t>
      </w:r>
      <w:r>
        <w:rPr>
          <w:rFonts w:ascii="Arial" w:cs="Arial" w:eastAsia="Arial" w:hAnsi="Arial"/>
          <w:sz w:val="18"/>
          <w:szCs w:val="18"/>
          <w:color w:val="auto"/>
        </w:rPr>
        <w:t>new version of the mobile banking platform was launched in June to improve the customer experience.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In traditional channels, growth in monthly average transactions was significant in:</w:t>
      </w:r>
    </w:p>
    <w:p>
      <w:pPr>
        <w:spacing w:after="0" w:line="207" w:lineRule="exact"/>
        <w:rPr>
          <w:sz w:val="20"/>
          <w:szCs w:val="20"/>
          <w:color w:val="auto"/>
        </w:rPr>
      </w:pPr>
    </w:p>
    <w:p>
      <w:pPr>
        <w:ind w:left="960" w:hanging="338"/>
        <w:spacing w:after="0" w:line="267"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POS, </w:t>
      </w:r>
      <w:r>
        <w:rPr>
          <w:rFonts w:ascii="Arial" w:cs="Arial" w:eastAsia="Arial" w:hAnsi="Arial"/>
          <w:sz w:val="18"/>
          <w:szCs w:val="18"/>
          <w:color w:val="auto"/>
        </w:rPr>
        <w:t>which grew +23.3% QoQ and +94.8% YoY, hand-in-hand with economic reactivation and in consumption in business establishments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credit and debit cards.</w:t>
      </w:r>
    </w:p>
    <w:p>
      <w:pPr>
        <w:spacing w:after="0" w:line="169" w:lineRule="exact"/>
        <w:rPr>
          <w:rFonts w:ascii="Arial" w:cs="Arial" w:eastAsia="Arial" w:hAnsi="Arial"/>
          <w:sz w:val="18"/>
          <w:szCs w:val="18"/>
          <w:color w:val="auto"/>
        </w:rPr>
      </w:pPr>
    </w:p>
    <w:p>
      <w:pPr>
        <w:ind w:left="960" w:hanging="338"/>
        <w:spacing w:after="0" w:line="267"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Agentes BCP, </w:t>
      </w:r>
      <w:r>
        <w:rPr>
          <w:rFonts w:ascii="Arial" w:cs="Arial" w:eastAsia="Arial" w:hAnsi="Arial"/>
          <w:sz w:val="18"/>
          <w:szCs w:val="18"/>
          <w:color w:val="auto"/>
        </w:rPr>
        <w:t>which registered growth of +9.1% QoQ and +20.0% YoY, in line with the increase in the number of agents generated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strategy to optimize the physical network.</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type w:val="continuous"/>
        </w:sectPr>
      </w:pPr>
    </w:p>
    <w:bookmarkStart w:id="56" w:name="page57"/>
    <w:bookmarkEnd w:id="56"/>
    <w:p>
      <w:pPr>
        <w:spacing w:after="0" w:line="260" w:lineRule="auto"/>
        <w:rPr>
          <w:sz w:val="20"/>
          <w:szCs w:val="20"/>
          <w:color w:val="auto"/>
        </w:rPr>
      </w:pPr>
      <w:r>
        <w:rPr>
          <w:rFonts w:ascii="Arial" w:cs="Arial" w:eastAsia="Arial" w:hAnsi="Arial"/>
          <w:sz w:val="18"/>
          <w:szCs w:val="18"/>
          <w:color w:val="auto"/>
        </w:rPr>
        <w:t>The results of the migration of transactions to digital and cost-efficient channels, the monthly average transaction per unit cost fell from 0.28 in 3Q20 to 0.19 in 3Q21.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10.3. Self-service and Digital Sales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Self-service and digital sales, measured in units, continued to follow an upward trend.</w:t>
      </w:r>
    </w:p>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At the end of 3Q21, self-service sales represented 16% of total units sold, compared to 10% at the end of 3Q20, while digital sales represent 36% of total units sold, compared to 29% in 3Q20.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Banking Sales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2"/>
              </w:rPr>
              <w:t>Unit sold per Quarter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gridSpan w:val="3"/>
          </w:tcPr>
          <w:p>
            <w:pPr>
              <w:ind w:left="100"/>
              <w:spacing w:after="0"/>
              <w:rPr>
                <w:sz w:val="20"/>
                <w:szCs w:val="20"/>
                <w:color w:val="auto"/>
              </w:rPr>
            </w:pPr>
            <w:r>
              <w:rPr>
                <w:rFonts w:ascii="Arial" w:cs="Arial" w:eastAsia="Arial" w:hAnsi="Arial"/>
                <w:sz w:val="14"/>
                <w:szCs w:val="14"/>
                <w:b w:val="1"/>
                <w:bCs w:val="1"/>
                <w:color w:val="auto"/>
              </w:rPr>
              <w:t>% Change</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Unit sold YTD</w:t>
            </w: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r>
      <w:tr>
        <w:trPr>
          <w:trHeight w:val="151"/>
        </w:trPr>
        <w:tc>
          <w:tcPr>
            <w:tcW w:w="238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ind w:left="300"/>
              <w:spacing w:after="0" w:line="151" w:lineRule="exact"/>
              <w:rPr>
                <w:sz w:val="20"/>
                <w:szCs w:val="20"/>
                <w:color w:val="auto"/>
              </w:rPr>
            </w:pPr>
            <w:r>
              <w:rPr>
                <w:rFonts w:ascii="Arial" w:cs="Arial" w:eastAsia="Arial" w:hAnsi="Arial"/>
                <w:sz w:val="14"/>
                <w:szCs w:val="14"/>
                <w:b w:val="1"/>
                <w:bCs w:val="1"/>
                <w:color w:val="auto"/>
              </w:rPr>
              <w:t>3Q20</w:t>
            </w:r>
          </w:p>
        </w:tc>
        <w:tc>
          <w:tcPr>
            <w:tcW w:w="2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10"/>
              <w:spacing w:after="0" w:line="151" w:lineRule="exact"/>
              <w:rPr>
                <w:sz w:val="20"/>
                <w:szCs w:val="20"/>
                <w:color w:val="auto"/>
              </w:rPr>
            </w:pPr>
            <w:r>
              <w:rPr>
                <w:rFonts w:ascii="Arial" w:cs="Arial" w:eastAsia="Arial" w:hAnsi="Arial"/>
                <w:sz w:val="14"/>
                <w:szCs w:val="14"/>
                <w:b w:val="1"/>
                <w:bCs w:val="1"/>
                <w:color w:val="auto"/>
              </w:rPr>
              <w:t>2Q21</w:t>
            </w:r>
          </w:p>
        </w:tc>
        <w:tc>
          <w:tcPr>
            <w:tcW w:w="240" w:type="dxa"/>
            <w:vAlign w:val="bottom"/>
            <w:tcBorders>
              <w:top w:val="single" w:sz="8" w:color="auto"/>
              <w:bottom w:val="single" w:sz="8" w:color="CCEEFF"/>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30"/>
              <w:spacing w:after="0" w:line="151" w:lineRule="exact"/>
              <w:rPr>
                <w:sz w:val="20"/>
                <w:szCs w:val="20"/>
                <w:color w:val="auto"/>
              </w:rPr>
            </w:pPr>
            <w:r>
              <w:rPr>
                <w:rFonts w:ascii="Arial" w:cs="Arial" w:eastAsia="Arial" w:hAnsi="Arial"/>
                <w:sz w:val="14"/>
                <w:szCs w:val="14"/>
                <w:b w:val="1"/>
                <w:bCs w:val="1"/>
                <w:color w:val="auto"/>
              </w:rPr>
              <w:t>3Q21</w:t>
            </w:r>
          </w:p>
        </w:tc>
        <w:tc>
          <w:tcPr>
            <w:tcW w:w="20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ind w:left="320"/>
              <w:spacing w:after="0" w:line="151" w:lineRule="exact"/>
              <w:rPr>
                <w:sz w:val="20"/>
                <w:szCs w:val="20"/>
                <w:color w:val="auto"/>
              </w:rPr>
            </w:pPr>
            <w:r>
              <w:rPr>
                <w:rFonts w:ascii="Arial" w:cs="Arial" w:eastAsia="Arial" w:hAnsi="Arial"/>
                <w:sz w:val="14"/>
                <w:szCs w:val="14"/>
                <w:b w:val="1"/>
                <w:bCs w:val="1"/>
                <w:color w:val="auto"/>
                <w:w w:val="96"/>
              </w:rPr>
              <w:t>TaT</w:t>
            </w:r>
          </w:p>
        </w:tc>
        <w:tc>
          <w:tcPr>
            <w:tcW w:w="3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50"/>
              <w:spacing w:after="0" w:line="151" w:lineRule="exact"/>
              <w:rPr>
                <w:sz w:val="20"/>
                <w:szCs w:val="20"/>
                <w:color w:val="auto"/>
              </w:rPr>
            </w:pPr>
            <w:r>
              <w:rPr>
                <w:rFonts w:ascii="Arial" w:cs="Arial" w:eastAsia="Arial" w:hAnsi="Arial"/>
                <w:sz w:val="14"/>
                <w:szCs w:val="14"/>
                <w:b w:val="1"/>
                <w:bCs w:val="1"/>
                <w:color w:val="auto"/>
              </w:rPr>
              <w:t>AaA</w:t>
            </w:r>
          </w:p>
        </w:tc>
        <w:tc>
          <w:tcPr>
            <w:tcW w:w="24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170"/>
              <w:spacing w:after="0" w:line="151" w:lineRule="exact"/>
              <w:rPr>
                <w:sz w:val="20"/>
                <w:szCs w:val="20"/>
                <w:color w:val="auto"/>
              </w:rPr>
            </w:pPr>
            <w:r>
              <w:rPr>
                <w:rFonts w:ascii="Arial" w:cs="Arial" w:eastAsia="Arial" w:hAnsi="Arial"/>
                <w:sz w:val="14"/>
                <w:szCs w:val="14"/>
                <w:b w:val="1"/>
                <w:bCs w:val="1"/>
                <w:color w:val="auto"/>
              </w:rPr>
              <w:t>Sep 20</w:t>
            </w:r>
          </w:p>
        </w:tc>
        <w:tc>
          <w:tcPr>
            <w:tcW w:w="200" w:type="dxa"/>
            <w:vAlign w:val="bottom"/>
            <w:tcBorders>
              <w:top w:val="single" w:sz="8" w:color="auto"/>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ind w:left="260"/>
              <w:spacing w:after="0" w:line="151" w:lineRule="exact"/>
              <w:rPr>
                <w:sz w:val="20"/>
                <w:szCs w:val="20"/>
                <w:color w:val="auto"/>
              </w:rPr>
            </w:pPr>
            <w:r>
              <w:rPr>
                <w:rFonts w:ascii="Arial" w:cs="Arial" w:eastAsia="Arial" w:hAnsi="Arial"/>
                <w:sz w:val="14"/>
                <w:szCs w:val="14"/>
                <w:b w:val="1"/>
                <w:bCs w:val="1"/>
                <w:color w:val="auto"/>
              </w:rPr>
              <w:t>Sep 21</w:t>
            </w:r>
          </w:p>
        </w:tc>
        <w:tc>
          <w:tcPr>
            <w:tcW w:w="22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spacing w:after="0" w:line="151" w:lineRule="exact"/>
              <w:rPr>
                <w:sz w:val="20"/>
                <w:szCs w:val="20"/>
                <w:color w:val="auto"/>
              </w:rPr>
            </w:pPr>
            <w:r>
              <w:rPr>
                <w:rFonts w:ascii="Arial" w:cs="Arial" w:eastAsia="Arial" w:hAnsi="Arial"/>
                <w:sz w:val="14"/>
                <w:szCs w:val="14"/>
                <w:b w:val="1"/>
                <w:bCs w:val="1"/>
                <w:color w:val="auto"/>
                <w:w w:val="89"/>
              </w:rPr>
              <w:t>Jun 21/ Jun 20</w:t>
            </w:r>
          </w:p>
        </w:tc>
        <w:tc>
          <w:tcPr>
            <w:tcW w:w="120" w:type="dxa"/>
            <w:vAlign w:val="bottom"/>
            <w:tcBorders>
              <w:bottom w:val="single" w:sz="8" w:color="CCEEFF"/>
            </w:tcBorders>
          </w:tcPr>
          <w:p>
            <w:pPr>
              <w:spacing w:after="0"/>
              <w:rPr>
                <w:sz w:val="13"/>
                <w:szCs w:val="13"/>
                <w:color w:val="auto"/>
              </w:rPr>
            </w:pPr>
          </w:p>
        </w:tc>
      </w:tr>
      <w:tr>
        <w:trPr>
          <w:trHeight w:val="138"/>
        </w:trPr>
        <w:tc>
          <w:tcPr>
            <w:tcW w:w="23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Traditionals Sales</w:t>
            </w:r>
          </w:p>
        </w:tc>
        <w:tc>
          <w:tcPr>
            <w:tcW w:w="900" w:type="dxa"/>
            <w:vAlign w:val="bottom"/>
            <w:shd w:val="clear" w:color="auto" w:fill="CCEEFF"/>
          </w:tcPr>
          <w:p>
            <w:pPr>
              <w:ind w:left="460"/>
              <w:spacing w:after="0" w:line="138" w:lineRule="exact"/>
              <w:rPr>
                <w:sz w:val="20"/>
                <w:szCs w:val="20"/>
                <w:color w:val="auto"/>
              </w:rPr>
            </w:pPr>
            <w:r>
              <w:rPr>
                <w:rFonts w:ascii="Arial" w:cs="Arial" w:eastAsia="Arial" w:hAnsi="Arial"/>
                <w:sz w:val="14"/>
                <w:szCs w:val="14"/>
                <w:color w:val="auto"/>
                <w:w w:val="82"/>
              </w:rPr>
              <w:t>975,019</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1,459,229</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1,140,335</w:t>
            </w: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70"/>
              <w:spacing w:after="0" w:line="138" w:lineRule="exact"/>
              <w:rPr>
                <w:sz w:val="20"/>
                <w:szCs w:val="20"/>
                <w:color w:val="auto"/>
              </w:rPr>
            </w:pPr>
            <w:r>
              <w:rPr>
                <w:rFonts w:ascii="Arial" w:cs="Arial" w:eastAsia="Arial" w:hAnsi="Arial"/>
                <w:sz w:val="14"/>
                <w:szCs w:val="14"/>
                <w:color w:val="auto"/>
                <w:w w:val="90"/>
              </w:rPr>
              <w:t>-21.9%</w:t>
            </w: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70"/>
              <w:spacing w:after="0" w:line="138" w:lineRule="exact"/>
              <w:rPr>
                <w:sz w:val="20"/>
                <w:szCs w:val="20"/>
                <w:color w:val="auto"/>
              </w:rPr>
            </w:pPr>
            <w:r>
              <w:rPr>
                <w:rFonts w:ascii="Arial" w:cs="Arial" w:eastAsia="Arial" w:hAnsi="Arial"/>
                <w:sz w:val="14"/>
                <w:szCs w:val="14"/>
                <w:color w:val="auto"/>
              </w:rPr>
              <w:t>17.0%</w:t>
            </w: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2,952,832</w:t>
            </w: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w w:val="86"/>
              </w:rPr>
              <w:t>3,666,699</w:t>
            </w:r>
          </w:p>
        </w:tc>
        <w:tc>
          <w:tcPr>
            <w:tcW w:w="2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640"/>
              <w:spacing w:after="0" w:line="138" w:lineRule="exact"/>
              <w:rPr>
                <w:sz w:val="20"/>
                <w:szCs w:val="20"/>
                <w:color w:val="auto"/>
              </w:rPr>
            </w:pPr>
            <w:r>
              <w:rPr>
                <w:rFonts w:ascii="Arial" w:cs="Arial" w:eastAsia="Arial" w:hAnsi="Arial"/>
                <w:sz w:val="14"/>
                <w:szCs w:val="14"/>
                <w:color w:val="auto"/>
                <w:w w:val="90"/>
              </w:rPr>
              <w:t>24.2%</w:t>
            </w:r>
          </w:p>
        </w:tc>
      </w:tr>
      <w:tr>
        <w:trPr>
          <w:trHeight w:val="184"/>
        </w:trPr>
        <w:tc>
          <w:tcPr>
            <w:tcW w:w="2380" w:type="dxa"/>
            <w:vAlign w:val="bottom"/>
          </w:tcPr>
          <w:p>
            <w:pPr>
              <w:spacing w:after="0" w:line="184" w:lineRule="exact"/>
              <w:rPr>
                <w:sz w:val="20"/>
                <w:szCs w:val="20"/>
                <w:color w:val="auto"/>
              </w:rPr>
            </w:pPr>
            <w:r>
              <w:rPr>
                <w:rFonts w:ascii="Arial" w:cs="Arial" w:eastAsia="Arial" w:hAnsi="Arial"/>
                <w:sz w:val="13"/>
                <w:szCs w:val="13"/>
                <w:color w:val="auto"/>
              </w:rPr>
              <w:t xml:space="preserve">Selfserved Sales </w:t>
            </w:r>
            <w:r>
              <w:rPr>
                <w:rFonts w:ascii="Arial" w:cs="Arial" w:eastAsia="Arial" w:hAnsi="Arial"/>
                <w:sz w:val="21"/>
                <w:szCs w:val="21"/>
                <w:color w:val="auto"/>
                <w:vertAlign w:val="superscript"/>
              </w:rPr>
              <w:t>(1)</w:t>
            </w:r>
          </w:p>
        </w:tc>
        <w:tc>
          <w:tcPr>
            <w:tcW w:w="920" w:type="dxa"/>
            <w:vAlign w:val="bottom"/>
            <w:gridSpan w:val="2"/>
          </w:tcPr>
          <w:p>
            <w:pPr>
              <w:ind w:left="460"/>
              <w:spacing w:after="0"/>
              <w:rPr>
                <w:sz w:val="20"/>
                <w:szCs w:val="20"/>
                <w:color w:val="auto"/>
              </w:rPr>
            </w:pPr>
            <w:r>
              <w:rPr>
                <w:rFonts w:ascii="Arial" w:cs="Arial" w:eastAsia="Arial" w:hAnsi="Arial"/>
                <w:sz w:val="14"/>
                <w:szCs w:val="14"/>
                <w:color w:val="auto"/>
                <w:w w:val="86"/>
              </w:rPr>
              <w:t>159,462</w:t>
            </w:r>
          </w:p>
        </w:tc>
        <w:tc>
          <w:tcPr>
            <w:tcW w:w="1360" w:type="dxa"/>
            <w:vAlign w:val="bottom"/>
            <w:gridSpan w:val="3"/>
          </w:tcPr>
          <w:p>
            <w:pPr>
              <w:jc w:val="right"/>
              <w:ind w:right="240"/>
              <w:spacing w:after="0"/>
              <w:rPr>
                <w:sz w:val="20"/>
                <w:szCs w:val="20"/>
                <w:color w:val="auto"/>
              </w:rPr>
            </w:pPr>
            <w:r>
              <w:rPr>
                <w:rFonts w:ascii="Arial" w:cs="Arial" w:eastAsia="Arial" w:hAnsi="Arial"/>
                <w:sz w:val="14"/>
                <w:szCs w:val="14"/>
                <w:color w:val="auto"/>
              </w:rPr>
              <w:t>337,929</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376,945</w:t>
            </w:r>
          </w:p>
        </w:tc>
        <w:tc>
          <w:tcPr>
            <w:tcW w:w="580" w:type="dxa"/>
            <w:vAlign w:val="bottom"/>
          </w:tcPr>
          <w:p>
            <w:pPr>
              <w:spacing w:after="0"/>
              <w:rPr>
                <w:sz w:val="15"/>
                <w:szCs w:val="15"/>
                <w:color w:val="auto"/>
              </w:rPr>
            </w:pPr>
          </w:p>
        </w:tc>
        <w:tc>
          <w:tcPr>
            <w:tcW w:w="560" w:type="dxa"/>
            <w:vAlign w:val="bottom"/>
            <w:gridSpan w:val="2"/>
          </w:tcPr>
          <w:p>
            <w:pPr>
              <w:jc w:val="right"/>
              <w:ind w:right="70"/>
              <w:spacing w:after="0"/>
              <w:rPr>
                <w:sz w:val="20"/>
                <w:szCs w:val="20"/>
                <w:color w:val="auto"/>
              </w:rPr>
            </w:pPr>
            <w:r>
              <w:rPr>
                <w:rFonts w:ascii="Arial" w:cs="Arial" w:eastAsia="Arial" w:hAnsi="Arial"/>
                <w:sz w:val="14"/>
                <w:szCs w:val="14"/>
                <w:color w:val="auto"/>
              </w:rPr>
              <w:t>11.5%</w:t>
            </w:r>
          </w:p>
        </w:tc>
        <w:tc>
          <w:tcPr>
            <w:tcW w:w="240" w:type="dxa"/>
            <w:vAlign w:val="bottom"/>
          </w:tcPr>
          <w:p>
            <w:pPr>
              <w:spacing w:after="0"/>
              <w:rPr>
                <w:sz w:val="15"/>
                <w:szCs w:val="15"/>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4"/>
                <w:szCs w:val="14"/>
                <w:color w:val="auto"/>
              </w:rPr>
              <w:t>136.4%</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772,295</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979,941</w:t>
            </w:r>
          </w:p>
        </w:tc>
        <w:tc>
          <w:tcPr>
            <w:tcW w:w="1020" w:type="dxa"/>
            <w:vAlign w:val="bottom"/>
            <w:gridSpan w:val="2"/>
          </w:tcPr>
          <w:p>
            <w:pPr>
              <w:ind w:left="640"/>
              <w:spacing w:after="0"/>
              <w:rPr>
                <w:sz w:val="20"/>
                <w:szCs w:val="20"/>
                <w:color w:val="auto"/>
              </w:rPr>
            </w:pPr>
            <w:r>
              <w:rPr>
                <w:rFonts w:ascii="Arial" w:cs="Arial" w:eastAsia="Arial" w:hAnsi="Arial"/>
                <w:sz w:val="14"/>
                <w:szCs w:val="14"/>
                <w:color w:val="auto"/>
                <w:w w:val="90"/>
              </w:rPr>
              <w:t>26.9%</w:t>
            </w:r>
          </w:p>
        </w:tc>
      </w:tr>
      <w:tr>
        <w:trPr>
          <w:trHeight w:val="197"/>
        </w:trPr>
        <w:tc>
          <w:tcPr>
            <w:tcW w:w="2380" w:type="dxa"/>
            <w:vAlign w:val="bottom"/>
            <w:shd w:val="clear" w:color="auto" w:fill="CCEEFF"/>
          </w:tcPr>
          <w:p>
            <w:pPr>
              <w:spacing w:after="0" w:line="197" w:lineRule="exact"/>
              <w:rPr>
                <w:sz w:val="20"/>
                <w:szCs w:val="20"/>
                <w:color w:val="auto"/>
              </w:rPr>
            </w:pPr>
            <w:r>
              <w:rPr>
                <w:rFonts w:ascii="Arial" w:cs="Arial" w:eastAsia="Arial" w:hAnsi="Arial"/>
                <w:sz w:val="13"/>
                <w:szCs w:val="13"/>
                <w:color w:val="auto"/>
              </w:rPr>
              <w:t xml:space="preserve">Digital Sales </w:t>
            </w:r>
            <w:r>
              <w:rPr>
                <w:rFonts w:ascii="Arial" w:cs="Arial" w:eastAsia="Arial" w:hAnsi="Arial"/>
                <w:sz w:val="22"/>
                <w:szCs w:val="22"/>
                <w:color w:val="auto"/>
                <w:vertAlign w:val="superscript"/>
              </w:rPr>
              <w:t>(2)</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w w:val="86"/>
              </w:rPr>
              <w:t>462,048</w:t>
            </w: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816,952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842,501</w:t>
            </w:r>
          </w:p>
        </w:tc>
        <w:tc>
          <w:tcPr>
            <w:tcW w:w="5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3.1%</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82.3%</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1,418,335</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2,388,461</w:t>
            </w: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w w:val="90"/>
              </w:rPr>
              <w:t>68.4%</w:t>
            </w:r>
          </w:p>
        </w:tc>
      </w:tr>
      <w:tr>
        <w:trPr>
          <w:trHeight w:val="138"/>
        </w:trPr>
        <w:tc>
          <w:tcPr>
            <w:tcW w:w="2380" w:type="dxa"/>
            <w:vAlign w:val="bottom"/>
          </w:tcPr>
          <w:p>
            <w:pPr>
              <w:spacing w:after="0" w:line="138" w:lineRule="exact"/>
              <w:rPr>
                <w:sz w:val="20"/>
                <w:szCs w:val="20"/>
                <w:color w:val="auto"/>
              </w:rPr>
            </w:pPr>
            <w:r>
              <w:rPr>
                <w:rFonts w:ascii="Arial" w:cs="Arial" w:eastAsia="Arial" w:hAnsi="Arial"/>
                <w:sz w:val="14"/>
                <w:szCs w:val="14"/>
                <w:b w:val="1"/>
                <w:bCs w:val="1"/>
                <w:color w:val="auto"/>
              </w:rPr>
              <w:t>Total Sales</w:t>
            </w:r>
          </w:p>
        </w:tc>
        <w:tc>
          <w:tcPr>
            <w:tcW w:w="9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rPr>
              <w:t>1,596,529</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rPr>
              <w:t>2,614,110</w:t>
            </w:r>
          </w:p>
        </w:tc>
        <w:tc>
          <w:tcPr>
            <w:tcW w:w="240" w:type="dxa"/>
            <w:vAlign w:val="bottom"/>
          </w:tcPr>
          <w:p>
            <w:pPr>
              <w:spacing w:after="0"/>
              <w:rPr>
                <w:sz w:val="11"/>
                <w:szCs w:val="11"/>
                <w:color w:val="auto"/>
              </w:rPr>
            </w:pPr>
          </w:p>
        </w:tc>
        <w:tc>
          <w:tcPr>
            <w:tcW w:w="9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rPr>
              <w:t>2,359,781</w:t>
            </w:r>
          </w:p>
        </w:tc>
        <w:tc>
          <w:tcPr>
            <w:tcW w:w="2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rPr>
              <w:t>-9.7</w:t>
            </w:r>
          </w:p>
        </w:tc>
        <w:tc>
          <w:tcPr>
            <w:tcW w:w="260" w:type="dxa"/>
            <w:vAlign w:val="bottom"/>
          </w:tcPr>
          <w:p>
            <w:pPr>
              <w:jc w:val="right"/>
              <w:ind w:right="50"/>
              <w:spacing w:after="0" w:line="138"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rPr>
              <w:t>47.8</w:t>
            </w:r>
          </w:p>
        </w:tc>
        <w:tc>
          <w:tcPr>
            <w:tcW w:w="240" w:type="dxa"/>
            <w:vAlign w:val="bottom"/>
          </w:tcPr>
          <w:p>
            <w:pPr>
              <w:jc w:val="right"/>
              <w:ind w:right="30"/>
              <w:spacing w:after="0" w:line="138" w:lineRule="exact"/>
              <w:rPr>
                <w:sz w:val="20"/>
                <w:szCs w:val="20"/>
                <w:color w:val="auto"/>
              </w:rPr>
            </w:pPr>
            <w:r>
              <w:rPr>
                <w:rFonts w:ascii="Arial" w:cs="Arial" w:eastAsia="Arial" w:hAnsi="Arial"/>
                <w:sz w:val="14"/>
                <w:szCs w:val="14"/>
                <w:b w:val="1"/>
                <w:bCs w:val="1"/>
                <w:color w:val="auto"/>
                <w:w w:val="96"/>
              </w:rPr>
              <w:t>%</w:t>
            </w:r>
          </w:p>
        </w:tc>
        <w:tc>
          <w:tcPr>
            <w:tcW w:w="8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rPr>
              <w:t>5,143,462</w:t>
            </w:r>
          </w:p>
        </w:tc>
        <w:tc>
          <w:tcPr>
            <w:tcW w:w="200" w:type="dxa"/>
            <w:vAlign w:val="bottom"/>
          </w:tcPr>
          <w:p>
            <w:pPr>
              <w:spacing w:after="0"/>
              <w:rPr>
                <w:sz w:val="11"/>
                <w:szCs w:val="11"/>
                <w:color w:val="auto"/>
              </w:rPr>
            </w:pPr>
          </w:p>
        </w:tc>
        <w:tc>
          <w:tcPr>
            <w:tcW w:w="880" w:type="dxa"/>
            <w:vAlign w:val="bottom"/>
            <w:tcBorders>
              <w:top w:val="single" w:sz="8" w:color="auto"/>
            </w:tcBorders>
          </w:tcPr>
          <w:p>
            <w:pPr>
              <w:ind w:left="320"/>
              <w:spacing w:after="0" w:line="138" w:lineRule="exact"/>
              <w:rPr>
                <w:sz w:val="20"/>
                <w:szCs w:val="20"/>
                <w:color w:val="auto"/>
              </w:rPr>
            </w:pPr>
            <w:r>
              <w:rPr>
                <w:rFonts w:ascii="Arial" w:cs="Arial" w:eastAsia="Arial" w:hAnsi="Arial"/>
                <w:sz w:val="14"/>
                <w:szCs w:val="14"/>
                <w:b w:val="1"/>
                <w:bCs w:val="1"/>
                <w:color w:val="auto"/>
                <w:w w:val="86"/>
              </w:rPr>
              <w:t>7,035,101</w:t>
            </w:r>
          </w:p>
        </w:tc>
        <w:tc>
          <w:tcPr>
            <w:tcW w:w="220" w:type="dxa"/>
            <w:vAlign w:val="bottom"/>
          </w:tcPr>
          <w:p>
            <w:pPr>
              <w:spacing w:after="0"/>
              <w:rPr>
                <w:sz w:val="11"/>
                <w:szCs w:val="11"/>
                <w:color w:val="auto"/>
              </w:rPr>
            </w:pPr>
          </w:p>
        </w:tc>
        <w:tc>
          <w:tcPr>
            <w:tcW w:w="900" w:type="dxa"/>
            <w:vAlign w:val="bottom"/>
            <w:tcBorders>
              <w:top w:val="single" w:sz="8" w:color="auto"/>
            </w:tcBorders>
          </w:tcPr>
          <w:p>
            <w:pPr>
              <w:ind w:left="640"/>
              <w:spacing w:after="0" w:line="138" w:lineRule="exact"/>
              <w:rPr>
                <w:sz w:val="20"/>
                <w:szCs w:val="20"/>
                <w:color w:val="auto"/>
              </w:rPr>
            </w:pPr>
            <w:r>
              <w:rPr>
                <w:rFonts w:ascii="Arial" w:cs="Arial" w:eastAsia="Arial" w:hAnsi="Arial"/>
                <w:sz w:val="14"/>
                <w:szCs w:val="14"/>
                <w:b w:val="1"/>
                <w:bCs w:val="1"/>
                <w:color w:val="auto"/>
                <w:w w:val="80"/>
              </w:rPr>
              <w:t>36.8</w:t>
            </w:r>
          </w:p>
        </w:tc>
        <w:tc>
          <w:tcPr>
            <w:tcW w:w="120" w:type="dxa"/>
            <w:vAlign w:val="bottom"/>
          </w:tcPr>
          <w:p>
            <w:pPr>
              <w:jc w:val="right"/>
              <w:spacing w:after="0" w:line="138" w:lineRule="exact"/>
              <w:rPr>
                <w:sz w:val="20"/>
                <w:szCs w:val="20"/>
                <w:color w:val="auto"/>
              </w:rPr>
            </w:pPr>
            <w:r>
              <w:rPr>
                <w:rFonts w:ascii="Arial" w:cs="Arial" w:eastAsia="Arial" w:hAnsi="Arial"/>
                <w:sz w:val="14"/>
                <w:szCs w:val="14"/>
                <w:b w:val="1"/>
                <w:bCs w:val="1"/>
                <w:color w:val="auto"/>
                <w:w w:val="79"/>
              </w:rPr>
              <w:t>%</w:t>
            </w:r>
          </w:p>
        </w:tc>
      </w:tr>
      <w:tr>
        <w:trPr>
          <w:trHeight w:val="20"/>
        </w:trPr>
        <w:tc>
          <w:tcPr>
            <w:tcW w:w="2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60" w:hanging="237"/>
        <w:spacing w:after="0"/>
        <w:tabs>
          <w:tab w:leader="none" w:pos="3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Sales made through ATMs and Kioskos BCP.</w:t>
      </w:r>
    </w:p>
    <w:p>
      <w:pPr>
        <w:spacing w:after="0" w:line="14" w:lineRule="exact"/>
        <w:rPr>
          <w:rFonts w:ascii="Arial" w:cs="Arial" w:eastAsia="Arial" w:hAnsi="Arial"/>
          <w:sz w:val="18"/>
          <w:szCs w:val="18"/>
          <w:color w:val="auto"/>
        </w:rPr>
      </w:pPr>
    </w:p>
    <w:p>
      <w:pPr>
        <w:ind w:left="360" w:hanging="237"/>
        <w:spacing w:after="0"/>
        <w:tabs>
          <w:tab w:leader="none" w:pos="3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Sales made through Mobile Banking, Internet Banking, Yape and other digital channels.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 Self-Service sales, the YoY growth trend Savings account (+129%) and Advances on Wages (+199%).</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In Digital Sales, the YoY growth trend was particularly positive for Advances on Wages (+197%), Insurance (+540%) and Personal Loans (+251%).</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total sales QoQ was driven by seasonality in April and May, when statutory Severance Indemnity Deposits are made.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10.4. Optimization of BCP’s Physical Network</w:t>
      </w:r>
    </w:p>
    <w:p>
      <w:pPr>
        <w:spacing w:after="0" w:line="2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advance of client migration to physical channels has allowed us to optimize BCP’s physical network. The optimization process entails branch closings; an increase in agents; and growth in ATMs to complement our transactional capacity. This process also involves remodeling and redesigning office space emphasize the commercial side of the business.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40" w:type="dxa"/>
            <w:vAlign w:val="bottom"/>
          </w:tcPr>
          <w:p>
            <w:pPr>
              <w:spacing w:after="0"/>
              <w:rPr>
                <w:sz w:val="20"/>
                <w:szCs w:val="20"/>
                <w:color w:val="auto"/>
              </w:rPr>
            </w:pPr>
            <w:r>
              <w:rPr>
                <w:rFonts w:ascii="Arial" w:cs="Arial" w:eastAsia="Arial" w:hAnsi="Arial"/>
                <w:sz w:val="18"/>
                <w:szCs w:val="18"/>
                <w:b w:val="1"/>
                <w:bCs w:val="1"/>
                <w:color w:val="auto"/>
              </w:rPr>
              <w:t>BCP point of contact</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33"/>
        </w:trPr>
        <w:tc>
          <w:tcPr>
            <w:tcW w:w="2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As of</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4"/>
          </w:tcPr>
          <w:p>
            <w:pPr>
              <w:ind w:left="260"/>
              <w:spacing w:after="0"/>
              <w:rPr>
                <w:sz w:val="20"/>
                <w:szCs w:val="20"/>
                <w:color w:val="auto"/>
              </w:rPr>
            </w:pPr>
            <w:r>
              <w:rPr>
                <w:rFonts w:ascii="Arial" w:cs="Arial" w:eastAsia="Arial" w:hAnsi="Arial"/>
                <w:sz w:val="18"/>
                <w:szCs w:val="18"/>
                <w:b w:val="1"/>
                <w:bCs w:val="1"/>
                <w:color w:val="auto"/>
              </w:rPr>
              <w:t>change (units)</w:t>
            </w:r>
          </w:p>
        </w:tc>
      </w:tr>
      <w:tr>
        <w:trPr>
          <w:trHeight w:val="217"/>
        </w:trPr>
        <w:tc>
          <w:tcPr>
            <w:tcW w:w="2440" w:type="dxa"/>
            <w:vAlign w:val="bottom"/>
          </w:tcPr>
          <w:p>
            <w:pPr>
              <w:spacing w:after="0"/>
              <w:rPr>
                <w:sz w:val="18"/>
                <w:szCs w:val="18"/>
                <w:color w:val="auto"/>
              </w:rPr>
            </w:pPr>
          </w:p>
        </w:tc>
        <w:tc>
          <w:tcPr>
            <w:tcW w:w="90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Sep 20</w:t>
            </w:r>
          </w:p>
        </w:tc>
        <w:tc>
          <w:tcPr>
            <w:tcW w:w="8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7"/>
              </w:rPr>
              <w:t>Jun 21</w:t>
            </w: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Sep 21</w:t>
            </w:r>
          </w:p>
        </w:tc>
        <w:tc>
          <w:tcPr>
            <w:tcW w:w="140" w:type="dxa"/>
            <w:vAlign w:val="bottom"/>
          </w:tcPr>
          <w:p>
            <w:pPr>
              <w:spacing w:after="0"/>
              <w:rPr>
                <w:sz w:val="18"/>
                <w:szCs w:val="18"/>
                <w:color w:val="auto"/>
              </w:rPr>
            </w:pPr>
          </w:p>
        </w:tc>
        <w:tc>
          <w:tcPr>
            <w:tcW w:w="86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QoQ</w:t>
            </w:r>
          </w:p>
        </w:tc>
        <w:tc>
          <w:tcPr>
            <w:tcW w:w="7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YoY</w:t>
            </w:r>
          </w:p>
        </w:tc>
        <w:tc>
          <w:tcPr>
            <w:tcW w:w="60" w:type="dxa"/>
            <w:vAlign w:val="bottom"/>
          </w:tcPr>
          <w:p>
            <w:pPr>
              <w:spacing w:after="0"/>
              <w:rPr>
                <w:sz w:val="18"/>
                <w:szCs w:val="18"/>
                <w:color w:val="auto"/>
              </w:rPr>
            </w:pPr>
          </w:p>
        </w:tc>
      </w:tr>
      <w:tr>
        <w:trPr>
          <w:trHeight w:val="203"/>
        </w:trPr>
        <w:tc>
          <w:tcPr>
            <w:tcW w:w="2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Branches</w:t>
            </w: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w w:val="79"/>
              </w:rPr>
              <w:t>393</w:t>
            </w: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363</w:t>
            </w: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359</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2440" w:type="dxa"/>
            <w:vAlign w:val="bottom"/>
          </w:tcPr>
          <w:p>
            <w:pPr>
              <w:spacing w:after="0"/>
              <w:rPr>
                <w:sz w:val="20"/>
                <w:szCs w:val="20"/>
                <w:color w:val="auto"/>
              </w:rPr>
            </w:pPr>
            <w:r>
              <w:rPr>
                <w:rFonts w:ascii="Arial" w:cs="Arial" w:eastAsia="Arial" w:hAnsi="Arial"/>
                <w:sz w:val="18"/>
                <w:szCs w:val="18"/>
                <w:color w:val="auto"/>
              </w:rPr>
              <w:t>ATMs</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2,299</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2,291</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2,248</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r>
      <w:tr>
        <w:trPr>
          <w:trHeight w:val="223"/>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Agentes BCP</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6,997</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6,818</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6,998</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03"/>
        </w:trPr>
        <w:tc>
          <w:tcPr>
            <w:tcW w:w="2440" w:type="dxa"/>
            <w:vAlign w:val="bottom"/>
          </w:tcPr>
          <w:p>
            <w:pPr>
              <w:spacing w:after="0" w:line="203" w:lineRule="exact"/>
              <w:rPr>
                <w:sz w:val="20"/>
                <w:szCs w:val="20"/>
                <w:color w:val="auto"/>
              </w:rPr>
            </w:pPr>
            <w:r>
              <w:rPr>
                <w:rFonts w:ascii="Arial" w:cs="Arial" w:eastAsia="Arial" w:hAnsi="Arial"/>
                <w:sz w:val="18"/>
                <w:szCs w:val="18"/>
                <w:b w:val="1"/>
                <w:bCs w:val="1"/>
                <w:color w:val="auto"/>
              </w:rPr>
              <w:t>Total BCP’s Network</w:t>
            </w:r>
          </w:p>
        </w:tc>
        <w:tc>
          <w:tcPr>
            <w:tcW w:w="760" w:type="dxa"/>
            <w:vAlign w:val="bottom"/>
            <w:tcBorders>
              <w:top w:val="single" w:sz="8" w:color="auto"/>
              <w:bottom w:val="single" w:sz="8" w:color="auto"/>
            </w:tcBorders>
          </w:tcPr>
          <w:p>
            <w:pPr>
              <w:ind w:left="380"/>
              <w:spacing w:after="0" w:line="203" w:lineRule="exact"/>
              <w:rPr>
                <w:sz w:val="20"/>
                <w:szCs w:val="20"/>
                <w:color w:val="auto"/>
              </w:rPr>
            </w:pPr>
            <w:r>
              <w:rPr>
                <w:rFonts w:ascii="Arial" w:cs="Arial" w:eastAsia="Arial" w:hAnsi="Arial"/>
                <w:sz w:val="18"/>
                <w:szCs w:val="18"/>
                <w:b w:val="1"/>
                <w:bCs w:val="1"/>
                <w:color w:val="auto"/>
                <w:w w:val="79"/>
              </w:rPr>
              <w:t>9,689</w:t>
            </w:r>
          </w:p>
        </w:tc>
        <w:tc>
          <w:tcPr>
            <w:tcW w:w="14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9,472</w:t>
            </w:r>
          </w:p>
        </w:tc>
        <w:tc>
          <w:tcPr>
            <w:tcW w:w="1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9,605</w:t>
            </w:r>
          </w:p>
        </w:tc>
        <w:tc>
          <w:tcPr>
            <w:tcW w:w="14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133</w:t>
            </w:r>
          </w:p>
        </w:tc>
        <w:tc>
          <w:tcPr>
            <w:tcW w:w="14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-84</w:t>
            </w:r>
          </w:p>
        </w:tc>
        <w:tc>
          <w:tcPr>
            <w:tcW w:w="60" w:type="dxa"/>
            <w:vAlign w:val="bottom"/>
          </w:tcPr>
          <w:p>
            <w:pPr>
              <w:spacing w:after="0"/>
              <w:rPr>
                <w:sz w:val="17"/>
                <w:szCs w:val="17"/>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10.5. Disruptive Initiatives – Yape</w:t>
      </w:r>
    </w:p>
    <w:p>
      <w:pPr>
        <w:spacing w:after="0" w:line="21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Yape was initially designed to allow users to make money transfers or payments through mobile phones or with a QR code. The application’s objective was to replace cash in small recurring transfers or to pay services. Today, Yape’s ambition is far greater:</w:t>
      </w:r>
    </w:p>
    <w:p>
      <w:pPr>
        <w:spacing w:after="0" w:line="182" w:lineRule="exact"/>
        <w:rPr>
          <w:sz w:val="20"/>
          <w:szCs w:val="20"/>
          <w:color w:val="auto"/>
        </w:rPr>
      </w:pPr>
    </w:p>
    <w:p>
      <w:pPr>
        <w:ind w:left="1040" w:hanging="334"/>
        <w:spacing w:after="0"/>
        <w:tabs>
          <w:tab w:leader="none" w:pos="10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become a SuperApp.</w:t>
      </w:r>
    </w:p>
    <w:p>
      <w:pPr>
        <w:spacing w:after="0" w:line="14" w:lineRule="exact"/>
        <w:rPr>
          <w:rFonts w:ascii="Arial" w:cs="Arial" w:eastAsia="Arial" w:hAnsi="Arial"/>
          <w:sz w:val="18"/>
          <w:szCs w:val="18"/>
          <w:color w:val="auto"/>
        </w:rPr>
      </w:pPr>
    </w:p>
    <w:p>
      <w:pPr>
        <w:ind w:left="1040" w:hanging="382"/>
        <w:spacing w:after="0"/>
        <w:tabs>
          <w:tab w:leader="none" w:pos="10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contribute to increasing financial inclusion for Peruvians who lack access to banking services.</w:t>
      </w:r>
    </w:p>
    <w:p>
      <w:pPr>
        <w:spacing w:after="0" w:line="3" w:lineRule="exact"/>
        <w:rPr>
          <w:rFonts w:ascii="Arial" w:cs="Arial" w:eastAsia="Arial" w:hAnsi="Arial"/>
          <w:sz w:val="18"/>
          <w:szCs w:val="18"/>
          <w:color w:val="auto"/>
        </w:rPr>
      </w:pPr>
    </w:p>
    <w:p>
      <w:pPr>
        <w:ind w:left="1040" w:hanging="431"/>
        <w:spacing w:after="0"/>
        <w:tabs>
          <w:tab w:leader="none" w:pos="10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become the main digital channel that companies use to sell in Peru.</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57" w:name="page58"/>
    <w:bookmarkEnd w:id="57"/>
    <w:tbl>
      <w:tblPr>
        <w:tblLayout w:type="fixed"/>
        <w:tblInd w:w="1560" w:type="dxa"/>
        <w:tblCellMar>
          <w:top w:w="0" w:type="dxa"/>
          <w:left w:w="0" w:type="dxa"/>
          <w:bottom w:w="0" w:type="dxa"/>
          <w:right w:w="0" w:type="dxa"/>
        </w:tblCellMar>
      </w:tblPr>
      <w:tr>
        <w:trPr>
          <w:trHeight w:val="216"/>
        </w:trPr>
        <w:tc>
          <w:tcPr>
            <w:tcW w:w="3240" w:type="dxa"/>
            <w:vAlign w:val="bottom"/>
          </w:tcPr>
          <w:p>
            <w:pPr>
              <w:ind w:left="260"/>
              <w:spacing w:after="0"/>
              <w:rPr>
                <w:sz w:val="20"/>
                <w:szCs w:val="20"/>
                <w:color w:val="auto"/>
              </w:rPr>
            </w:pPr>
            <w:r>
              <w:rPr>
                <w:rFonts w:ascii="Arial" w:cs="Arial" w:eastAsia="Arial" w:hAnsi="Arial"/>
                <w:sz w:val="18"/>
                <w:szCs w:val="18"/>
                <w:b w:val="1"/>
                <w:bCs w:val="1"/>
                <w:color w:val="auto"/>
              </w:rPr>
              <w:t>Evolution of Yape users</w:t>
            </w:r>
          </w:p>
        </w:tc>
        <w:tc>
          <w:tcPr>
            <w:tcW w:w="2800" w:type="dxa"/>
            <w:vAlign w:val="bottom"/>
            <w:vMerge w:val="restart"/>
          </w:tcPr>
          <w:p>
            <w:pPr>
              <w:ind w:left="1040"/>
              <w:spacing w:after="0"/>
              <w:rPr>
                <w:sz w:val="20"/>
                <w:szCs w:val="20"/>
                <w:color w:val="auto"/>
              </w:rPr>
            </w:pPr>
            <w:r>
              <w:rPr>
                <w:rFonts w:ascii="Arial" w:cs="Arial" w:eastAsia="Arial" w:hAnsi="Arial"/>
                <w:sz w:val="18"/>
                <w:szCs w:val="18"/>
                <w:b w:val="1"/>
                <w:bCs w:val="1"/>
                <w:color w:val="auto"/>
                <w:w w:val="83"/>
              </w:rPr>
              <w:t>Yape users by user type</w:t>
            </w:r>
          </w:p>
        </w:tc>
        <w:tc>
          <w:tcPr>
            <w:tcW w:w="0" w:type="dxa"/>
            <w:vAlign w:val="bottom"/>
          </w:tcPr>
          <w:p>
            <w:pPr>
              <w:spacing w:after="0"/>
              <w:rPr>
                <w:sz w:val="1"/>
                <w:szCs w:val="1"/>
                <w:color w:val="auto"/>
              </w:rPr>
            </w:pPr>
          </w:p>
        </w:tc>
      </w:t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Expressed in millions of clients</w:t>
            </w:r>
          </w:p>
        </w:tc>
        <w:tc>
          <w:tcPr>
            <w:tcW w:w="2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6627495" cy="15087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2749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number of Yape users has registered pronounced growth since the beginning of the pandemic. In this context, we have gone from registering a user base of 2.5 million to posting a level of 7.2 million users at the end of September. This growth was strengthened by the creation of the Yapecard in May 2020, which allows users to open a digital wallet solely with a DNI and without a bank account. Currently, 49% of Yape’s users are active on a monthly basis.</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Yape has spurred the financial inclusion of 1.3 million people in Peru, primarily through Yapecard. This product began channeling government social assistance payments to beneficiaries in November 2020, which captured new users that had yet to be bancarized. Yape will channel a new round of government assistance payments to vulnerable families in 4Q21.</w:t>
      </w:r>
    </w:p>
    <w:p>
      <w:pPr>
        <w:spacing w:after="0" w:line="188"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Finally, if we look at the current composition of Yape users, BCP’s clients represent 61% of total users; Yapecard users, 34%, and associated financial institutions, 5%. Additionally, 19% of the users are microbusinesses, which have digitalized their collections and transactions through Yape.</w:t>
      </w:r>
    </w:p>
    <w:p>
      <w:pPr>
        <w:spacing w:after="0" w:line="129"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5480" w:type="dxa"/>
            <w:vAlign w:val="bottom"/>
          </w:tcPr>
          <w:p>
            <w:pPr>
              <w:jc w:val="center"/>
              <w:ind w:right="192"/>
              <w:spacing w:after="0"/>
              <w:rPr>
                <w:sz w:val="20"/>
                <w:szCs w:val="20"/>
                <w:color w:val="auto"/>
              </w:rPr>
            </w:pPr>
            <w:r>
              <w:rPr>
                <w:rFonts w:ascii="Arial" w:cs="Arial" w:eastAsia="Arial" w:hAnsi="Arial"/>
                <w:sz w:val="18"/>
                <w:szCs w:val="18"/>
                <w:b w:val="1"/>
                <w:bCs w:val="1"/>
                <w:color w:val="auto"/>
                <w:w w:val="87"/>
              </w:rPr>
              <w:t>Evolutuion of the monthly transactions volume and average ticket per</w:t>
            </w:r>
          </w:p>
        </w:tc>
        <w:tc>
          <w:tcPr>
            <w:tcW w:w="5660" w:type="dxa"/>
            <w:vAlign w:val="bottom"/>
          </w:tcPr>
          <w:p>
            <w:pPr>
              <w:ind w:left="260"/>
              <w:spacing w:after="0"/>
              <w:rPr>
                <w:sz w:val="20"/>
                <w:szCs w:val="20"/>
                <w:color w:val="auto"/>
              </w:rPr>
            </w:pPr>
            <w:r>
              <w:rPr>
                <w:rFonts w:ascii="Arial" w:cs="Arial" w:eastAsia="Arial" w:hAnsi="Arial"/>
                <w:sz w:val="18"/>
                <w:szCs w:val="18"/>
                <w:color w:val="auto"/>
                <w:w w:val="97"/>
              </w:rPr>
              <w:t>The  monthly  transactions  volume  through  Yape  began  to  growth</w:t>
            </w:r>
          </w:p>
        </w:tc>
        <w:tc>
          <w:tcPr>
            <w:tcW w:w="0" w:type="dxa"/>
            <w:vAlign w:val="bottom"/>
          </w:tcPr>
          <w:p>
            <w:pPr>
              <w:spacing w:after="0"/>
              <w:rPr>
                <w:sz w:val="1"/>
                <w:szCs w:val="1"/>
                <w:color w:val="auto"/>
              </w:rPr>
            </w:pPr>
          </w:p>
        </w:tc>
      </w:tr>
      <w:tr>
        <w:trPr>
          <w:trHeight w:val="216"/>
        </w:trPr>
        <w:tc>
          <w:tcPr>
            <w:tcW w:w="5480" w:type="dxa"/>
            <w:vAlign w:val="bottom"/>
          </w:tcPr>
          <w:p>
            <w:pPr>
              <w:jc w:val="center"/>
              <w:ind w:right="192"/>
              <w:spacing w:after="0"/>
              <w:rPr>
                <w:sz w:val="20"/>
                <w:szCs w:val="20"/>
                <w:color w:val="auto"/>
              </w:rPr>
            </w:pPr>
            <w:r>
              <w:rPr>
                <w:rFonts w:ascii="Arial" w:cs="Arial" w:eastAsia="Arial" w:hAnsi="Arial"/>
                <w:sz w:val="18"/>
                <w:szCs w:val="18"/>
                <w:b w:val="1"/>
                <w:bCs w:val="1"/>
                <w:color w:val="auto"/>
                <w:w w:val="86"/>
              </w:rPr>
              <w:t>transaction</w:t>
            </w:r>
          </w:p>
        </w:tc>
        <w:tc>
          <w:tcPr>
            <w:tcW w:w="5660" w:type="dxa"/>
            <w:vAlign w:val="bottom"/>
          </w:tcPr>
          <w:p>
            <w:pPr>
              <w:ind w:left="260"/>
              <w:spacing w:after="0"/>
              <w:rPr>
                <w:sz w:val="20"/>
                <w:szCs w:val="20"/>
                <w:color w:val="auto"/>
              </w:rPr>
            </w:pPr>
            <w:r>
              <w:rPr>
                <w:rFonts w:ascii="Arial" w:cs="Arial" w:eastAsia="Arial" w:hAnsi="Arial"/>
                <w:sz w:val="18"/>
                <w:szCs w:val="18"/>
                <w:color w:val="auto"/>
              </w:rPr>
              <w:t>exponentially as of March 2020 (14-fold increase to date) due to:</w:t>
            </w:r>
          </w:p>
        </w:tc>
        <w:tc>
          <w:tcPr>
            <w:tcW w:w="0" w:type="dxa"/>
            <w:vAlign w:val="bottom"/>
          </w:tcPr>
          <w:p>
            <w:pPr>
              <w:spacing w:after="0"/>
              <w:rPr>
                <w:sz w:val="1"/>
                <w:szCs w:val="1"/>
                <w:color w:val="auto"/>
              </w:rPr>
            </w:pPr>
          </w:p>
        </w:tc>
      </w:tr>
      <w:tr>
        <w:trPr>
          <w:trHeight w:val="222"/>
        </w:trPr>
        <w:tc>
          <w:tcPr>
            <w:tcW w:w="5480" w:type="dxa"/>
            <w:vAlign w:val="bottom"/>
          </w:tcPr>
          <w:p>
            <w:pPr>
              <w:jc w:val="center"/>
              <w:ind w:right="192"/>
              <w:spacing w:after="0"/>
              <w:rPr>
                <w:sz w:val="20"/>
                <w:szCs w:val="20"/>
                <w:color w:val="auto"/>
              </w:rPr>
            </w:pPr>
            <w:r>
              <w:rPr>
                <w:rFonts w:ascii="Arial" w:cs="Arial" w:eastAsia="Arial" w:hAnsi="Arial"/>
                <w:sz w:val="18"/>
                <w:szCs w:val="18"/>
                <w:color w:val="auto"/>
                <w:w w:val="87"/>
              </w:rPr>
              <w:t>Volume expressed in millions of soles</w:t>
            </w:r>
          </w:p>
        </w:tc>
        <w:tc>
          <w:tcPr>
            <w:tcW w:w="5660" w:type="dxa"/>
            <w:vAlign w:val="bottom"/>
            <w:vMerge w:val="restart"/>
          </w:tcPr>
          <w:p>
            <w:pPr>
              <w:ind w:left="260"/>
              <w:spacing w:after="0"/>
              <w:rPr>
                <w:sz w:val="20"/>
                <w:szCs w:val="20"/>
                <w:color w:val="auto"/>
              </w:rPr>
            </w:pPr>
            <w:r>
              <w:rPr>
                <w:rFonts w:ascii="Arial" w:cs="Arial" w:eastAsia="Arial" w:hAnsi="Arial"/>
                <w:sz w:val="18"/>
                <w:szCs w:val="18"/>
                <w:color w:val="auto"/>
                <w:w w:val="97"/>
              </w:rPr>
              <w:t>(i) Migration from cash use to Yape given social distancing measures.</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18"/>
                <w:szCs w:val="18"/>
                <w:color w:val="auto"/>
              </w:rPr>
            </w:pPr>
          </w:p>
        </w:tc>
        <w:tc>
          <w:tcPr>
            <w:tcW w:w="5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0"/>
        </w:trPr>
        <w:tc>
          <w:tcPr>
            <w:tcW w:w="5480" w:type="dxa"/>
            <w:vAlign w:val="bottom"/>
          </w:tcPr>
          <w:p>
            <w:pPr>
              <w:spacing w:after="0"/>
              <w:rPr>
                <w:sz w:val="24"/>
                <w:szCs w:val="24"/>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rPr>
              <w:t>(ii) Yapecard’s penetration of non-bancarized segments.</w:t>
            </w:r>
          </w:p>
        </w:tc>
        <w:tc>
          <w:tcPr>
            <w:tcW w:w="0" w:type="dxa"/>
            <w:vAlign w:val="bottom"/>
          </w:tcPr>
          <w:p>
            <w:pPr>
              <w:spacing w:after="0"/>
              <w:rPr>
                <w:sz w:val="1"/>
                <w:szCs w:val="1"/>
                <w:color w:val="auto"/>
              </w:rPr>
            </w:pPr>
          </w:p>
        </w:tc>
      </w:tr>
      <w:tr>
        <w:trPr>
          <w:trHeight w:val="408"/>
        </w:trPr>
        <w:tc>
          <w:tcPr>
            <w:tcW w:w="5480" w:type="dxa"/>
            <w:vAlign w:val="bottom"/>
          </w:tcPr>
          <w:p>
            <w:pPr>
              <w:spacing w:after="0"/>
              <w:rPr>
                <w:sz w:val="24"/>
                <w:szCs w:val="24"/>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w w:val="91"/>
              </w:rPr>
              <w:t>The average ticket per transaction continued to average S/59 soles, which</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18"/>
                <w:szCs w:val="18"/>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w w:val="90"/>
              </w:rPr>
              <w:t>shows that Yape is used for small cash payments. As such, cash is Yape’s</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18"/>
                <w:szCs w:val="18"/>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w w:val="95"/>
              </w:rPr>
              <w:t>competition  (and  captive  market)  rather  than  other  mobile  banking</w:t>
            </w:r>
          </w:p>
        </w:tc>
        <w:tc>
          <w:tcPr>
            <w:tcW w:w="0" w:type="dxa"/>
            <w:vAlign w:val="bottom"/>
          </w:tcPr>
          <w:p>
            <w:pPr>
              <w:spacing w:after="0"/>
              <w:rPr>
                <w:sz w:val="1"/>
                <w:szCs w:val="1"/>
                <w:color w:val="auto"/>
              </w:rPr>
            </w:pPr>
          </w:p>
        </w:tc>
      </w:tr>
      <w:tr>
        <w:trPr>
          <w:trHeight w:val="222"/>
        </w:trPr>
        <w:tc>
          <w:tcPr>
            <w:tcW w:w="5480" w:type="dxa"/>
            <w:vAlign w:val="bottom"/>
          </w:tcPr>
          <w:p>
            <w:pPr>
              <w:spacing w:after="0"/>
              <w:rPr>
                <w:sz w:val="19"/>
                <w:szCs w:val="19"/>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rPr>
              <w:t>applications offered by financial institutions.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-932815</wp:posOffset>
            </wp:positionV>
            <wp:extent cx="2917825" cy="1542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917825" cy="1542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572770</wp:posOffset>
            </wp:positionV>
            <wp:extent cx="7136130" cy="79946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6130" cy="7994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28"/>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11. Economic Perspectives</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11.1. Peru: Economic Forecasts</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3100" w:type="dxa"/>
            <w:vAlign w:val="bottom"/>
            <w:gridSpan w:val="2"/>
          </w:tcPr>
          <w:p>
            <w:pPr>
              <w:ind w:left="1320"/>
              <w:spacing w:after="0"/>
              <w:rPr>
                <w:sz w:val="20"/>
                <w:szCs w:val="20"/>
                <w:color w:val="auto"/>
              </w:rPr>
            </w:pPr>
            <w:r>
              <w:rPr>
                <w:rFonts w:ascii="Arial" w:cs="Arial" w:eastAsia="Arial" w:hAnsi="Arial"/>
                <w:sz w:val="18"/>
                <w:szCs w:val="18"/>
                <w:b w:val="1"/>
                <w:bCs w:val="1"/>
                <w:color w:val="auto"/>
              </w:rPr>
              <w:t>Peru</w:t>
            </w:r>
          </w:p>
        </w:tc>
        <w:tc>
          <w:tcPr>
            <w:tcW w:w="940" w:type="dxa"/>
            <w:vAlign w:val="bottom"/>
          </w:tcPr>
          <w:p>
            <w:pPr>
              <w:jc w:val="right"/>
              <w:ind w:right="212"/>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4"/>
                <w:szCs w:val="24"/>
                <w:color w:val="auto"/>
              </w:rPr>
            </w:pPr>
          </w:p>
        </w:tc>
        <w:tc>
          <w:tcPr>
            <w:tcW w:w="960" w:type="dxa"/>
            <w:vAlign w:val="bottom"/>
          </w:tcPr>
          <w:p>
            <w:pPr>
              <w:jc w:val="right"/>
              <w:ind w:right="212"/>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4"/>
                <w:szCs w:val="24"/>
                <w:color w:val="auto"/>
              </w:rPr>
            </w:pPr>
          </w:p>
        </w:tc>
        <w:tc>
          <w:tcPr>
            <w:tcW w:w="960" w:type="dxa"/>
            <w:vAlign w:val="bottom"/>
          </w:tcPr>
          <w:p>
            <w:pPr>
              <w:jc w:val="right"/>
              <w:ind w:right="212"/>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4"/>
                <w:szCs w:val="24"/>
                <w:color w:val="auto"/>
              </w:rPr>
            </w:pPr>
          </w:p>
        </w:tc>
        <w:tc>
          <w:tcPr>
            <w:tcW w:w="960" w:type="dxa"/>
            <w:vAlign w:val="bottom"/>
          </w:tcPr>
          <w:p>
            <w:pPr>
              <w:jc w:val="right"/>
              <w:ind w:right="232"/>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4"/>
                <w:szCs w:val="24"/>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 xml:space="preserve">2021 </w:t>
            </w:r>
            <w:r>
              <w:rPr>
                <w:rFonts w:ascii="Arial" w:cs="Arial" w:eastAsia="Arial" w:hAnsi="Arial"/>
                <w:sz w:val="29"/>
                <w:szCs w:val="29"/>
                <w:b w:val="1"/>
                <w:bCs w:val="1"/>
                <w:color w:val="auto"/>
                <w:vertAlign w:val="superscript"/>
              </w:rPr>
              <w:t>(3)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GDP (US$ Millions)</w:t>
            </w: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214,330</w:t>
            </w: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225,430</w:t>
            </w: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230,966</w:t>
            </w: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205,188</w:t>
            </w:r>
          </w:p>
        </w:tc>
        <w:tc>
          <w:tcPr>
            <w:tcW w:w="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219,444</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00" w:type="dxa"/>
            <w:vAlign w:val="bottom"/>
            <w:gridSpan w:val="2"/>
          </w:tcPr>
          <w:p>
            <w:pPr>
              <w:spacing w:after="0"/>
              <w:rPr>
                <w:sz w:val="20"/>
                <w:szCs w:val="20"/>
                <w:color w:val="auto"/>
              </w:rPr>
            </w:pPr>
            <w:r>
              <w:rPr>
                <w:rFonts w:ascii="Arial" w:cs="Arial" w:eastAsia="Arial" w:hAnsi="Arial"/>
                <w:sz w:val="18"/>
                <w:szCs w:val="18"/>
                <w:color w:val="auto"/>
              </w:rPr>
              <w:t>Real GDP (% change)</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96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GDP per capita (US$)</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6,740</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7,001</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7,107</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6,653</w:t>
            </w:r>
          </w:p>
        </w:tc>
        <w:tc>
          <w:tcPr>
            <w:tcW w:w="0" w:type="dxa"/>
            <w:vAlign w:val="bottom"/>
          </w:tcPr>
          <w:p>
            <w:pPr>
              <w:spacing w:after="0"/>
              <w:rPr>
                <w:sz w:val="1"/>
                <w:szCs w:val="1"/>
                <w:color w:val="auto"/>
              </w:rPr>
            </w:pPr>
          </w:p>
        </w:tc>
      </w:tr>
      <w:tr>
        <w:trPr>
          <w:trHeight w:val="210"/>
        </w:trPr>
        <w:tc>
          <w:tcPr>
            <w:tcW w:w="3100" w:type="dxa"/>
            <w:vAlign w:val="bottom"/>
            <w:gridSpan w:val="2"/>
          </w:tcPr>
          <w:p>
            <w:pPr>
              <w:spacing w:after="0"/>
              <w:rPr>
                <w:sz w:val="20"/>
                <w:szCs w:val="20"/>
                <w:color w:val="auto"/>
              </w:rPr>
            </w:pPr>
            <w:r>
              <w:rPr>
                <w:rFonts w:ascii="Arial" w:cs="Arial" w:eastAsia="Arial" w:hAnsi="Arial"/>
                <w:sz w:val="18"/>
                <w:szCs w:val="18"/>
                <w:color w:val="auto"/>
              </w:rPr>
              <w:t>Domestic demand (% change)</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fixed investment (as % GDP)</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0"/>
        </w:trPr>
        <w:tc>
          <w:tcPr>
            <w:tcW w:w="3100" w:type="dxa"/>
            <w:vAlign w:val="bottom"/>
            <w:gridSpan w:val="2"/>
          </w:tcPr>
          <w:p>
            <w:pPr>
              <w:spacing w:after="0"/>
              <w:rPr>
                <w:sz w:val="20"/>
                <w:szCs w:val="20"/>
                <w:color w:val="auto"/>
              </w:rPr>
            </w:pPr>
            <w:r>
              <w:rPr>
                <w:rFonts w:ascii="Arial" w:cs="Arial" w:eastAsia="Arial" w:hAnsi="Arial"/>
                <w:sz w:val="18"/>
                <w:szCs w:val="18"/>
                <w:color w:val="auto"/>
              </w:rPr>
              <w:t>Public Debt (as % GDP)</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24.9</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25.8</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26.8</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49"/>
        </w:trPr>
        <w:tc>
          <w:tcPr>
            <w:tcW w:w="31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System loan growth (% change)</w:t>
            </w:r>
            <w:r>
              <w:rPr>
                <w:rFonts w:ascii="Arial" w:cs="Arial" w:eastAsia="Arial" w:hAnsi="Arial"/>
                <w:sz w:val="28"/>
                <w:szCs w:val="28"/>
                <w:color w:val="auto"/>
                <w:vertAlign w:val="superscript"/>
              </w:rPr>
              <w:t>(1)</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spacing w:after="0" w:line="249" w:lineRule="exact"/>
              <w:rPr>
                <w:sz w:val="20"/>
                <w:szCs w:val="20"/>
                <w:color w:val="auto"/>
              </w:rPr>
            </w:pPr>
            <w:r>
              <w:rPr>
                <w:rFonts w:ascii="Arial" w:cs="Arial" w:eastAsia="Arial" w:hAnsi="Arial"/>
                <w:sz w:val="17"/>
                <w:szCs w:val="17"/>
                <w:color w:val="auto"/>
              </w:rPr>
              <w:t>Inflation</w:t>
            </w:r>
            <w:r>
              <w:rPr>
                <w:rFonts w:ascii="Arial" w:cs="Arial" w:eastAsia="Arial" w:hAnsi="Arial"/>
                <w:sz w:val="28"/>
                <w:szCs w:val="28"/>
                <w:color w:val="auto"/>
                <w:vertAlign w:val="superscript"/>
              </w:rPr>
              <w:t>(2)</w:t>
            </w: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gridSpan w:val="2"/>
            <w:vMerge w:val="continue"/>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3"/>
        </w:trPr>
        <w:tc>
          <w:tcPr>
            <w:tcW w:w="31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Reference Rate</w:t>
            </w:r>
          </w:p>
        </w:tc>
        <w:tc>
          <w:tcPr>
            <w:tcW w:w="9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3.25</w:t>
            </w: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2.75</w:t>
            </w: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2.25</w:t>
            </w: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0.25</w:t>
            </w:r>
          </w:p>
        </w:tc>
        <w:tc>
          <w:tcPr>
            <w:tcW w:w="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gridSpan w:val="2"/>
          </w:tcPr>
          <w:p>
            <w:pPr>
              <w:spacing w:after="0" w:line="202" w:lineRule="exact"/>
              <w:rPr>
                <w:sz w:val="20"/>
                <w:szCs w:val="20"/>
                <w:color w:val="auto"/>
              </w:rPr>
            </w:pPr>
            <w:r>
              <w:rPr>
                <w:rFonts w:ascii="Arial" w:cs="Arial" w:eastAsia="Arial" w:hAnsi="Arial"/>
                <w:sz w:val="18"/>
                <w:szCs w:val="18"/>
                <w:color w:val="auto"/>
              </w:rPr>
              <w:t>Exchange rate, end of period</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3.24</w:t>
            </w:r>
          </w:p>
        </w:tc>
        <w:tc>
          <w:tcPr>
            <w:tcW w:w="2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3.37</w:t>
            </w:r>
          </w:p>
        </w:tc>
        <w:tc>
          <w:tcPr>
            <w:tcW w:w="2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3.31</w:t>
            </w:r>
          </w:p>
        </w:tc>
        <w:tc>
          <w:tcPr>
            <w:tcW w:w="2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3.62</w:t>
            </w:r>
          </w:p>
        </w:tc>
        <w:tc>
          <w:tcPr>
            <w:tcW w:w="2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4.00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 change)</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3"/>
        </w:trPr>
        <w:tc>
          <w:tcPr>
            <w:tcW w:w="310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Fiscal balance (% GDP)</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w:t>
            </w:r>
          </w:p>
        </w:tc>
        <w:tc>
          <w:tcPr>
            <w:tcW w:w="24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w:t>
            </w:r>
          </w:p>
        </w:tc>
        <w:tc>
          <w:tcPr>
            <w:tcW w:w="24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w:t>
            </w:r>
          </w:p>
        </w:tc>
        <w:tc>
          <w:tcPr>
            <w:tcW w:w="24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w:t>
            </w:r>
          </w:p>
        </w:tc>
        <w:tc>
          <w:tcPr>
            <w:tcW w:w="22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Trade balance (US$ Millions)</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6,700</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7,197</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6,614</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7,750</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00" w:type="dxa"/>
            <w:vAlign w:val="bottom"/>
            <w:gridSpan w:val="2"/>
          </w:tcPr>
          <w:p>
            <w:pPr>
              <w:spacing w:after="0"/>
              <w:rPr>
                <w:sz w:val="20"/>
                <w:szCs w:val="20"/>
                <w:color w:val="auto"/>
              </w:rPr>
            </w:pPr>
            <w:r>
              <w:rPr>
                <w:rFonts w:ascii="Arial" w:cs="Arial" w:eastAsia="Arial" w:hAnsi="Arial"/>
                <w:sz w:val="18"/>
                <w:szCs w:val="18"/>
                <w:color w:val="auto"/>
              </w:rPr>
              <w:t>(As % GDP)</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Exports</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45,422</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49,066</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47,688</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42,413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59,000</w:t>
            </w:r>
          </w:p>
        </w:tc>
        <w:tc>
          <w:tcPr>
            <w:tcW w:w="0" w:type="dxa"/>
            <w:vAlign w:val="bottom"/>
          </w:tcPr>
          <w:p>
            <w:pPr>
              <w:spacing w:after="0"/>
              <w:rPr>
                <w:sz w:val="1"/>
                <w:szCs w:val="1"/>
                <w:color w:val="auto"/>
              </w:rPr>
            </w:pPr>
          </w:p>
        </w:tc>
      </w:tr>
      <w:tr>
        <w:trPr>
          <w:trHeight w:val="210"/>
        </w:trPr>
        <w:tc>
          <w:tcPr>
            <w:tcW w:w="3100" w:type="dxa"/>
            <w:vAlign w:val="bottom"/>
            <w:gridSpan w:val="2"/>
          </w:tcPr>
          <w:p>
            <w:pPr>
              <w:spacing w:after="0"/>
              <w:rPr>
                <w:sz w:val="20"/>
                <w:szCs w:val="20"/>
                <w:color w:val="auto"/>
              </w:rPr>
            </w:pPr>
            <w:r>
              <w:rPr>
                <w:rFonts w:ascii="Arial" w:cs="Arial" w:eastAsia="Arial" w:hAnsi="Arial"/>
                <w:sz w:val="18"/>
                <w:szCs w:val="18"/>
                <w:color w:val="auto"/>
              </w:rPr>
              <w:t>Imports</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38,722</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41,870</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41,074</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34,663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43,000</w:t>
            </w: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Current account balance (US$ Millions)</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-2,779</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-3,821</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-3,531</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10"/>
        </w:trPr>
        <w:tc>
          <w:tcPr>
            <w:tcW w:w="3100" w:type="dxa"/>
            <w:vAlign w:val="bottom"/>
            <w:gridSpan w:val="2"/>
          </w:tcPr>
          <w:p>
            <w:pPr>
              <w:spacing w:after="0"/>
              <w:rPr>
                <w:sz w:val="20"/>
                <w:szCs w:val="20"/>
                <w:color w:val="auto"/>
              </w:rPr>
            </w:pPr>
            <w:r>
              <w:rPr>
                <w:rFonts w:ascii="Arial" w:cs="Arial" w:eastAsia="Arial" w:hAnsi="Arial"/>
                <w:sz w:val="18"/>
                <w:szCs w:val="18"/>
                <w:color w:val="auto"/>
              </w:rPr>
              <w:t>Current account balance (As % GDP)</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Net international reserves (US$ Millions)</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63,621</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60,121</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68,316</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74,707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0"/>
        </w:trPr>
        <w:tc>
          <w:tcPr>
            <w:tcW w:w="3100" w:type="dxa"/>
            <w:vAlign w:val="bottom"/>
            <w:gridSpan w:val="2"/>
          </w:tcPr>
          <w:p>
            <w:pPr>
              <w:spacing w:after="0"/>
              <w:rPr>
                <w:sz w:val="20"/>
                <w:szCs w:val="20"/>
                <w:color w:val="auto"/>
              </w:rPr>
            </w:pPr>
            <w:r>
              <w:rPr>
                <w:rFonts w:ascii="Arial" w:cs="Arial" w:eastAsia="Arial" w:hAnsi="Arial"/>
                <w:sz w:val="18"/>
                <w:szCs w:val="18"/>
                <w:color w:val="auto"/>
              </w:rPr>
              <w:t>(As % GDP)</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29.7%</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36.4%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3"/>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months of imports)</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INEI, BCRP, and SBS.</w:t>
      </w:r>
    </w:p>
    <w:p>
      <w:pPr>
        <w:spacing w:after="0" w:line="15" w:lineRule="exact"/>
        <w:rPr>
          <w:sz w:val="20"/>
          <w:szCs w:val="20"/>
          <w:color w:val="auto"/>
        </w:rPr>
      </w:pPr>
    </w:p>
    <w:p>
      <w:pPr>
        <w:ind w:left="260" w:hanging="255"/>
        <w:spacing w:after="0"/>
        <w:tabs>
          <w:tab w:leader="none" w:pos="260" w:val="left"/>
        </w:tabs>
        <w:numPr>
          <w:ilvl w:val="0"/>
          <w:numId w:val="76"/>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System, Current Exchange Rate.</w:t>
      </w:r>
    </w:p>
    <w:p>
      <w:pPr>
        <w:spacing w:after="0" w:line="3" w:lineRule="exact"/>
        <w:rPr>
          <w:rFonts w:ascii="Arial" w:cs="Arial" w:eastAsia="Arial" w:hAnsi="Arial"/>
          <w:sz w:val="18"/>
          <w:szCs w:val="18"/>
          <w:i w:val="1"/>
          <w:iCs w:val="1"/>
          <w:color w:val="auto"/>
        </w:rPr>
      </w:pPr>
    </w:p>
    <w:p>
      <w:pPr>
        <w:ind w:left="260" w:hanging="255"/>
        <w:spacing w:after="0"/>
        <w:tabs>
          <w:tab w:leader="none" w:pos="260" w:val="left"/>
        </w:tabs>
        <w:numPr>
          <w:ilvl w:val="0"/>
          <w:numId w:val="76"/>
        </w:numPr>
        <w:rPr>
          <w:rFonts w:ascii="Arial" w:cs="Arial" w:eastAsia="Arial" w:hAnsi="Arial"/>
          <w:sz w:val="18"/>
          <w:szCs w:val="18"/>
          <w:i w:val="1"/>
          <w:iCs w:val="1"/>
          <w:color w:val="auto"/>
        </w:rPr>
      </w:pPr>
      <w:r>
        <w:rPr>
          <w:rFonts w:ascii="Arial" w:cs="Arial" w:eastAsia="Arial" w:hAnsi="Arial"/>
          <w:sz w:val="18"/>
          <w:szCs w:val="18"/>
          <w:i w:val="1"/>
          <w:iCs w:val="1"/>
          <w:color w:val="auto"/>
        </w:rPr>
        <w:t>Inflation target: 1% - 3%.</w:t>
      </w:r>
    </w:p>
    <w:p>
      <w:pPr>
        <w:spacing w:after="0" w:line="3" w:lineRule="exact"/>
        <w:rPr>
          <w:rFonts w:ascii="Arial" w:cs="Arial" w:eastAsia="Arial" w:hAnsi="Arial"/>
          <w:sz w:val="18"/>
          <w:szCs w:val="18"/>
          <w:i w:val="1"/>
          <w:iCs w:val="1"/>
          <w:color w:val="auto"/>
        </w:rPr>
      </w:pPr>
    </w:p>
    <w:p>
      <w:pPr>
        <w:ind w:left="260" w:hanging="255"/>
        <w:spacing w:after="0"/>
        <w:tabs>
          <w:tab w:leader="none" w:pos="260" w:val="left"/>
        </w:tabs>
        <w:numPr>
          <w:ilvl w:val="0"/>
          <w:numId w:val="76"/>
        </w:numPr>
        <w:rPr>
          <w:rFonts w:ascii="Arial" w:cs="Arial" w:eastAsia="Arial" w:hAnsi="Arial"/>
          <w:sz w:val="18"/>
          <w:szCs w:val="18"/>
          <w:i w:val="1"/>
          <w:iCs w:val="1"/>
          <w:color w:val="auto"/>
        </w:rPr>
      </w:pPr>
      <w:r>
        <w:rPr>
          <w:rFonts w:ascii="Arial" w:cs="Arial" w:eastAsia="Arial" w:hAnsi="Arial"/>
          <w:sz w:val="18"/>
          <w:szCs w:val="18"/>
          <w:i w:val="1"/>
          <w:iCs w:val="1"/>
          <w:color w:val="auto"/>
        </w:rPr>
        <w:t>Estimates by BCP Economic Research as of July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Main Economic Variables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Gross Domestic Product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Variations, % YoY)</w:t>
      </w:r>
    </w:p>
    <w:p>
      <w:pPr>
        <w:spacing w:after="0" w:line="201" w:lineRule="exact"/>
        <w:rPr>
          <w:sz w:val="20"/>
          <w:szCs w:val="20"/>
          <w:color w:val="auto"/>
        </w:rPr>
      </w:pPr>
    </w:p>
    <w:p>
      <w:pPr>
        <w:jc w:val="both"/>
        <w:ind w:left="6340"/>
        <w:spacing w:after="0" w:line="260" w:lineRule="auto"/>
        <w:rPr>
          <w:sz w:val="20"/>
          <w:szCs w:val="20"/>
          <w:color w:val="auto"/>
        </w:rPr>
      </w:pPr>
      <w:r>
        <w:rPr>
          <w:rFonts w:ascii="Arial" w:cs="Arial" w:eastAsia="Arial" w:hAnsi="Arial"/>
          <w:sz w:val="18"/>
          <w:szCs w:val="18"/>
          <w:color w:val="auto"/>
        </w:rPr>
        <w:t>In August, the economy grew 11.8% YoY and was 1.6% above its level in August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-276225</wp:posOffset>
            </wp:positionV>
            <wp:extent cx="3818255" cy="16503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18255" cy="1650365"/>
                    </a:xfrm>
                    <a:prstGeom prst="rect">
                      <a:avLst/>
                    </a:prstGeom>
                    <a:noFill/>
                  </pic:spPr>
                </pic:pic>
              </a:graphicData>
            </a:graphic>
          </wp:anchor>
        </w:drawing>
      </w:r>
    </w:p>
    <w:p>
      <w:pPr>
        <w:spacing w:after="0" w:line="162" w:lineRule="exact"/>
        <w:rPr>
          <w:sz w:val="20"/>
          <w:szCs w:val="20"/>
          <w:color w:val="auto"/>
        </w:rPr>
      </w:pPr>
    </w:p>
    <w:p>
      <w:pPr>
        <w:jc w:val="both"/>
        <w:ind w:left="6340"/>
        <w:spacing w:after="0" w:line="249" w:lineRule="auto"/>
        <w:rPr>
          <w:sz w:val="20"/>
          <w:szCs w:val="20"/>
          <w:color w:val="auto"/>
        </w:rPr>
      </w:pPr>
      <w:r>
        <w:rPr>
          <w:rFonts w:ascii="Arial" w:cs="Arial" w:eastAsia="Arial" w:hAnsi="Arial"/>
          <w:sz w:val="18"/>
          <w:szCs w:val="18"/>
          <w:color w:val="auto"/>
        </w:rPr>
        <w:t>Our estimates suggested that the economy would have rebounded 11.2% in 3Q21, after falling -8.8% YoY in the third quarter of last year as a result of quarantines, thus reaching 1.5% above the levels of the third quarter of 2020.</w:t>
      </w:r>
    </w:p>
    <w:p>
      <w:pPr>
        <w:spacing w:after="0" w:line="191" w:lineRule="exact"/>
        <w:rPr>
          <w:sz w:val="20"/>
          <w:szCs w:val="20"/>
          <w:color w:val="auto"/>
        </w:rPr>
      </w:pPr>
    </w:p>
    <w:p>
      <w:pPr>
        <w:jc w:val="both"/>
        <w:ind w:left="6340"/>
        <w:spacing w:after="0" w:line="260" w:lineRule="auto"/>
        <w:rPr>
          <w:sz w:val="20"/>
          <w:szCs w:val="20"/>
          <w:color w:val="auto"/>
        </w:rPr>
      </w:pPr>
      <w:r>
        <w:rPr>
          <w:rFonts w:ascii="Arial" w:cs="Arial" w:eastAsia="Arial" w:hAnsi="Arial"/>
          <w:sz w:val="18"/>
          <w:szCs w:val="18"/>
          <w:color w:val="auto"/>
        </w:rPr>
        <w:t>So far this year, Jan-Sep, GDP has accumulated a rebound of 17.4% and 0.4% versus 2020.</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Banco Central de Reserva del Perú. Estimate: BCP</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ind w:left="4440"/>
        <w:spacing w:after="0"/>
        <w:rPr>
          <w:sz w:val="20"/>
          <w:szCs w:val="20"/>
          <w:color w:val="auto"/>
        </w:rPr>
      </w:pPr>
      <w:r>
        <w:rPr>
          <w:rFonts w:ascii="Arial" w:cs="Arial" w:eastAsia="Arial" w:hAnsi="Arial"/>
          <w:sz w:val="18"/>
          <w:szCs w:val="18"/>
          <w:b w:val="1"/>
          <w:bCs w:val="1"/>
          <w:color w:val="auto"/>
        </w:rPr>
        <w:t>Inflation and Monetary Policy Rate (%)</w:t>
      </w:r>
    </w:p>
    <w:p>
      <w:pPr>
        <w:spacing w:after="0" w:line="219" w:lineRule="exact"/>
        <w:rPr>
          <w:sz w:val="20"/>
          <w:szCs w:val="20"/>
          <w:color w:val="auto"/>
        </w:rPr>
      </w:pPr>
    </w:p>
    <w:p>
      <w:pPr>
        <w:jc w:val="both"/>
        <w:ind w:left="6380"/>
        <w:spacing w:after="0" w:line="260" w:lineRule="auto"/>
        <w:rPr>
          <w:sz w:val="20"/>
          <w:szCs w:val="20"/>
          <w:color w:val="auto"/>
        </w:rPr>
      </w:pPr>
      <w:r>
        <w:rPr>
          <w:rFonts w:ascii="Arial" w:cs="Arial" w:eastAsia="Arial" w:hAnsi="Arial"/>
          <w:sz w:val="18"/>
          <w:szCs w:val="18"/>
          <w:color w:val="auto"/>
        </w:rPr>
        <w:t>Annual inflation ended 3Q21 at 5.2% YoY (2Q21: 3.3%) and continue at the upper limit of BCRP's target range (1%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-276225</wp:posOffset>
            </wp:positionV>
            <wp:extent cx="3818255" cy="17424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18255" cy="1742440"/>
                    </a:xfrm>
                    <a:prstGeom prst="rect">
                      <a:avLst/>
                    </a:prstGeom>
                    <a:noFill/>
                  </pic:spPr>
                </pic:pic>
              </a:graphicData>
            </a:graphic>
          </wp:anchor>
        </w:drawing>
      </w:r>
    </w:p>
    <w:p>
      <w:pPr>
        <w:spacing w:after="0" w:line="162" w:lineRule="exact"/>
        <w:rPr>
          <w:sz w:val="20"/>
          <w:szCs w:val="20"/>
          <w:color w:val="auto"/>
        </w:rPr>
      </w:pPr>
    </w:p>
    <w:p>
      <w:pPr>
        <w:jc w:val="both"/>
        <w:ind w:left="6380"/>
        <w:spacing w:after="0" w:line="286" w:lineRule="auto"/>
        <w:rPr>
          <w:sz w:val="20"/>
          <w:szCs w:val="20"/>
          <w:color w:val="auto"/>
        </w:rPr>
      </w:pPr>
      <w:r>
        <w:rPr>
          <w:rFonts w:ascii="Arial" w:cs="Arial" w:eastAsia="Arial" w:hAnsi="Arial"/>
          <w:sz w:val="16"/>
          <w:szCs w:val="16"/>
          <w:color w:val="auto"/>
        </w:rPr>
        <w:t>The acceleration of inflation in 3Q21 is mainly explained by food and energy in response to factors such as a higher exchange rate and higher prices of agricultural commodities; for example, in 3Q21 soybean prices rose 23% compared to 3Q20, likewise, corn prices rose 42%, wheat 26% and WTI oil 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Banco Central de Reserva del Perú</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Core inflation (excluding food and energy) stood at 2.6% YoY (2Q21: 1.9%).</w:t>
      </w:r>
    </w:p>
    <w:p>
      <w:pPr>
        <w:spacing w:after="0" w:line="21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reference rate remained at 0.25% until July 2021. Since August 2021, the Central Reserve Bank (BCRP) has made increases in its reference rate by +25 bps in Aug 21 to 0.50%, and by +50 bps in Sep 21 to 1.00%. BCRP’s board considered that monetary policy continues to be expansionary with a historically low benchmark interest rate, and that the September decision does not necessarily imply a cycle of successive increases in the benchmark interest rate.</w:t>
      </w:r>
    </w:p>
    <w:p>
      <w:pPr>
        <w:spacing w:after="0" w:line="155" w:lineRule="exact"/>
        <w:rPr>
          <w:sz w:val="20"/>
          <w:szCs w:val="20"/>
          <w:color w:val="auto"/>
        </w:rPr>
      </w:pPr>
    </w:p>
    <w:p>
      <w:pPr>
        <w:jc w:val="center"/>
        <w:ind w:right="340"/>
        <w:spacing w:after="0"/>
        <w:rPr>
          <w:sz w:val="20"/>
          <w:szCs w:val="20"/>
          <w:color w:val="auto"/>
        </w:rPr>
      </w:pPr>
      <w:r>
        <w:rPr>
          <w:rFonts w:ascii="Arial" w:cs="Arial" w:eastAsia="Arial" w:hAnsi="Arial"/>
          <w:sz w:val="15"/>
          <w:szCs w:val="15"/>
          <w:color w:val="auto"/>
        </w:rPr>
        <w:t>At the end of 3Q21, the reporting operations with state guarantee (associated with the Reactiva Peru program) totalled S/43.7 billion (2Q21: S/47.9 billion).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Result and Current Account Balance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of GDP, Quarter)</w:t>
      </w:r>
    </w:p>
    <w:p>
      <w:pPr>
        <w:spacing w:after="0" w:line="201" w:lineRule="exact"/>
        <w:rPr>
          <w:sz w:val="20"/>
          <w:szCs w:val="20"/>
          <w:color w:val="auto"/>
        </w:rPr>
      </w:pPr>
    </w:p>
    <w:p>
      <w:pPr>
        <w:jc w:val="both"/>
        <w:ind w:left="6080"/>
        <w:spacing w:after="0" w:line="260" w:lineRule="auto"/>
        <w:rPr>
          <w:sz w:val="20"/>
          <w:szCs w:val="20"/>
          <w:color w:val="auto"/>
        </w:rPr>
      </w:pPr>
      <w:r>
        <w:rPr>
          <w:rFonts w:ascii="Arial" w:cs="Arial" w:eastAsia="Arial" w:hAnsi="Arial"/>
          <w:sz w:val="18"/>
          <w:szCs w:val="18"/>
          <w:color w:val="auto"/>
        </w:rPr>
        <w:t>In annualized terms, the fiscal deficit decreased to 4.8% of GDP in 3Q21 (2Q21: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-276225</wp:posOffset>
            </wp:positionV>
            <wp:extent cx="3584575" cy="20008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584575" cy="2000885"/>
                    </a:xfrm>
                    <a:prstGeom prst="rect">
                      <a:avLst/>
                    </a:prstGeom>
                    <a:noFill/>
                  </pic:spPr>
                </pic:pic>
              </a:graphicData>
            </a:graphic>
          </wp:anchor>
        </w:drawing>
      </w:r>
    </w:p>
    <w:p>
      <w:pPr>
        <w:spacing w:after="0" w:line="162" w:lineRule="exact"/>
        <w:rPr>
          <w:sz w:val="20"/>
          <w:szCs w:val="20"/>
          <w:color w:val="auto"/>
        </w:rPr>
      </w:pPr>
    </w:p>
    <w:p>
      <w:pPr>
        <w:jc w:val="both"/>
        <w:ind w:left="6080"/>
        <w:spacing w:after="0" w:line="260" w:lineRule="auto"/>
        <w:rPr>
          <w:sz w:val="20"/>
          <w:szCs w:val="20"/>
          <w:color w:val="auto"/>
        </w:rPr>
      </w:pPr>
      <w:r>
        <w:rPr>
          <w:rFonts w:ascii="Arial" w:cs="Arial" w:eastAsia="Arial" w:hAnsi="Arial"/>
          <w:sz w:val="18"/>
          <w:szCs w:val="18"/>
          <w:color w:val="auto"/>
        </w:rPr>
        <w:t>General government revenue grew 47.1% YoY after falling 38% YoY in 3Q20 and 17.6% compared to the same period of 2019.</w:t>
      </w:r>
    </w:p>
    <w:p>
      <w:pPr>
        <w:spacing w:after="0" w:line="182" w:lineRule="exact"/>
        <w:rPr>
          <w:sz w:val="20"/>
          <w:szCs w:val="20"/>
          <w:color w:val="auto"/>
        </w:rPr>
      </w:pPr>
    </w:p>
    <w:p>
      <w:pPr>
        <w:jc w:val="both"/>
        <w:ind w:left="6080"/>
        <w:spacing w:after="0" w:line="247" w:lineRule="auto"/>
        <w:rPr>
          <w:sz w:val="20"/>
          <w:szCs w:val="20"/>
          <w:color w:val="auto"/>
        </w:rPr>
      </w:pPr>
      <w:r>
        <w:rPr>
          <w:rFonts w:ascii="Arial" w:cs="Arial" w:eastAsia="Arial" w:hAnsi="Arial"/>
          <w:sz w:val="18"/>
          <w:szCs w:val="18"/>
          <w:color w:val="auto"/>
        </w:rPr>
        <w:t>The increase in tax revenue of 51.9% (22.7% compared to the same period of 2019) is explained by the favourable situation of higher mineral prices and the recovery of economic activity, as well as greater extraordinary income from tax debts and supervision. In this period, non-tax income grew 32.7% compared to 3Q20 (2.8% versus the same period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BCP Estimate</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Source: Banco Central de Reserva del Perú</w:t>
      </w:r>
    </w:p>
    <w:p>
      <w:pPr>
        <w:spacing w:after="0" w:line="20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increase in non-financial expenses of the general government in the period to 3Q21 in 20.6% versus 3Q20 (25.6% compared to 2019) was mainly explained by 95% higher public investment (27% compared to similar period of 2019) in the three levels of government and, to a lesser extent, due to the 11.7% higher current expenditure (24.8% compared to the same period of 2019), mostly in goods and services to address COVID-19.</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2021, Moody’s cut Peru's credit rating from A3 to Baa1, with a stable outlook.</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the Jan-Aug 2021 period, the trade balance accumulated a surplus of US$ 8,009 million, which is almost 165% greater than the same period of the previous year (Jan-Aug 2020: US$ 3,036 million).</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Exports grew 58.5% YoY in said period, due to higher traditional shipments (+ 68.3%), while non-traditional shipments increased 36% YoY. Also, imports advanced 43.5% YoY; with an increase in inputs of 53.2%, and imports of capital goods increased 47% YoY.</w:t>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1" w:name="page62"/>
    <w:bookmarkEnd w:id="61"/>
    <w:p>
      <w:pPr>
        <w:jc w:val="both"/>
        <w:spacing w:after="0" w:line="252" w:lineRule="auto"/>
        <w:rPr>
          <w:sz w:val="20"/>
          <w:szCs w:val="20"/>
          <w:color w:val="auto"/>
        </w:rPr>
      </w:pPr>
      <w:r>
        <w:rPr>
          <w:rFonts w:ascii="Arial" w:cs="Arial" w:eastAsia="Arial" w:hAnsi="Arial"/>
          <w:sz w:val="18"/>
          <w:szCs w:val="18"/>
          <w:color w:val="auto"/>
        </w:rPr>
        <w:t>In the last twelve months until Aug-21, the accumulated trade surplus reaches US$ 13.2 billion, a new all-time high. Finally, in Aug-21, terms of trade rose 5.3% YoY, favored by higher export prices. In 3Q21, the international price of copper averaged US$ 4.26 / lb, an increase of 44% versus USD 2.96 / lb in 3Q20 and US$ 2.63 / lb in 3Q19.</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rate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por US$)</w:t>
      </w:r>
    </w:p>
    <w:p>
      <w:pPr>
        <w:spacing w:after="0" w:line="201" w:lineRule="exact"/>
        <w:rPr>
          <w:sz w:val="20"/>
          <w:szCs w:val="20"/>
          <w:color w:val="auto"/>
        </w:rPr>
      </w:pPr>
    </w:p>
    <w:p>
      <w:pPr>
        <w:jc w:val="both"/>
        <w:ind w:left="6080"/>
        <w:spacing w:after="0" w:line="247" w:lineRule="auto"/>
        <w:rPr>
          <w:sz w:val="20"/>
          <w:szCs w:val="20"/>
          <w:color w:val="auto"/>
        </w:rPr>
      </w:pPr>
      <w:r>
        <w:rPr>
          <w:rFonts w:ascii="Arial" w:cs="Arial" w:eastAsia="Arial" w:hAnsi="Arial"/>
          <w:sz w:val="18"/>
          <w:szCs w:val="18"/>
          <w:color w:val="auto"/>
        </w:rPr>
        <w:t>The exchange rate ended 3Q21 at USDPEN 4.1345 (historical maximum), which represented a 7% depreciation of the Peruvian Sol compared to the end of 2Q21 (USDPEN 3.8659), 14.3% compared to the end of 2020 (USDPEN 3.6180) and 24.8% compared to the end of 2019 (USDPEN 3.3123).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-668020</wp:posOffset>
            </wp:positionV>
            <wp:extent cx="3551555" cy="19926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551555" cy="1992630"/>
                    </a:xfrm>
                    <a:prstGeom prst="rect">
                      <a:avLst/>
                    </a:prstGeom>
                    <a:noFill/>
                  </pic:spPr>
                </pic:pic>
              </a:graphicData>
            </a:graphic>
          </wp:anchor>
        </w:drawing>
      </w:r>
    </w:p>
    <w:p>
      <w:pPr>
        <w:spacing w:after="0" w:line="175" w:lineRule="exact"/>
        <w:rPr>
          <w:sz w:val="20"/>
          <w:szCs w:val="20"/>
          <w:color w:val="auto"/>
        </w:rPr>
      </w:pPr>
    </w:p>
    <w:p>
      <w:pPr>
        <w:jc w:val="both"/>
        <w:ind w:left="6080"/>
        <w:spacing w:after="0" w:line="249" w:lineRule="auto"/>
        <w:rPr>
          <w:sz w:val="20"/>
          <w:szCs w:val="20"/>
          <w:color w:val="auto"/>
        </w:rPr>
      </w:pPr>
      <w:r>
        <w:rPr>
          <w:rFonts w:ascii="Arial" w:cs="Arial" w:eastAsia="Arial" w:hAnsi="Arial"/>
          <w:sz w:val="18"/>
          <w:szCs w:val="18"/>
          <w:color w:val="auto"/>
        </w:rPr>
        <w:t>It is important to note that the currencies in the region presented similar results during 3Q21: there was a depreciation of the Brazilian Real (9.54%), the Chilean Peso (10.31%), the Colombian Peso (1.44%) and the Mexican Peso (3.53%).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Source: SBS</w:t>
      </w:r>
    </w:p>
    <w:p>
      <w:pPr>
        <w:spacing w:after="0" w:line="21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During 3Q21, BCRP made net sales in the spot exchange market for US$ 4,279 million, and accumulated sales between January and September by US$ 9,249 million. Likewise, the bank continued to use a set of FX instruments to mitigate pressures on the exchange rate: at the end of 3Q21 the balance of ADC of BCRP stood at S/ 3.9 billion (2Q21: S/ 7.7 billion), and the balance of Swaps Foreign exchange (sale) was S/ 29.4 billion (2Q21: S/ 26.9 billion).</w:t>
      </w:r>
    </w:p>
    <w:p>
      <w:pPr>
        <w:spacing w:after="0" w:line="155"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Net International Reserves ended 3Q21 at US$ 76.0 billion versus US$ 71.9 billion at the end of 2Q21 (at the end of 2020 they were US$ 74.7 billion). Finally, the exchange position of BCRP was US$ 55.9 billion, a drop of US$ 2.5 billion compared to the end of 2Q21 (at the end of 2020 it was US$ 58.8 billion).</w:t>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1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material includes “forward-looking statements” within the meaning of Section 27A of the U.S. Securities Act of 1933 and Section 21E of the U.S. Securities Exchange Act of 1934. All statements other than statements of historical fact are forward-looking and may contain information about financial results, economic conditions, trends and known uncertainties. Forward-looking statements are not assurances of future performance. Instead, they are based only on our management’s current views, beliefs, expectations and assumptions regarding the future of our business, future plans and strategies, projections, anticipated events and trends, the economy and other future conditions.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Many forward-looking statements can be identified by words such as: “anticipate”, “intend”, “plan”, “goal”, “seek”, “believe”, “project”, “estimate”, “expect”, “strategy”, “future”, “likely”, “would”, “may”, “should”, “will”, “see” and similar references to future periods. Examples of forward-looking statements include, among others, statements or estimates we make regarding guidance relating to losses in our credit portfolio, efficiency ratio, provisions and non-performing loans, current or future market risk and future market conditions, expected macroeconomic events and conditions, our belief that we have sufficient capital and liquidity to fund our business operations, expectations of the effect on our financial condition of claims, legal actions, environmental costs, contingent liabilities and governmental and regulatory investigations and proceedings, strategy for customer retention, growth, governmental programs and regulatory initiatives, credit administration, product development, market position, financial results and reserves and strategy for risk management.</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caution readers that forward-looking statements involve known and unknown risks and uncertainties that could cause actual results, performance or events to differ materially from those that we expect or that are expressed or implied in the forward-looking statements, depending on the outcome of certain factors, including, without limitation, adverse changes in:</w:t>
      </w:r>
    </w:p>
    <w:p>
      <w:pPr>
        <w:spacing w:after="0" w:line="188" w:lineRule="exact"/>
        <w:rPr>
          <w:sz w:val="20"/>
          <w:szCs w:val="20"/>
          <w:color w:val="auto"/>
        </w:rPr>
      </w:pPr>
    </w:p>
    <w:p>
      <w:pPr>
        <w:ind w:left="640" w:hanging="320"/>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Economic conditions in Peru;</w:t>
      </w:r>
    </w:p>
    <w:p>
      <w:pPr>
        <w:spacing w:after="0" w:line="14" w:lineRule="exact"/>
        <w:rPr>
          <w:rFonts w:ascii="Arial" w:cs="Arial" w:eastAsia="Arial" w:hAnsi="Arial"/>
          <w:sz w:val="18"/>
          <w:szCs w:val="18"/>
          <w:color w:val="auto"/>
        </w:rPr>
      </w:pPr>
    </w:p>
    <w:p>
      <w:pPr>
        <w:ind w:left="640" w:hanging="320"/>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occurrence of natural disasters or political or social instability in Peru;</w:t>
      </w:r>
    </w:p>
    <w:p>
      <w:pPr>
        <w:spacing w:after="0" w:line="3" w:lineRule="exact"/>
        <w:rPr>
          <w:rFonts w:ascii="Arial" w:cs="Arial" w:eastAsia="Arial" w:hAnsi="Arial"/>
          <w:sz w:val="18"/>
          <w:szCs w:val="18"/>
          <w:color w:val="auto"/>
        </w:rPr>
      </w:pPr>
    </w:p>
    <w:p>
      <w:pPr>
        <w:ind w:left="640" w:hanging="320"/>
        <w:spacing w:after="0" w:line="243" w:lineRule="auto"/>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adequacy of the dividends that our subsidiaries are able to pay to us, which may affect our ability to pay dividends to shareholders and corporate expenses;</w:t>
      </w:r>
    </w:p>
    <w:p>
      <w:pPr>
        <w:ind w:left="640" w:hanging="320"/>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Performance of, and volatility in, financial markets, including Latin-American and other markets;</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frequency, severity and types of insured loss events;</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Fluctuations in interest rate levels;</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Foreign currency exchange rates, including the Sol/US Dollar exchange rate;</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Deterioration in the quality of our loan portfolio;</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Increasing levels of competition in Peru and other markets in which we operate;</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Developments and changes in laws and regulations affecting the financial sector and adoption of new international guidelines;</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Changes in the policies of central banks and/or foreign governments;</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Effectiveness of our risk management policies and of our operational and security systems;</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Losses associated with counterparty exposures;</w:t>
      </w:r>
    </w:p>
    <w:p>
      <w:pPr>
        <w:spacing w:after="0" w:line="3" w:lineRule="exact"/>
        <w:rPr>
          <w:rFonts w:ascii="Arial" w:cs="Arial" w:eastAsia="Arial" w:hAnsi="Arial"/>
          <w:sz w:val="18"/>
          <w:szCs w:val="18"/>
          <w:color w:val="auto"/>
        </w:rPr>
      </w:pPr>
    </w:p>
    <w:p>
      <w:pPr>
        <w:ind w:left="640" w:hanging="320"/>
        <w:spacing w:after="0" w:line="243" w:lineRule="auto"/>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scope of the coronavirus (“COVID-19”) outbreak, actions taken to contain the COVID-19 and related economic effects from such actions and our ability to maintain adequate staffing; and</w:t>
      </w:r>
    </w:p>
    <w:p>
      <w:pPr>
        <w:ind w:left="640" w:hanging="320"/>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Changes in Bermuda laws and regulations applicable to so-called non-resident entities.</w:t>
      </w: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See “Item 3. Key Information—3.D Risk Factors” and “Item 5. Operating and Financial Review and Prospects” in our most recent Annual Report on Form 20-F filed with the U.S. Securities and Exchange Commission for additional information and other such factors.</w:t>
      </w:r>
    </w:p>
    <w:p>
      <w:pPr>
        <w:spacing w:after="0" w:line="1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You are cautioned not to place undue reliance on these forward-looking statements, which speak only as of the date hereof and are based only on information currently available to us. Therefore, you should not rely on any of these forward-looking statements. We undertake no obligation to publicly update or revise these or any other forward-looking statements that may be made to reflect events or circumstances after the date hereof, whether as a result of changes in our business strategy or new information, to reflect the occurrence of unanticipated events or otherwise.</w:t>
      </w:r>
    </w:p>
    <w:p>
      <w:pPr>
        <w:spacing w:after="0" w:line="37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1361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572135</wp:posOffset>
            </wp:positionV>
            <wp:extent cx="7136130" cy="84950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6130" cy="8495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12.1. Credicorp</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8"/>
                <w:szCs w:val="18"/>
                <w:b w:val="1"/>
                <w:bCs w:val="1"/>
                <w:color w:val="auto"/>
              </w:rPr>
              <w:t>As of</w:t>
            </w:r>
          </w:p>
        </w:tc>
        <w:tc>
          <w:tcPr>
            <w:tcW w:w="12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Borders>
              <w:bottom w:val="single" w:sz="8" w:color="auto"/>
            </w:tcBorders>
            <w:gridSpan w:val="3"/>
          </w:tcPr>
          <w:p>
            <w:pPr>
              <w:ind w:left="1000"/>
              <w:spacing w:after="0"/>
              <w:rPr>
                <w:sz w:val="20"/>
                <w:szCs w:val="20"/>
                <w:color w:val="auto"/>
              </w:rPr>
            </w:pPr>
            <w:r>
              <w:rPr>
                <w:rFonts w:ascii="Arial" w:cs="Arial" w:eastAsia="Arial" w:hAnsi="Arial"/>
                <w:sz w:val="18"/>
                <w:szCs w:val="18"/>
                <w:b w:val="1"/>
                <w:bCs w:val="1"/>
                <w:color w:val="auto"/>
                <w:w w:val="99"/>
              </w:rPr>
              <w:t>% change</w:t>
            </w:r>
          </w:p>
        </w:tc>
        <w:tc>
          <w:tcPr>
            <w:tcW w:w="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Sep 2020</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Jun 2021</w:t>
            </w:r>
          </w:p>
        </w:tc>
        <w:tc>
          <w:tcPr>
            <w:tcW w:w="1220" w:type="dxa"/>
            <w:vAlign w:val="bottom"/>
          </w:tcPr>
          <w:p>
            <w:pPr>
              <w:jc w:val="right"/>
              <w:ind w:right="192"/>
              <w:spacing w:after="0"/>
              <w:rPr>
                <w:sz w:val="20"/>
                <w:szCs w:val="20"/>
                <w:color w:val="auto"/>
              </w:rPr>
            </w:pPr>
            <w:r>
              <w:rPr>
                <w:rFonts w:ascii="Arial" w:cs="Arial" w:eastAsia="Arial" w:hAnsi="Arial"/>
                <w:sz w:val="18"/>
                <w:szCs w:val="18"/>
                <w:b w:val="1"/>
                <w:bCs w:val="1"/>
                <w:color w:val="auto"/>
              </w:rPr>
              <w:t>Sep 2021</w:t>
            </w:r>
          </w:p>
        </w:tc>
        <w:tc>
          <w:tcPr>
            <w:tcW w:w="200" w:type="dxa"/>
            <w:vAlign w:val="bottom"/>
          </w:tcPr>
          <w:p>
            <w:pPr>
              <w:spacing w:after="0"/>
              <w:rPr>
                <w:sz w:val="18"/>
                <w:szCs w:val="18"/>
                <w:color w:val="auto"/>
              </w:rPr>
            </w:pPr>
          </w:p>
        </w:tc>
        <w:tc>
          <w:tcPr>
            <w:tcW w:w="1860" w:type="dxa"/>
            <w:vAlign w:val="bottom"/>
            <w:gridSpan w:val="3"/>
          </w:tcPr>
          <w:p>
            <w:pPr>
              <w:ind w:left="440"/>
              <w:spacing w:after="0"/>
              <w:rPr>
                <w:sz w:val="20"/>
                <w:szCs w:val="20"/>
                <w:color w:val="auto"/>
              </w:rPr>
            </w:pPr>
            <w:r>
              <w:rPr>
                <w:rFonts w:ascii="Arial" w:cs="Arial" w:eastAsia="Arial" w:hAnsi="Arial"/>
                <w:sz w:val="18"/>
                <w:szCs w:val="18"/>
                <w:b w:val="1"/>
                <w:bCs w:val="1"/>
                <w:color w:val="auto"/>
              </w:rPr>
              <w:t>QoQ</w:t>
            </w:r>
          </w:p>
        </w:tc>
        <w:tc>
          <w:tcPr>
            <w:tcW w:w="880" w:type="dxa"/>
            <w:vAlign w:val="bottom"/>
          </w:tcPr>
          <w:p>
            <w:pPr>
              <w:ind w:left="10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ASSETS</w:t>
            </w:r>
          </w:p>
        </w:tc>
        <w:tc>
          <w:tcPr>
            <w:tcW w:w="1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Non-interest bearing</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6,916,416</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8,883,164</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8,360,631</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Interest bearing</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28,221,543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29,075,474</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36,147,225</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24.3%</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jc w:val="center"/>
              <w:ind w:right="33"/>
              <w:spacing w:after="0"/>
              <w:rPr>
                <w:sz w:val="20"/>
                <w:szCs w:val="20"/>
                <w:color w:val="auto"/>
              </w:rPr>
            </w:pPr>
            <w:r>
              <w:rPr>
                <w:rFonts w:ascii="Arial" w:cs="Arial" w:eastAsia="Arial" w:hAnsi="Arial"/>
                <w:sz w:val="18"/>
                <w:szCs w:val="18"/>
                <w:b w:val="1"/>
                <w:bCs w:val="1"/>
                <w:color w:val="auto"/>
                <w:w w:val="86"/>
              </w:rPr>
              <w:t>Total cash and due from banks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35,137,959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37,958,638</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44,507,856</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17.3%</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20" w:type="dxa"/>
            <w:vAlign w:val="bottom"/>
          </w:tcPr>
          <w:p>
            <w:pPr>
              <w:spacing w:after="0" w:line="198" w:lineRule="exact"/>
              <w:rPr>
                <w:sz w:val="20"/>
                <w:szCs w:val="20"/>
                <w:color w:val="auto"/>
              </w:rPr>
            </w:pPr>
            <w:r>
              <w:rPr>
                <w:rFonts w:ascii="Arial" w:cs="Arial" w:eastAsia="Arial" w:hAnsi="Arial"/>
                <w:sz w:val="18"/>
                <w:szCs w:val="18"/>
                <w:color w:val="auto"/>
                <w:w w:val="95"/>
              </w:rPr>
              <w:t>Cash collateral, reverse repurchase agreements and</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40" w:type="dxa"/>
            <w:vAlign w:val="bottom"/>
            <w:gridSpan w:val="2"/>
          </w:tcPr>
          <w:p>
            <w:pPr>
              <w:spacing w:after="0"/>
              <w:rPr>
                <w:sz w:val="20"/>
                <w:szCs w:val="20"/>
                <w:color w:val="auto"/>
              </w:rPr>
            </w:pPr>
            <w:r>
              <w:rPr>
                <w:rFonts w:ascii="Arial" w:cs="Arial" w:eastAsia="Arial" w:hAnsi="Arial"/>
                <w:sz w:val="18"/>
                <w:szCs w:val="18"/>
                <w:color w:val="auto"/>
              </w:rPr>
              <w:t>securities borrowing</w:t>
            </w:r>
          </w:p>
        </w:tc>
        <w:tc>
          <w:tcPr>
            <w:tcW w:w="1220" w:type="dxa"/>
            <w:vAlign w:val="bottom"/>
          </w:tcPr>
          <w:p>
            <w:pPr>
              <w:jc w:val="right"/>
              <w:spacing w:after="0"/>
              <w:rPr>
                <w:sz w:val="20"/>
                <w:szCs w:val="20"/>
                <w:color w:val="auto"/>
              </w:rPr>
            </w:pPr>
            <w:r>
              <w:rPr>
                <w:rFonts w:ascii="Arial" w:cs="Arial" w:eastAsia="Arial" w:hAnsi="Arial"/>
                <w:sz w:val="18"/>
                <w:szCs w:val="18"/>
                <w:color w:val="auto"/>
              </w:rPr>
              <w:t>2,821,116</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1,616,654</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2,555,337</w:t>
            </w:r>
          </w:p>
        </w:tc>
        <w:tc>
          <w:tcPr>
            <w:tcW w:w="20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58.1%</w:t>
            </w: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Fair value through profit or loss investments</w:t>
            </w:r>
          </w:p>
        </w:tc>
        <w:tc>
          <w:tcPr>
            <w:tcW w:w="1220" w:type="dxa"/>
            <w:vAlign w:val="bottom"/>
          </w:tcPr>
          <w:p>
            <w:pPr>
              <w:jc w:val="right"/>
              <w:spacing w:after="0"/>
              <w:rPr>
                <w:sz w:val="20"/>
                <w:szCs w:val="20"/>
                <w:color w:val="auto"/>
              </w:rPr>
            </w:pPr>
            <w:r>
              <w:rPr>
                <w:rFonts w:ascii="Arial" w:cs="Arial" w:eastAsia="Arial" w:hAnsi="Arial"/>
                <w:sz w:val="18"/>
                <w:szCs w:val="18"/>
                <w:color w:val="auto"/>
              </w:rPr>
              <w:t>6,658,680</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6,791,288</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6,660,487</w:t>
            </w:r>
          </w:p>
        </w:tc>
        <w:tc>
          <w:tcPr>
            <w:tcW w:w="2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2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Fair value through other comprehensive income</w:t>
            </w: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40,712,831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40,273,400</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33,262,618</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Amortized cost investments</w:t>
            </w:r>
          </w:p>
        </w:tc>
        <w:tc>
          <w:tcPr>
            <w:tcW w:w="1220" w:type="dxa"/>
            <w:vAlign w:val="bottom"/>
          </w:tcPr>
          <w:p>
            <w:pPr>
              <w:jc w:val="right"/>
              <w:spacing w:after="0"/>
              <w:rPr>
                <w:sz w:val="20"/>
                <w:szCs w:val="20"/>
                <w:color w:val="auto"/>
              </w:rPr>
            </w:pPr>
            <w:r>
              <w:rPr>
                <w:rFonts w:ascii="Arial" w:cs="Arial" w:eastAsia="Arial" w:hAnsi="Arial"/>
                <w:sz w:val="18"/>
                <w:szCs w:val="18"/>
                <w:color w:val="auto"/>
              </w:rPr>
              <w:t>4,277,475</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7,707,956</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8,187,351</w:t>
            </w:r>
          </w:p>
        </w:tc>
        <w:tc>
          <w:tcPr>
            <w:tcW w:w="2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Loans</w:t>
            </w:r>
          </w:p>
        </w:tc>
        <w:tc>
          <w:tcPr>
            <w:tcW w:w="1220" w:type="dxa"/>
            <w:vAlign w:val="bottom"/>
          </w:tcPr>
          <w:p>
            <w:pPr>
              <w:jc w:val="right"/>
              <w:spacing w:after="0"/>
              <w:rPr>
                <w:sz w:val="20"/>
                <w:szCs w:val="20"/>
                <w:color w:val="auto"/>
              </w:rPr>
            </w:pPr>
            <w:r>
              <w:rPr>
                <w:rFonts w:ascii="Arial" w:cs="Arial" w:eastAsia="Arial" w:hAnsi="Arial"/>
                <w:sz w:val="18"/>
                <w:szCs w:val="18"/>
                <w:color w:val="auto"/>
              </w:rPr>
              <w:t>136,148,711</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143,091,752</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146,551,226</w:t>
            </w:r>
          </w:p>
        </w:tc>
        <w:tc>
          <w:tcPr>
            <w:tcW w:w="2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132,005,867</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138,037,399</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141,077,541</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Internal overdue loans</w:t>
            </w:r>
          </w:p>
        </w:tc>
        <w:tc>
          <w:tcPr>
            <w:tcW w:w="1220" w:type="dxa"/>
            <w:vAlign w:val="bottom"/>
          </w:tcPr>
          <w:p>
            <w:pPr>
              <w:jc w:val="right"/>
              <w:spacing w:after="0"/>
              <w:rPr>
                <w:sz w:val="20"/>
                <w:szCs w:val="20"/>
                <w:color w:val="auto"/>
              </w:rPr>
            </w:pPr>
            <w:r>
              <w:rPr>
                <w:rFonts w:ascii="Arial" w:cs="Arial" w:eastAsia="Arial" w:hAnsi="Arial"/>
                <w:sz w:val="18"/>
                <w:szCs w:val="18"/>
                <w:color w:val="auto"/>
              </w:rPr>
              <w:t>4,142,844</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5,054,353</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5,473,685</w:t>
            </w:r>
          </w:p>
        </w:tc>
        <w:tc>
          <w:tcPr>
            <w:tcW w:w="2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 allow ance for loan losses</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(9,656,383)</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(9,391,151)</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(9,077,449)</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Loans, net</w:t>
            </w:r>
          </w:p>
        </w:tc>
        <w:tc>
          <w:tcPr>
            <w:tcW w:w="1220" w:type="dxa"/>
            <w:vAlign w:val="bottom"/>
          </w:tcPr>
          <w:p>
            <w:pPr>
              <w:jc w:val="right"/>
              <w:spacing w:after="0"/>
              <w:rPr>
                <w:sz w:val="20"/>
                <w:szCs w:val="20"/>
                <w:color w:val="auto"/>
              </w:rPr>
            </w:pPr>
            <w:r>
              <w:rPr>
                <w:rFonts w:ascii="Arial" w:cs="Arial" w:eastAsia="Arial" w:hAnsi="Arial"/>
                <w:sz w:val="18"/>
                <w:szCs w:val="18"/>
                <w:color w:val="auto"/>
              </w:rPr>
              <w:t>126,492,328</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133,700,601</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137,473,777</w:t>
            </w:r>
          </w:p>
        </w:tc>
        <w:tc>
          <w:tcPr>
            <w:tcW w:w="2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20" w:type="dxa"/>
            <w:vAlign w:val="bottom"/>
          </w:tcPr>
          <w:p>
            <w:pPr>
              <w:spacing w:after="0" w:line="198" w:lineRule="exact"/>
              <w:rPr>
                <w:sz w:val="20"/>
                <w:szCs w:val="20"/>
                <w:color w:val="auto"/>
              </w:rPr>
            </w:pPr>
            <w:r>
              <w:rPr>
                <w:rFonts w:ascii="Arial" w:cs="Arial" w:eastAsia="Arial" w:hAnsi="Arial"/>
                <w:sz w:val="18"/>
                <w:szCs w:val="18"/>
                <w:color w:val="auto"/>
                <w:w w:val="92"/>
              </w:rPr>
              <w:t>Financial assets designated at fair value through profit</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40" w:type="dxa"/>
            <w:vAlign w:val="bottom"/>
            <w:gridSpan w:val="2"/>
          </w:tcPr>
          <w:p>
            <w:pPr>
              <w:spacing w:after="0"/>
              <w:rPr>
                <w:sz w:val="20"/>
                <w:szCs w:val="20"/>
                <w:color w:val="auto"/>
              </w:rPr>
            </w:pPr>
            <w:r>
              <w:rPr>
                <w:rFonts w:ascii="Arial" w:cs="Arial" w:eastAsia="Arial" w:hAnsi="Arial"/>
                <w:sz w:val="18"/>
                <w:szCs w:val="18"/>
                <w:color w:val="auto"/>
              </w:rPr>
              <w:t>or loss</w:t>
            </w:r>
          </w:p>
        </w:tc>
        <w:tc>
          <w:tcPr>
            <w:tcW w:w="1220" w:type="dxa"/>
            <w:vAlign w:val="bottom"/>
          </w:tcPr>
          <w:p>
            <w:pPr>
              <w:jc w:val="right"/>
              <w:spacing w:after="0"/>
              <w:rPr>
                <w:sz w:val="20"/>
                <w:szCs w:val="20"/>
                <w:color w:val="auto"/>
              </w:rPr>
            </w:pPr>
            <w:r>
              <w:rPr>
                <w:rFonts w:ascii="Arial" w:cs="Arial" w:eastAsia="Arial" w:hAnsi="Arial"/>
                <w:sz w:val="18"/>
                <w:szCs w:val="18"/>
                <w:color w:val="auto"/>
              </w:rPr>
              <w:t>729,059</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921,851</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981,508</w:t>
            </w:r>
          </w:p>
        </w:tc>
        <w:tc>
          <w:tcPr>
            <w:tcW w:w="20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w w:val="97"/>
              </w:rPr>
              <w:t>Accounts receivable from reinsurers and coinsurers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833,039</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1,043,042</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1,097,493</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Premiums and other policyholder receivables</w:t>
            </w:r>
          </w:p>
        </w:tc>
        <w:tc>
          <w:tcPr>
            <w:tcW w:w="1220" w:type="dxa"/>
            <w:vAlign w:val="bottom"/>
          </w:tcPr>
          <w:p>
            <w:pPr>
              <w:jc w:val="right"/>
              <w:spacing w:after="0"/>
              <w:rPr>
                <w:sz w:val="20"/>
                <w:szCs w:val="20"/>
                <w:color w:val="auto"/>
              </w:rPr>
            </w:pPr>
            <w:r>
              <w:rPr>
                <w:rFonts w:ascii="Arial" w:cs="Arial" w:eastAsia="Arial" w:hAnsi="Arial"/>
                <w:sz w:val="18"/>
                <w:szCs w:val="18"/>
                <w:color w:val="auto"/>
              </w:rPr>
              <w:t>801,480</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780,824</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801,531</w:t>
            </w:r>
          </w:p>
        </w:tc>
        <w:tc>
          <w:tcPr>
            <w:tcW w:w="2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2,073,864</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1,944,127</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1,911,478</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Due from customers on acceptances</w:t>
            </w:r>
          </w:p>
        </w:tc>
        <w:tc>
          <w:tcPr>
            <w:tcW w:w="1220" w:type="dxa"/>
            <w:vAlign w:val="bottom"/>
          </w:tcPr>
          <w:p>
            <w:pPr>
              <w:jc w:val="right"/>
              <w:spacing w:after="0"/>
              <w:rPr>
                <w:sz w:val="20"/>
                <w:szCs w:val="20"/>
                <w:color w:val="auto"/>
              </w:rPr>
            </w:pPr>
            <w:r>
              <w:rPr>
                <w:rFonts w:ascii="Arial" w:cs="Arial" w:eastAsia="Arial" w:hAnsi="Arial"/>
                <w:sz w:val="18"/>
                <w:szCs w:val="18"/>
                <w:color w:val="auto"/>
              </w:rPr>
              <w:t>256,238</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558,934</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776,863</w:t>
            </w:r>
          </w:p>
        </w:tc>
        <w:tc>
          <w:tcPr>
            <w:tcW w:w="2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39.0%</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associates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627,786</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627,683</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648,041</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Intangible assets and goodw ill, net</w:t>
            </w:r>
          </w:p>
        </w:tc>
        <w:tc>
          <w:tcPr>
            <w:tcW w:w="1220" w:type="dxa"/>
            <w:vAlign w:val="bottom"/>
          </w:tcPr>
          <w:p>
            <w:pPr>
              <w:jc w:val="right"/>
              <w:spacing w:after="0"/>
              <w:rPr>
                <w:sz w:val="20"/>
                <w:szCs w:val="20"/>
                <w:color w:val="auto"/>
              </w:rPr>
            </w:pPr>
            <w:r>
              <w:rPr>
                <w:rFonts w:ascii="Arial" w:cs="Arial" w:eastAsia="Arial" w:hAnsi="Arial"/>
                <w:sz w:val="18"/>
                <w:szCs w:val="18"/>
                <w:color w:val="auto"/>
              </w:rPr>
              <w:t>2,474,665</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2,647,676</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2,682,216</w:t>
            </w:r>
          </w:p>
        </w:tc>
        <w:tc>
          <w:tcPr>
            <w:tcW w:w="2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20" w:type="dxa"/>
            <w:vAlign w:val="bottom"/>
            <w:shd w:val="clear" w:color="auto" w:fill="CCEEFF"/>
          </w:tcPr>
          <w:p>
            <w:pPr>
              <w:spacing w:after="0" w:line="249" w:lineRule="exact"/>
              <w:rPr>
                <w:sz w:val="20"/>
                <w:szCs w:val="20"/>
                <w:color w:val="auto"/>
              </w:rPr>
            </w:pPr>
            <w:r>
              <w:rPr>
                <w:rFonts w:ascii="Arial" w:cs="Arial" w:eastAsia="Arial" w:hAnsi="Arial"/>
                <w:sz w:val="17"/>
                <w:szCs w:val="17"/>
                <w:color w:val="auto"/>
              </w:rPr>
              <w:t xml:space="preserve">Other assets </w:t>
            </w:r>
            <w:r>
              <w:rPr>
                <w:rFonts w:ascii="Arial" w:cs="Arial" w:eastAsia="Arial" w:hAnsi="Arial"/>
                <w:sz w:val="28"/>
                <w:szCs w:val="28"/>
                <w:color w:val="auto"/>
                <w:vertAlign w:val="superscript"/>
              </w:rPr>
              <w:t>(1)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7,780,221</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8,455,556</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9,995,835</w:t>
            </w:r>
          </w:p>
        </w:tc>
        <w:tc>
          <w:tcPr>
            <w:tcW w:w="2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c>
          <w:tcPr>
            <w:tcW w:w="3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jc w:val="center"/>
              <w:ind w:right="33"/>
              <w:spacing w:after="0"/>
              <w:rPr>
                <w:sz w:val="20"/>
                <w:szCs w:val="20"/>
                <w:color w:val="auto"/>
              </w:rPr>
            </w:pPr>
            <w:r>
              <w:rPr>
                <w:rFonts w:ascii="Arial" w:cs="Arial" w:eastAsia="Arial" w:hAnsi="Arial"/>
                <w:sz w:val="18"/>
                <w:szCs w:val="18"/>
                <w:b w:val="1"/>
                <w:bCs w:val="1"/>
                <w:color w:val="auto"/>
                <w:w w:val="84"/>
              </w:rPr>
              <w:t>Total Assets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231,676,741</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245,028,230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251,542,391</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Non-interest bearing</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45,680,396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52,879,988</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54,546,530</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Interest bearing</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91,522,278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96,281,815</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98,001,838</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deposits and obligations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137,202,674</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149,161,803</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152,548,368</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2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3"/>
              </w:rPr>
              <w:t>Payables from repurchase agreements and securities</w:t>
            </w: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27,778,922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25,963,227</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23,363,030</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BCRP instruments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25,344,724</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23,329,990</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20,746,109</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Repurchase agreements w ith third parties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1,204,487</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1,276,678</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1,330,811</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Repurchase agreements w ith customers</w:t>
            </w:r>
          </w:p>
        </w:tc>
        <w:tc>
          <w:tcPr>
            <w:tcW w:w="1220" w:type="dxa"/>
            <w:vAlign w:val="bottom"/>
          </w:tcPr>
          <w:p>
            <w:pPr>
              <w:jc w:val="right"/>
              <w:spacing w:after="0"/>
              <w:rPr>
                <w:sz w:val="20"/>
                <w:szCs w:val="20"/>
                <w:color w:val="auto"/>
              </w:rPr>
            </w:pPr>
            <w:r>
              <w:rPr>
                <w:rFonts w:ascii="Arial" w:cs="Arial" w:eastAsia="Arial" w:hAnsi="Arial"/>
                <w:sz w:val="18"/>
                <w:szCs w:val="18"/>
                <w:color w:val="auto"/>
              </w:rPr>
              <w:t>1,229,711</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1,356,559</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1,286,110</w:t>
            </w:r>
          </w:p>
        </w:tc>
        <w:tc>
          <w:tcPr>
            <w:tcW w:w="2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1220" w:type="dxa"/>
            <w:vAlign w:val="bottom"/>
          </w:tcPr>
          <w:p>
            <w:pPr>
              <w:jc w:val="right"/>
              <w:spacing w:after="0"/>
              <w:rPr>
                <w:sz w:val="20"/>
                <w:szCs w:val="20"/>
                <w:color w:val="auto"/>
              </w:rPr>
            </w:pPr>
            <w:r>
              <w:rPr>
                <w:rFonts w:ascii="Arial" w:cs="Arial" w:eastAsia="Arial" w:hAnsi="Arial"/>
                <w:sz w:val="18"/>
                <w:szCs w:val="18"/>
                <w:color w:val="auto"/>
              </w:rPr>
              <w:t>6,601,722</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6,239,161</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7,466,434</w:t>
            </w:r>
          </w:p>
        </w:tc>
        <w:tc>
          <w:tcPr>
            <w:tcW w:w="2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19.7%</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Bonds and notes issued</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16,425,832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16,951,481</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17,577,630</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Banker’s acceptances outstanding</w:t>
            </w:r>
          </w:p>
        </w:tc>
        <w:tc>
          <w:tcPr>
            <w:tcW w:w="1220" w:type="dxa"/>
            <w:vAlign w:val="bottom"/>
          </w:tcPr>
          <w:p>
            <w:pPr>
              <w:jc w:val="right"/>
              <w:spacing w:after="0"/>
              <w:rPr>
                <w:sz w:val="20"/>
                <w:szCs w:val="20"/>
                <w:color w:val="auto"/>
              </w:rPr>
            </w:pPr>
            <w:r>
              <w:rPr>
                <w:rFonts w:ascii="Arial" w:cs="Arial" w:eastAsia="Arial" w:hAnsi="Arial"/>
                <w:sz w:val="18"/>
                <w:szCs w:val="18"/>
                <w:color w:val="auto"/>
              </w:rPr>
              <w:t>256,238</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558,934</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776,863</w:t>
            </w:r>
          </w:p>
        </w:tc>
        <w:tc>
          <w:tcPr>
            <w:tcW w:w="2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39.0%</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Reserves for property and casualty claims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1,982,653</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2,492,303</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2,583,777</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Reserve for unearned premiums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9,111,195</w:t>
            </w:r>
          </w:p>
        </w:tc>
        <w:tc>
          <w:tcPr>
            <w:tcW w:w="1220" w:type="dxa"/>
            <w:vAlign w:val="bottom"/>
          </w:tcPr>
          <w:p>
            <w:pPr>
              <w:jc w:val="right"/>
              <w:spacing w:after="0"/>
              <w:rPr>
                <w:sz w:val="20"/>
                <w:szCs w:val="20"/>
                <w:color w:val="auto"/>
              </w:rPr>
            </w:pPr>
            <w:r>
              <w:rPr>
                <w:rFonts w:ascii="Arial" w:cs="Arial" w:eastAsia="Arial" w:hAnsi="Arial"/>
                <w:sz w:val="18"/>
                <w:szCs w:val="18"/>
                <w:color w:val="auto"/>
              </w:rPr>
              <w:t>9,664,914</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9,928,912</w:t>
            </w:r>
          </w:p>
        </w:tc>
        <w:tc>
          <w:tcPr>
            <w:tcW w:w="2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to reinsurers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222,194</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317,185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278,220</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w w:val="97"/>
              </w:rPr>
              <w:t>Financial liabilities at fair value through profit or loss</w:t>
            </w:r>
          </w:p>
        </w:tc>
        <w:tc>
          <w:tcPr>
            <w:tcW w:w="1220" w:type="dxa"/>
            <w:vAlign w:val="bottom"/>
          </w:tcPr>
          <w:p>
            <w:pPr>
              <w:jc w:val="right"/>
              <w:spacing w:after="0"/>
              <w:rPr>
                <w:sz w:val="20"/>
                <w:szCs w:val="20"/>
                <w:color w:val="auto"/>
              </w:rPr>
            </w:pPr>
            <w:r>
              <w:rPr>
                <w:rFonts w:ascii="Arial" w:cs="Arial" w:eastAsia="Arial" w:hAnsi="Arial"/>
                <w:sz w:val="18"/>
                <w:szCs w:val="18"/>
                <w:color w:val="auto"/>
              </w:rPr>
              <w:t>352,889</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313,256</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879,177</w:t>
            </w:r>
          </w:p>
        </w:tc>
        <w:tc>
          <w:tcPr>
            <w:tcW w:w="2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180.7%</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7,675,618</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7,789,038</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10,434,536</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jc w:val="center"/>
              <w:ind w:right="33"/>
              <w:spacing w:after="0"/>
              <w:rPr>
                <w:sz w:val="20"/>
                <w:szCs w:val="20"/>
                <w:color w:val="auto"/>
              </w:rPr>
            </w:pPr>
            <w:r>
              <w:rPr>
                <w:rFonts w:ascii="Arial" w:cs="Arial" w:eastAsia="Arial" w:hAnsi="Arial"/>
                <w:sz w:val="18"/>
                <w:szCs w:val="18"/>
                <w:b w:val="1"/>
                <w:bCs w:val="1"/>
                <w:color w:val="auto"/>
                <w:w w:val="90"/>
              </w:rPr>
              <w:t>Total Liabilities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207,609,937</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219,451,302</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225,836,947</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equity</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23,594,717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25,073,706</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25,192,569</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0.5%</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Capital stock</w:t>
            </w:r>
          </w:p>
        </w:tc>
        <w:tc>
          <w:tcPr>
            <w:tcW w:w="1220" w:type="dxa"/>
            <w:vAlign w:val="bottom"/>
          </w:tcPr>
          <w:p>
            <w:pPr>
              <w:jc w:val="right"/>
              <w:spacing w:after="0"/>
              <w:rPr>
                <w:sz w:val="20"/>
                <w:szCs w:val="20"/>
                <w:color w:val="auto"/>
              </w:rPr>
            </w:pPr>
            <w:r>
              <w:rPr>
                <w:rFonts w:ascii="Arial" w:cs="Arial" w:eastAsia="Arial" w:hAnsi="Arial"/>
                <w:sz w:val="18"/>
                <w:szCs w:val="18"/>
                <w:color w:val="auto"/>
              </w:rPr>
              <w:t>1,318,993</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1,318,993</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1,318,993</w:t>
            </w:r>
          </w:p>
        </w:tc>
        <w:tc>
          <w:tcPr>
            <w:tcW w:w="2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Treasury stock</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(209,305)</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(207,756)</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(207,745)</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Capital surplus</w:t>
            </w:r>
          </w:p>
        </w:tc>
        <w:tc>
          <w:tcPr>
            <w:tcW w:w="1220" w:type="dxa"/>
            <w:vAlign w:val="bottom"/>
          </w:tcPr>
          <w:p>
            <w:pPr>
              <w:jc w:val="right"/>
              <w:spacing w:after="0"/>
              <w:rPr>
                <w:sz w:val="20"/>
                <w:szCs w:val="20"/>
                <w:color w:val="auto"/>
              </w:rPr>
            </w:pPr>
            <w:r>
              <w:rPr>
                <w:rFonts w:ascii="Arial" w:cs="Arial" w:eastAsia="Arial" w:hAnsi="Arial"/>
                <w:sz w:val="18"/>
                <w:szCs w:val="18"/>
                <w:color w:val="auto"/>
              </w:rPr>
              <w:t>157,767</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224,103</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215,071</w:t>
            </w:r>
          </w:p>
        </w:tc>
        <w:tc>
          <w:tcPr>
            <w:tcW w:w="2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21,405,740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21,725,663</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21,350,150</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Unrealized gains and losses</w:t>
            </w:r>
          </w:p>
        </w:tc>
        <w:tc>
          <w:tcPr>
            <w:tcW w:w="1220" w:type="dxa"/>
            <w:vAlign w:val="bottom"/>
          </w:tcPr>
          <w:p>
            <w:pPr>
              <w:jc w:val="right"/>
              <w:spacing w:after="0"/>
              <w:rPr>
                <w:sz w:val="20"/>
                <w:szCs w:val="20"/>
                <w:color w:val="auto"/>
              </w:rPr>
            </w:pPr>
            <w:r>
              <w:rPr>
                <w:rFonts w:ascii="Arial" w:cs="Arial" w:eastAsia="Arial" w:hAnsi="Arial"/>
                <w:sz w:val="18"/>
                <w:szCs w:val="18"/>
                <w:color w:val="auto"/>
              </w:rPr>
              <w:t>1,224,135</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677,159</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19,435</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-97.1%</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(302,613)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1,335,544</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2,496,665</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220" w:type="dxa"/>
            <w:vAlign w:val="bottom"/>
          </w:tcPr>
          <w:p>
            <w:pPr>
              <w:jc w:val="right"/>
              <w:spacing w:after="0"/>
              <w:rPr>
                <w:sz w:val="20"/>
                <w:szCs w:val="20"/>
                <w:color w:val="auto"/>
              </w:rPr>
            </w:pPr>
            <w:r>
              <w:rPr>
                <w:rFonts w:ascii="Arial" w:cs="Arial" w:eastAsia="Arial" w:hAnsi="Arial"/>
                <w:sz w:val="18"/>
                <w:szCs w:val="18"/>
                <w:color w:val="auto"/>
              </w:rPr>
              <w:t>472,087</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503,222</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512,875</w:t>
            </w:r>
          </w:p>
        </w:tc>
        <w:tc>
          <w:tcPr>
            <w:tcW w:w="2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93" w:right="339" w:bottom="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860" w:type="dxa"/>
            <w:vAlign w:val="bottom"/>
          </w:tcPr>
          <w:p>
            <w:pPr>
              <w:ind w:left="1320"/>
              <w:spacing w:after="0"/>
              <w:rPr>
                <w:sz w:val="20"/>
                <w:szCs w:val="20"/>
                <w:color w:val="auto"/>
              </w:rPr>
            </w:pPr>
            <w:r>
              <w:rPr>
                <w:rFonts w:ascii="Arial" w:cs="Arial" w:eastAsia="Arial" w:hAnsi="Arial"/>
                <w:sz w:val="18"/>
                <w:szCs w:val="18"/>
                <w:b w:val="1"/>
                <w:bCs w:val="1"/>
                <w:color w:val="auto"/>
              </w:rPr>
              <w:t>Total Net Equity</w:t>
            </w:r>
          </w:p>
        </w:tc>
        <w:tc>
          <w:tcPr>
            <w:tcW w:w="1660" w:type="dxa"/>
            <w:vAlign w:val="bottom"/>
          </w:tcPr>
          <w:p>
            <w:pPr>
              <w:jc w:val="right"/>
              <w:ind w:right="192"/>
              <w:spacing w:after="0"/>
              <w:rPr>
                <w:sz w:val="20"/>
                <w:szCs w:val="20"/>
                <w:color w:val="auto"/>
              </w:rPr>
            </w:pPr>
            <w:r>
              <w:rPr>
                <w:rFonts w:ascii="Arial" w:cs="Arial" w:eastAsia="Arial" w:hAnsi="Arial"/>
                <w:sz w:val="18"/>
                <w:szCs w:val="18"/>
                <w:b w:val="1"/>
                <w:bCs w:val="1"/>
                <w:color w:val="auto"/>
              </w:rPr>
              <w:t>24,066,804</w:t>
            </w:r>
          </w:p>
        </w:tc>
        <w:tc>
          <w:tcPr>
            <w:tcW w:w="1420" w:type="dxa"/>
            <w:vAlign w:val="bottom"/>
          </w:tcPr>
          <w:p>
            <w:pPr>
              <w:jc w:val="right"/>
              <w:ind w:right="192"/>
              <w:spacing w:after="0"/>
              <w:rPr>
                <w:sz w:val="20"/>
                <w:szCs w:val="20"/>
                <w:color w:val="auto"/>
              </w:rPr>
            </w:pPr>
            <w:r>
              <w:rPr>
                <w:rFonts w:ascii="Arial" w:cs="Arial" w:eastAsia="Arial" w:hAnsi="Arial"/>
                <w:sz w:val="18"/>
                <w:szCs w:val="18"/>
                <w:b w:val="1"/>
                <w:bCs w:val="1"/>
                <w:color w:val="auto"/>
              </w:rPr>
              <w:t>25,576,928</w:t>
            </w:r>
          </w:p>
        </w:tc>
        <w:tc>
          <w:tcPr>
            <w:tcW w:w="1740" w:type="dxa"/>
            <w:vAlign w:val="bottom"/>
          </w:tcPr>
          <w:p>
            <w:pPr>
              <w:jc w:val="right"/>
              <w:ind w:right="492"/>
              <w:spacing w:after="0"/>
              <w:rPr>
                <w:sz w:val="20"/>
                <w:szCs w:val="20"/>
                <w:color w:val="auto"/>
              </w:rPr>
            </w:pPr>
            <w:r>
              <w:rPr>
                <w:rFonts w:ascii="Arial" w:cs="Arial" w:eastAsia="Arial" w:hAnsi="Arial"/>
                <w:sz w:val="18"/>
                <w:szCs w:val="18"/>
                <w:b w:val="1"/>
                <w:bCs w:val="1"/>
                <w:color w:val="auto"/>
              </w:rPr>
              <w:t>25,705,444</w:t>
            </w:r>
          </w:p>
        </w:tc>
        <w:tc>
          <w:tcPr>
            <w:tcW w:w="1540" w:type="dxa"/>
            <w:vAlign w:val="bottom"/>
          </w:tcPr>
          <w:p>
            <w:pPr>
              <w:jc w:val="right"/>
              <w:ind w:right="432"/>
              <w:spacing w:after="0"/>
              <w:rPr>
                <w:sz w:val="20"/>
                <w:szCs w:val="20"/>
                <w:color w:val="auto"/>
              </w:rPr>
            </w:pPr>
            <w:r>
              <w:rPr>
                <w:rFonts w:ascii="Arial" w:cs="Arial" w:eastAsia="Arial" w:hAnsi="Arial"/>
                <w:sz w:val="18"/>
                <w:szCs w:val="18"/>
                <w:b w:val="1"/>
                <w:bCs w:val="1"/>
                <w:color w:val="auto"/>
              </w:rPr>
              <w:t>0.5%</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1660" w:type="dxa"/>
            <w:vAlign w:val="bottom"/>
          </w:tcPr>
          <w:p>
            <w:pPr>
              <w:jc w:val="right"/>
              <w:ind w:right="192"/>
              <w:spacing w:after="0"/>
              <w:rPr>
                <w:sz w:val="20"/>
                <w:szCs w:val="20"/>
                <w:color w:val="auto"/>
              </w:rPr>
            </w:pPr>
            <w:r>
              <w:rPr>
                <w:rFonts w:ascii="Arial" w:cs="Arial" w:eastAsia="Arial" w:hAnsi="Arial"/>
                <w:sz w:val="18"/>
                <w:szCs w:val="18"/>
                <w:b w:val="1"/>
                <w:bCs w:val="1"/>
                <w:color w:val="auto"/>
              </w:rPr>
              <w:t>231,676,741</w:t>
            </w:r>
          </w:p>
        </w:tc>
        <w:tc>
          <w:tcPr>
            <w:tcW w:w="1420" w:type="dxa"/>
            <w:vAlign w:val="bottom"/>
          </w:tcPr>
          <w:p>
            <w:pPr>
              <w:jc w:val="right"/>
              <w:ind w:right="192"/>
              <w:spacing w:after="0"/>
              <w:rPr>
                <w:sz w:val="20"/>
                <w:szCs w:val="20"/>
                <w:color w:val="auto"/>
              </w:rPr>
            </w:pPr>
            <w:r>
              <w:rPr>
                <w:rFonts w:ascii="Arial" w:cs="Arial" w:eastAsia="Arial" w:hAnsi="Arial"/>
                <w:sz w:val="18"/>
                <w:szCs w:val="18"/>
                <w:b w:val="1"/>
                <w:bCs w:val="1"/>
                <w:color w:val="auto"/>
              </w:rPr>
              <w:t>245,028,230</w:t>
            </w:r>
          </w:p>
        </w:tc>
        <w:tc>
          <w:tcPr>
            <w:tcW w:w="1740" w:type="dxa"/>
            <w:vAlign w:val="bottom"/>
          </w:tcPr>
          <w:p>
            <w:pPr>
              <w:jc w:val="right"/>
              <w:ind w:right="492"/>
              <w:spacing w:after="0"/>
              <w:rPr>
                <w:sz w:val="20"/>
                <w:szCs w:val="20"/>
                <w:color w:val="auto"/>
              </w:rPr>
            </w:pPr>
            <w:r>
              <w:rPr>
                <w:rFonts w:ascii="Arial" w:cs="Arial" w:eastAsia="Arial" w:hAnsi="Arial"/>
                <w:sz w:val="18"/>
                <w:szCs w:val="18"/>
                <w:b w:val="1"/>
                <w:bCs w:val="1"/>
                <w:color w:val="auto"/>
              </w:rPr>
              <w:t>251,542,391</w:t>
            </w:r>
          </w:p>
        </w:tc>
        <w:tc>
          <w:tcPr>
            <w:tcW w:w="1540" w:type="dxa"/>
            <w:vAlign w:val="bottom"/>
          </w:tcPr>
          <w:p>
            <w:pPr>
              <w:jc w:val="right"/>
              <w:ind w:right="432"/>
              <w:spacing w:after="0"/>
              <w:rPr>
                <w:sz w:val="20"/>
                <w:szCs w:val="20"/>
                <w:color w:val="auto"/>
              </w:rPr>
            </w:pPr>
            <w:r>
              <w:rPr>
                <w:rFonts w:ascii="Arial" w:cs="Arial" w:eastAsia="Arial" w:hAnsi="Arial"/>
                <w:sz w:val="18"/>
                <w:szCs w:val="18"/>
                <w:b w:val="1"/>
                <w:bCs w:val="1"/>
                <w:color w:val="auto"/>
              </w:rPr>
              <w:t>2.7%</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Off-balance sheet</w:t>
            </w:r>
          </w:p>
        </w:tc>
        <w:tc>
          <w:tcPr>
            <w:tcW w:w="1660" w:type="dxa"/>
            <w:vAlign w:val="bottom"/>
          </w:tcPr>
          <w:p>
            <w:pPr>
              <w:jc w:val="right"/>
              <w:ind w:right="192"/>
              <w:spacing w:after="0"/>
              <w:rPr>
                <w:sz w:val="20"/>
                <w:szCs w:val="20"/>
                <w:color w:val="auto"/>
              </w:rPr>
            </w:pPr>
            <w:r>
              <w:rPr>
                <w:rFonts w:ascii="Arial" w:cs="Arial" w:eastAsia="Arial" w:hAnsi="Arial"/>
                <w:sz w:val="18"/>
                <w:szCs w:val="18"/>
                <w:b w:val="1"/>
                <w:bCs w:val="1"/>
                <w:color w:val="auto"/>
              </w:rPr>
              <w:t>131,512,273</w:t>
            </w:r>
          </w:p>
        </w:tc>
        <w:tc>
          <w:tcPr>
            <w:tcW w:w="1420" w:type="dxa"/>
            <w:vAlign w:val="bottom"/>
          </w:tcPr>
          <w:p>
            <w:pPr>
              <w:jc w:val="right"/>
              <w:ind w:right="192"/>
              <w:spacing w:after="0"/>
              <w:rPr>
                <w:sz w:val="20"/>
                <w:szCs w:val="20"/>
                <w:color w:val="auto"/>
              </w:rPr>
            </w:pPr>
            <w:r>
              <w:rPr>
                <w:rFonts w:ascii="Arial" w:cs="Arial" w:eastAsia="Arial" w:hAnsi="Arial"/>
                <w:sz w:val="18"/>
                <w:szCs w:val="18"/>
                <w:b w:val="1"/>
                <w:bCs w:val="1"/>
                <w:color w:val="auto"/>
              </w:rPr>
              <w:t>149,828,527</w:t>
            </w:r>
          </w:p>
        </w:tc>
        <w:tc>
          <w:tcPr>
            <w:tcW w:w="1740" w:type="dxa"/>
            <w:vAlign w:val="bottom"/>
          </w:tcPr>
          <w:p>
            <w:pPr>
              <w:jc w:val="right"/>
              <w:ind w:right="492"/>
              <w:spacing w:after="0"/>
              <w:rPr>
                <w:sz w:val="20"/>
                <w:szCs w:val="20"/>
                <w:color w:val="auto"/>
              </w:rPr>
            </w:pPr>
            <w:r>
              <w:rPr>
                <w:rFonts w:ascii="Arial" w:cs="Arial" w:eastAsia="Arial" w:hAnsi="Arial"/>
                <w:sz w:val="18"/>
                <w:szCs w:val="18"/>
                <w:b w:val="1"/>
                <w:bCs w:val="1"/>
                <w:color w:val="auto"/>
              </w:rPr>
              <w:t>154,907,974</w:t>
            </w:r>
          </w:p>
        </w:tc>
        <w:tc>
          <w:tcPr>
            <w:tcW w:w="1540" w:type="dxa"/>
            <w:vAlign w:val="bottom"/>
          </w:tcPr>
          <w:p>
            <w:pPr>
              <w:jc w:val="right"/>
              <w:ind w:right="432"/>
              <w:spacing w:after="0"/>
              <w:rPr>
                <w:sz w:val="20"/>
                <w:szCs w:val="20"/>
                <w:color w:val="auto"/>
              </w:rPr>
            </w:pPr>
            <w:r>
              <w:rPr>
                <w:rFonts w:ascii="Arial" w:cs="Arial" w:eastAsia="Arial" w:hAnsi="Arial"/>
                <w:sz w:val="18"/>
                <w:szCs w:val="18"/>
                <w:b w:val="1"/>
                <w:bCs w:val="1"/>
                <w:color w:val="auto"/>
              </w:rPr>
              <w:t>3.4%</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performance bonds, stand-by and L/Cs.</w:t>
            </w:r>
          </w:p>
        </w:tc>
        <w:tc>
          <w:tcPr>
            <w:tcW w:w="16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18,519,960</w:t>
            </w:r>
          </w:p>
        </w:tc>
        <w:tc>
          <w:tcPr>
            <w:tcW w:w="14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22,723,385</w:t>
            </w:r>
          </w:p>
        </w:tc>
        <w:tc>
          <w:tcPr>
            <w:tcW w:w="174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22,665,879</w:t>
            </w:r>
          </w:p>
        </w:tc>
        <w:tc>
          <w:tcPr>
            <w:tcW w:w="15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-0.3%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Undrawn creditlines, advised but not committed</w:t>
            </w:r>
          </w:p>
        </w:tc>
        <w:tc>
          <w:tcPr>
            <w:tcW w:w="1660" w:type="dxa"/>
            <w:vAlign w:val="bottom"/>
          </w:tcPr>
          <w:p>
            <w:pPr>
              <w:jc w:val="right"/>
              <w:ind w:right="192"/>
              <w:spacing w:after="0"/>
              <w:rPr>
                <w:sz w:val="20"/>
                <w:szCs w:val="20"/>
                <w:color w:val="auto"/>
              </w:rPr>
            </w:pPr>
            <w:r>
              <w:rPr>
                <w:rFonts w:ascii="Arial" w:cs="Arial" w:eastAsia="Arial" w:hAnsi="Arial"/>
                <w:sz w:val="18"/>
                <w:szCs w:val="18"/>
                <w:color w:val="auto"/>
              </w:rPr>
              <w:t>81,926,284</w:t>
            </w:r>
          </w:p>
        </w:tc>
        <w:tc>
          <w:tcPr>
            <w:tcW w:w="1420" w:type="dxa"/>
            <w:vAlign w:val="bottom"/>
          </w:tcPr>
          <w:p>
            <w:pPr>
              <w:jc w:val="right"/>
              <w:ind w:right="192"/>
              <w:spacing w:after="0"/>
              <w:rPr>
                <w:sz w:val="20"/>
                <w:szCs w:val="20"/>
                <w:color w:val="auto"/>
              </w:rPr>
            </w:pPr>
            <w:r>
              <w:rPr>
                <w:rFonts w:ascii="Arial" w:cs="Arial" w:eastAsia="Arial" w:hAnsi="Arial"/>
                <w:sz w:val="18"/>
                <w:szCs w:val="18"/>
                <w:color w:val="auto"/>
              </w:rPr>
              <w:t>91,280,633</w:t>
            </w:r>
          </w:p>
        </w:tc>
        <w:tc>
          <w:tcPr>
            <w:tcW w:w="1740" w:type="dxa"/>
            <w:vAlign w:val="bottom"/>
          </w:tcPr>
          <w:p>
            <w:pPr>
              <w:jc w:val="right"/>
              <w:ind w:right="492"/>
              <w:spacing w:after="0"/>
              <w:rPr>
                <w:sz w:val="20"/>
                <w:szCs w:val="20"/>
                <w:color w:val="auto"/>
              </w:rPr>
            </w:pPr>
            <w:r>
              <w:rPr>
                <w:rFonts w:ascii="Arial" w:cs="Arial" w:eastAsia="Arial" w:hAnsi="Arial"/>
                <w:sz w:val="18"/>
                <w:szCs w:val="18"/>
                <w:color w:val="auto"/>
              </w:rPr>
              <w:t>94,165,966</w:t>
            </w:r>
          </w:p>
        </w:tc>
        <w:tc>
          <w:tcPr>
            <w:tcW w:w="1540" w:type="dxa"/>
            <w:vAlign w:val="bottom"/>
          </w:tcPr>
          <w:p>
            <w:pPr>
              <w:jc w:val="right"/>
              <w:ind w:right="452"/>
              <w:spacing w:after="0"/>
              <w:rPr>
                <w:sz w:val="20"/>
                <w:szCs w:val="20"/>
                <w:color w:val="auto"/>
              </w:rPr>
            </w:pPr>
            <w:r>
              <w:rPr>
                <w:rFonts w:ascii="Arial" w:cs="Arial" w:eastAsia="Arial" w:hAnsi="Arial"/>
                <w:sz w:val="18"/>
                <w:szCs w:val="18"/>
                <w:color w:val="auto"/>
              </w:rPr>
              <w:t>3.2%</w:t>
            </w:r>
          </w:p>
        </w:tc>
        <w:tc>
          <w:tcPr>
            <w:tcW w:w="100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 (notional) and others</w:t>
            </w:r>
          </w:p>
        </w:tc>
        <w:tc>
          <w:tcPr>
            <w:tcW w:w="16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31,066,029</w:t>
            </w:r>
          </w:p>
        </w:tc>
        <w:tc>
          <w:tcPr>
            <w:tcW w:w="14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35,824,509</w:t>
            </w:r>
          </w:p>
        </w:tc>
        <w:tc>
          <w:tcPr>
            <w:tcW w:w="174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38,076,129</w:t>
            </w:r>
          </w:p>
        </w:tc>
        <w:tc>
          <w:tcPr>
            <w:tcW w:w="15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6.3%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 Includes mainly accounts receivables from brokerage and others.</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tcPr>
          <w:p>
            <w:pPr>
              <w:ind w:left="620"/>
              <w:spacing w:after="0"/>
              <w:rPr>
                <w:sz w:val="20"/>
                <w:szCs w:val="20"/>
                <w:color w:val="auto"/>
              </w:rPr>
            </w:pPr>
            <w:r>
              <w:rPr>
                <w:rFonts w:ascii="Arial" w:cs="Arial" w:eastAsia="Arial" w:hAnsi="Arial"/>
                <w:sz w:val="14"/>
                <w:szCs w:val="14"/>
                <w:b w:val="1"/>
                <w:bCs w:val="1"/>
                <w:color w:val="auto"/>
                <w:w w:val="91"/>
              </w:rPr>
              <w:t>% change</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3"/>
          </w:tcPr>
          <w:p>
            <w:pPr>
              <w:ind w:left="720"/>
              <w:spacing w:after="0"/>
              <w:rPr>
                <w:sz w:val="20"/>
                <w:szCs w:val="20"/>
                <w:color w:val="auto"/>
              </w:rPr>
            </w:pPr>
            <w:r>
              <w:rPr>
                <w:rFonts w:ascii="Arial" w:cs="Arial" w:eastAsia="Arial" w:hAnsi="Arial"/>
                <w:sz w:val="14"/>
                <w:szCs w:val="14"/>
                <w:b w:val="1"/>
                <w:bCs w:val="1"/>
                <w:color w:val="auto"/>
              </w:rPr>
              <w:t>YTD</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980" w:type="dxa"/>
            <w:vAlign w:val="bottom"/>
            <w:tcBorders>
              <w:top w:val="single" w:sz="8" w:color="auto"/>
            </w:tcBorders>
            <w:gridSpan w:val="2"/>
          </w:tcPr>
          <w:p>
            <w:pPr>
              <w:jc w:val="right"/>
              <w:ind w:right="440"/>
              <w:spacing w:after="0" w:line="151" w:lineRule="exact"/>
              <w:rPr>
                <w:sz w:val="20"/>
                <w:szCs w:val="20"/>
                <w:color w:val="auto"/>
              </w:rPr>
            </w:pPr>
            <w:r>
              <w:rPr>
                <w:rFonts w:ascii="Arial" w:cs="Arial" w:eastAsia="Arial" w:hAnsi="Arial"/>
                <w:sz w:val="14"/>
                <w:szCs w:val="14"/>
                <w:b w:val="1"/>
                <w:bCs w:val="1"/>
                <w:color w:val="auto"/>
              </w:rPr>
              <w:t>3Q20</w:t>
            </w:r>
          </w:p>
        </w:tc>
        <w:tc>
          <w:tcPr>
            <w:tcW w:w="980" w:type="dxa"/>
            <w:vAlign w:val="bottom"/>
            <w:tcBorders>
              <w:top w:val="single" w:sz="8" w:color="auto"/>
            </w:tcBorders>
            <w:gridSpan w:val="2"/>
          </w:tcPr>
          <w:p>
            <w:pPr>
              <w:jc w:val="right"/>
              <w:ind w:right="440"/>
              <w:spacing w:after="0" w:line="151" w:lineRule="exact"/>
              <w:rPr>
                <w:sz w:val="20"/>
                <w:szCs w:val="20"/>
                <w:color w:val="auto"/>
              </w:rPr>
            </w:pPr>
            <w:r>
              <w:rPr>
                <w:rFonts w:ascii="Arial" w:cs="Arial" w:eastAsia="Arial" w:hAnsi="Arial"/>
                <w:sz w:val="14"/>
                <w:szCs w:val="14"/>
                <w:b w:val="1"/>
                <w:bCs w:val="1"/>
                <w:color w:val="auto"/>
              </w:rPr>
              <w:t>2Q21</w:t>
            </w:r>
          </w:p>
        </w:tc>
        <w:tc>
          <w:tcPr>
            <w:tcW w:w="780" w:type="dxa"/>
            <w:vAlign w:val="bottom"/>
            <w:tcBorders>
              <w:top w:val="single" w:sz="8" w:color="auto"/>
            </w:tcBorders>
          </w:tcPr>
          <w:p>
            <w:pPr>
              <w:jc w:val="right"/>
              <w:ind w:right="150"/>
              <w:spacing w:after="0" w:line="151" w:lineRule="exact"/>
              <w:rPr>
                <w:sz w:val="20"/>
                <w:szCs w:val="20"/>
                <w:color w:val="auto"/>
              </w:rPr>
            </w:pPr>
            <w:r>
              <w:rPr>
                <w:rFonts w:ascii="Arial" w:cs="Arial" w:eastAsia="Arial" w:hAnsi="Arial"/>
                <w:sz w:val="14"/>
                <w:szCs w:val="14"/>
                <w:b w:val="1"/>
                <w:bCs w:val="1"/>
                <w:color w:val="auto"/>
              </w:rPr>
              <w:t>3Q21</w:t>
            </w:r>
          </w:p>
        </w:tc>
        <w:tc>
          <w:tcPr>
            <w:tcW w:w="200" w:type="dxa"/>
            <w:vAlign w:val="bottom"/>
          </w:tcPr>
          <w:p>
            <w:pPr>
              <w:spacing w:after="0"/>
              <w:rPr>
                <w:sz w:val="13"/>
                <w:szCs w:val="13"/>
                <w:color w:val="auto"/>
              </w:rPr>
            </w:pPr>
          </w:p>
        </w:tc>
        <w:tc>
          <w:tcPr>
            <w:tcW w:w="1240" w:type="dxa"/>
            <w:vAlign w:val="bottom"/>
            <w:tcBorders>
              <w:top w:val="single" w:sz="8" w:color="auto"/>
            </w:tcBorders>
            <w:gridSpan w:val="3"/>
          </w:tcPr>
          <w:p>
            <w:pPr>
              <w:ind w:left="260"/>
              <w:spacing w:after="0" w:line="151" w:lineRule="exact"/>
              <w:rPr>
                <w:sz w:val="20"/>
                <w:szCs w:val="20"/>
                <w:color w:val="auto"/>
              </w:rPr>
            </w:pPr>
            <w:r>
              <w:rPr>
                <w:rFonts w:ascii="Arial" w:cs="Arial" w:eastAsia="Arial" w:hAnsi="Arial"/>
                <w:sz w:val="14"/>
                <w:szCs w:val="14"/>
                <w:b w:val="1"/>
                <w:bCs w:val="1"/>
                <w:color w:val="auto"/>
              </w:rPr>
              <w:t>QoQ</w:t>
            </w:r>
          </w:p>
        </w:tc>
        <w:tc>
          <w:tcPr>
            <w:tcW w:w="560" w:type="dxa"/>
            <w:vAlign w:val="bottom"/>
            <w:tcBorders>
              <w:top w:val="single" w:sz="8" w:color="auto"/>
            </w:tcBorders>
          </w:tcPr>
          <w:p>
            <w:pPr>
              <w:ind w:left="60"/>
              <w:spacing w:after="0" w:line="151" w:lineRule="exact"/>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3"/>
                <w:szCs w:val="13"/>
                <w:color w:val="auto"/>
              </w:rPr>
            </w:pPr>
          </w:p>
        </w:tc>
        <w:tc>
          <w:tcPr>
            <w:tcW w:w="1080" w:type="dxa"/>
            <w:vAlign w:val="bottom"/>
            <w:tcBorders>
              <w:top w:val="single" w:sz="8" w:color="auto"/>
            </w:tcBorders>
            <w:gridSpan w:val="3"/>
          </w:tcPr>
          <w:p>
            <w:pPr>
              <w:ind w:left="180"/>
              <w:spacing w:after="0" w:line="151" w:lineRule="exact"/>
              <w:rPr>
                <w:sz w:val="20"/>
                <w:szCs w:val="20"/>
                <w:color w:val="auto"/>
              </w:rPr>
            </w:pPr>
            <w:r>
              <w:rPr>
                <w:rFonts w:ascii="Arial" w:cs="Arial" w:eastAsia="Arial" w:hAnsi="Arial"/>
                <w:sz w:val="14"/>
                <w:szCs w:val="14"/>
                <w:b w:val="1"/>
                <w:bCs w:val="1"/>
                <w:color w:val="auto"/>
              </w:rPr>
              <w:t>Sep 20</w:t>
            </w:r>
          </w:p>
        </w:tc>
        <w:tc>
          <w:tcPr>
            <w:tcW w:w="680" w:type="dxa"/>
            <w:vAlign w:val="bottom"/>
            <w:tcBorders>
              <w:top w:val="single" w:sz="8" w:color="auto"/>
            </w:tcBorders>
          </w:tcPr>
          <w:p>
            <w:pPr>
              <w:jc w:val="right"/>
              <w:ind w:right="130"/>
              <w:spacing w:after="0" w:line="151" w:lineRule="exact"/>
              <w:rPr>
                <w:sz w:val="20"/>
                <w:szCs w:val="20"/>
                <w:color w:val="auto"/>
              </w:rPr>
            </w:pPr>
            <w:r>
              <w:rPr>
                <w:rFonts w:ascii="Arial" w:cs="Arial" w:eastAsia="Arial" w:hAnsi="Arial"/>
                <w:sz w:val="14"/>
                <w:szCs w:val="14"/>
                <w:b w:val="1"/>
                <w:bCs w:val="1"/>
                <w:color w:val="auto"/>
              </w:rPr>
              <w:t>Sep 21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86"/>
              </w:rPr>
              <w:t>Sep 21 / Sep 20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Interest income and expense</w:t>
            </w:r>
          </w:p>
        </w:tc>
        <w:tc>
          <w:tcPr>
            <w:tcW w:w="7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tcPr>
          <w:p>
            <w:pPr>
              <w:ind w:left="240"/>
              <w:spacing w:after="0" w:line="145" w:lineRule="exact"/>
              <w:rPr>
                <w:sz w:val="20"/>
                <w:szCs w:val="20"/>
                <w:color w:val="auto"/>
              </w:rPr>
            </w:pPr>
            <w:r>
              <w:rPr>
                <w:rFonts w:ascii="Arial" w:cs="Arial" w:eastAsia="Arial" w:hAnsi="Arial"/>
                <w:sz w:val="14"/>
                <w:szCs w:val="14"/>
                <w:color w:val="auto"/>
              </w:rPr>
              <w:t>Interest and dividend income</w:t>
            </w: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2,953,570</w:t>
            </w:r>
          </w:p>
        </w:tc>
        <w:tc>
          <w:tcPr>
            <w:tcW w:w="22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2,891,579</w:t>
            </w:r>
          </w:p>
        </w:tc>
        <w:tc>
          <w:tcPr>
            <w:tcW w:w="20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3,051,000</w:t>
            </w:r>
          </w:p>
        </w:tc>
        <w:tc>
          <w:tcPr>
            <w:tcW w:w="200" w:type="dxa"/>
            <w:vAlign w:val="bottom"/>
          </w:tcPr>
          <w:p>
            <w:pPr>
              <w:spacing w:after="0"/>
              <w:rPr>
                <w:sz w:val="12"/>
                <w:szCs w:val="12"/>
                <w:color w:val="auto"/>
              </w:rPr>
            </w:pPr>
          </w:p>
        </w:tc>
        <w:tc>
          <w:tcPr>
            <w:tcW w:w="10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5.5%</w:t>
            </w:r>
          </w:p>
        </w:tc>
        <w:tc>
          <w:tcPr>
            <w:tcW w:w="200" w:type="dxa"/>
            <w:vAlign w:val="bottom"/>
          </w:tcPr>
          <w:p>
            <w:pPr>
              <w:spacing w:after="0"/>
              <w:rPr>
                <w:sz w:val="12"/>
                <w:szCs w:val="12"/>
                <w:color w:val="auto"/>
              </w:rPr>
            </w:pPr>
          </w:p>
        </w:tc>
        <w:tc>
          <w:tcPr>
            <w:tcW w:w="8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3.3%</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8,844,548</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8,758,652</w:t>
            </w:r>
          </w:p>
        </w:tc>
        <w:tc>
          <w:tcPr>
            <w:tcW w:w="1120" w:type="dxa"/>
            <w:vAlign w:val="bottom"/>
            <w:gridSpan w:val="3"/>
          </w:tcPr>
          <w:p>
            <w:pPr>
              <w:jc w:val="right"/>
              <w:ind w:right="20"/>
              <w:spacing w:after="0" w:line="145"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220" w:type="dxa"/>
            <w:vAlign w:val="bottom"/>
            <w:shd w:val="clear" w:color="auto" w:fill="CCEEFF"/>
          </w:tcPr>
          <w:p>
            <w:pPr>
              <w:ind w:left="240"/>
              <w:spacing w:after="0" w:line="184" w:lineRule="exact"/>
              <w:rPr>
                <w:sz w:val="20"/>
                <w:szCs w:val="20"/>
                <w:color w:val="auto"/>
              </w:rPr>
            </w:pPr>
            <w:r>
              <w:rPr>
                <w:rFonts w:ascii="Arial" w:cs="Arial" w:eastAsia="Arial" w:hAnsi="Arial"/>
                <w:sz w:val="13"/>
                <w:szCs w:val="13"/>
                <w:color w:val="auto"/>
              </w:rPr>
              <w:t xml:space="preserve">Interest expense </w:t>
            </w:r>
            <w:r>
              <w:rPr>
                <w:rFonts w:ascii="Arial" w:cs="Arial" w:eastAsia="Arial" w:hAnsi="Arial"/>
                <w:sz w:val="21"/>
                <w:szCs w:val="21"/>
                <w:color w:val="auto"/>
                <w:vertAlign w:val="superscript"/>
              </w:rPr>
              <w:t>(1)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(791,665)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(582,537)</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(599,292)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-24.3%</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(2,341,766)</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7"/>
              </w:rPr>
              <w:t>(1,874,519)</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tcPr>
          <w:p>
            <w:pPr>
              <w:ind w:left="240"/>
              <w:spacing w:after="0" w:line="145" w:lineRule="exact"/>
              <w:rPr>
                <w:sz w:val="20"/>
                <w:szCs w:val="20"/>
                <w:color w:val="auto"/>
              </w:rPr>
            </w:pPr>
            <w:r>
              <w:rPr>
                <w:rFonts w:ascii="Arial" w:cs="Arial" w:eastAsia="Arial" w:hAnsi="Arial"/>
                <w:sz w:val="14"/>
                <w:szCs w:val="14"/>
                <w:b w:val="1"/>
                <w:bCs w:val="1"/>
                <w:color w:val="auto"/>
              </w:rPr>
              <w:t>Net interest income</w:t>
            </w:r>
          </w:p>
        </w:tc>
        <w:tc>
          <w:tcPr>
            <w:tcW w:w="76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2,161,905</w:t>
            </w:r>
          </w:p>
        </w:tc>
        <w:tc>
          <w:tcPr>
            <w:tcW w:w="22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2,309,042</w:t>
            </w:r>
          </w:p>
        </w:tc>
        <w:tc>
          <w:tcPr>
            <w:tcW w:w="20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2,451,708</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line="145" w:lineRule="exact"/>
              <w:rPr>
                <w:sz w:val="20"/>
                <w:szCs w:val="20"/>
                <w:color w:val="auto"/>
              </w:rPr>
            </w:pPr>
            <w:r>
              <w:rPr>
                <w:rFonts w:ascii="Arial" w:cs="Arial" w:eastAsia="Arial" w:hAnsi="Arial"/>
                <w:sz w:val="14"/>
                <w:szCs w:val="14"/>
                <w:b w:val="1"/>
                <w:bCs w:val="1"/>
                <w:color w:val="auto"/>
              </w:rPr>
              <w:t>6.2%</w:t>
            </w:r>
          </w:p>
        </w:tc>
        <w:tc>
          <w:tcPr>
            <w:tcW w:w="200" w:type="dxa"/>
            <w:vAlign w:val="bottom"/>
          </w:tcPr>
          <w:p>
            <w:pPr>
              <w:spacing w:after="0"/>
              <w:rPr>
                <w:sz w:val="12"/>
                <w:szCs w:val="12"/>
                <w:color w:val="auto"/>
              </w:rPr>
            </w:pPr>
          </w:p>
        </w:tc>
        <w:tc>
          <w:tcPr>
            <w:tcW w:w="820" w:type="dxa"/>
            <w:vAlign w:val="bottom"/>
            <w:gridSpan w:val="2"/>
          </w:tcPr>
          <w:p>
            <w:pPr>
              <w:jc w:val="right"/>
              <w:ind w:right="120"/>
              <w:spacing w:after="0" w:line="145" w:lineRule="exact"/>
              <w:rPr>
                <w:sz w:val="20"/>
                <w:szCs w:val="20"/>
                <w:color w:val="auto"/>
              </w:rPr>
            </w:pPr>
            <w:r>
              <w:rPr>
                <w:rFonts w:ascii="Arial" w:cs="Arial" w:eastAsia="Arial" w:hAnsi="Arial"/>
                <w:sz w:val="14"/>
                <w:szCs w:val="14"/>
                <w:b w:val="1"/>
                <w:bCs w:val="1"/>
                <w:color w:val="auto"/>
              </w:rPr>
              <w:t>13.4%</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b w:val="1"/>
                <w:bCs w:val="1"/>
                <w:color w:val="auto"/>
              </w:rPr>
              <w:t>6,502,782</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5" w:lineRule="exact"/>
              <w:rPr>
                <w:sz w:val="20"/>
                <w:szCs w:val="20"/>
                <w:color w:val="auto"/>
              </w:rPr>
            </w:pPr>
            <w:r>
              <w:rPr>
                <w:rFonts w:ascii="Arial" w:cs="Arial" w:eastAsia="Arial" w:hAnsi="Arial"/>
                <w:sz w:val="14"/>
                <w:szCs w:val="14"/>
                <w:b w:val="1"/>
                <w:bCs w:val="1"/>
                <w:color w:val="auto"/>
              </w:rPr>
              <w:t>6,884,133</w:t>
            </w:r>
          </w:p>
        </w:tc>
        <w:tc>
          <w:tcPr>
            <w:tcW w:w="1120" w:type="dxa"/>
            <w:vAlign w:val="bottom"/>
            <w:gridSpan w:val="3"/>
          </w:tcPr>
          <w:p>
            <w:pPr>
              <w:jc w:val="right"/>
              <w:spacing w:after="0" w:line="145" w:lineRule="exact"/>
              <w:rPr>
                <w:sz w:val="20"/>
                <w:szCs w:val="20"/>
                <w:color w:val="auto"/>
              </w:rPr>
            </w:pPr>
            <w:r>
              <w:rPr>
                <w:rFonts w:ascii="Arial" w:cs="Arial" w:eastAsia="Arial" w:hAnsi="Arial"/>
                <w:sz w:val="14"/>
                <w:szCs w:val="14"/>
                <w:b w:val="1"/>
                <w:bCs w:val="1"/>
                <w:color w:val="auto"/>
              </w:rPr>
              <w:t>5.9%</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20" w:type="dxa"/>
            <w:vAlign w:val="bottom"/>
          </w:tcPr>
          <w:p>
            <w:pPr>
              <w:spacing w:after="0" w:line="145" w:lineRule="exact"/>
              <w:rPr>
                <w:sz w:val="20"/>
                <w:szCs w:val="20"/>
                <w:color w:val="auto"/>
              </w:rPr>
            </w:pPr>
            <w:r>
              <w:rPr>
                <w:rFonts w:ascii="Arial" w:cs="Arial" w:eastAsia="Arial" w:hAnsi="Arial"/>
                <w:sz w:val="14"/>
                <w:szCs w:val="14"/>
                <w:color w:val="auto"/>
              </w:rPr>
              <w:t>Gross provision for credit losses on loan portfolio</w:t>
            </w:r>
          </w:p>
        </w:tc>
        <w:tc>
          <w:tcPr>
            <w:tcW w:w="9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(1,348,726)</w:t>
            </w:r>
          </w:p>
        </w:tc>
        <w:tc>
          <w:tcPr>
            <w:tcW w:w="9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(441,007)</w:t>
            </w:r>
          </w:p>
        </w:tc>
        <w:tc>
          <w:tcPr>
            <w:tcW w:w="9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(265,158)</w:t>
            </w:r>
          </w:p>
        </w:tc>
        <w:tc>
          <w:tcPr>
            <w:tcW w:w="10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-39.9%</w:t>
            </w:r>
          </w:p>
        </w:tc>
        <w:tc>
          <w:tcPr>
            <w:tcW w:w="200" w:type="dxa"/>
            <w:vAlign w:val="bottom"/>
          </w:tcPr>
          <w:p>
            <w:pPr>
              <w:spacing w:after="0"/>
              <w:rPr>
                <w:sz w:val="12"/>
                <w:szCs w:val="12"/>
                <w:color w:val="auto"/>
              </w:rPr>
            </w:pPr>
          </w:p>
        </w:tc>
        <w:tc>
          <w:tcPr>
            <w:tcW w:w="8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-80.3%</w:t>
            </w:r>
          </w:p>
        </w:tc>
        <w:tc>
          <w:tcPr>
            <w:tcW w:w="9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(5,295,095)</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w w:val="97"/>
              </w:rPr>
              <w:t>(1,329,147)</w:t>
            </w:r>
          </w:p>
        </w:tc>
        <w:tc>
          <w:tcPr>
            <w:tcW w:w="1120" w:type="dxa"/>
            <w:vAlign w:val="bottom"/>
            <w:gridSpan w:val="3"/>
          </w:tcPr>
          <w:p>
            <w:pPr>
              <w:jc w:val="right"/>
              <w:ind w:right="20"/>
              <w:spacing w:after="0" w:line="145" w:lineRule="exact"/>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Recoveries of written-off loans</w:t>
            </w:r>
          </w:p>
        </w:tc>
        <w:tc>
          <w:tcPr>
            <w:tcW w:w="9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42,821</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77,627</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100,744</w:t>
            </w:r>
          </w:p>
        </w:tc>
        <w:tc>
          <w:tcPr>
            <w:tcW w:w="10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29.8%</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135.3%</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107,252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243,706</w:t>
            </w:r>
          </w:p>
        </w:tc>
        <w:tc>
          <w:tcPr>
            <w:tcW w:w="112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127.2%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20" w:type="dxa"/>
            <w:vAlign w:val="bottom"/>
          </w:tcPr>
          <w:p>
            <w:pPr>
              <w:spacing w:after="0" w:line="122" w:lineRule="exact"/>
              <w:rPr>
                <w:sz w:val="20"/>
                <w:szCs w:val="20"/>
                <w:color w:val="auto"/>
              </w:rPr>
            </w:pPr>
            <w:r>
              <w:rPr>
                <w:rFonts w:ascii="Arial" w:cs="Arial" w:eastAsia="Arial" w:hAnsi="Arial"/>
                <w:sz w:val="14"/>
                <w:szCs w:val="14"/>
                <w:b w:val="1"/>
                <w:bCs w:val="1"/>
                <w:color w:val="auto"/>
                <w:w w:val="95"/>
              </w:rPr>
              <w:t>Provision for credit losses on loan portfolio, net of</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(1,305,905)</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(363,380)</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(164,414)</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-54.8%</w:t>
            </w:r>
          </w:p>
        </w:tc>
        <w:tc>
          <w:tcPr>
            <w:tcW w:w="20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-87.4%</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(5,187,843)</w:t>
            </w:r>
          </w:p>
        </w:tc>
        <w:tc>
          <w:tcPr>
            <w:tcW w:w="100" w:type="dxa"/>
            <w:vAlign w:val="bottom"/>
          </w:tcPr>
          <w:p>
            <w:pPr>
              <w:spacing w:after="0"/>
              <w:rPr>
                <w:sz w:val="10"/>
                <w:szCs w:val="10"/>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7"/>
              </w:rPr>
              <w:t>(1,085,441)</w:t>
            </w:r>
          </w:p>
        </w:tc>
        <w:tc>
          <w:tcPr>
            <w:tcW w:w="11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-79.1%</w:t>
            </w:r>
          </w:p>
        </w:tc>
        <w:tc>
          <w:tcPr>
            <w:tcW w:w="0" w:type="dxa"/>
            <w:vAlign w:val="bottom"/>
          </w:tcPr>
          <w:p>
            <w:pPr>
              <w:spacing w:after="0"/>
              <w:rPr>
                <w:sz w:val="1"/>
                <w:szCs w:val="1"/>
                <w:color w:val="auto"/>
              </w:rPr>
            </w:pPr>
          </w:p>
        </w:tc>
      </w:tr>
      <w:tr>
        <w:trPr>
          <w:trHeight w:val="167"/>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recoveries</w:t>
            </w:r>
          </w:p>
        </w:tc>
        <w:tc>
          <w:tcPr>
            <w:tcW w:w="9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20" w:type="dxa"/>
            <w:vAlign w:val="bottom"/>
          </w:tcPr>
          <w:p>
            <w:pPr>
              <w:spacing w:after="0" w:line="145" w:lineRule="exact"/>
              <w:rPr>
                <w:sz w:val="20"/>
                <w:szCs w:val="20"/>
                <w:color w:val="auto"/>
              </w:rPr>
            </w:pPr>
            <w:r>
              <w:rPr>
                <w:rFonts w:ascii="Arial" w:cs="Arial" w:eastAsia="Arial" w:hAnsi="Arial"/>
                <w:sz w:val="14"/>
                <w:szCs w:val="14"/>
                <w:b w:val="1"/>
                <w:bCs w:val="1"/>
                <w:color w:val="auto"/>
              </w:rPr>
              <w:t>Risk-adjusted net interest income</w:t>
            </w:r>
          </w:p>
        </w:tc>
        <w:tc>
          <w:tcPr>
            <w:tcW w:w="980" w:type="dxa"/>
            <w:vAlign w:val="bottom"/>
            <w:gridSpan w:val="2"/>
          </w:tcPr>
          <w:p>
            <w:pPr>
              <w:jc w:val="right"/>
              <w:ind w:right="220"/>
              <w:spacing w:after="0" w:line="145" w:lineRule="exact"/>
              <w:rPr>
                <w:sz w:val="20"/>
                <w:szCs w:val="20"/>
                <w:color w:val="auto"/>
              </w:rPr>
            </w:pPr>
            <w:r>
              <w:rPr>
                <w:rFonts w:ascii="Arial" w:cs="Arial" w:eastAsia="Arial" w:hAnsi="Arial"/>
                <w:sz w:val="14"/>
                <w:szCs w:val="14"/>
                <w:b w:val="1"/>
                <w:bCs w:val="1"/>
                <w:color w:val="auto"/>
              </w:rPr>
              <w:t>856,000</w:t>
            </w:r>
          </w:p>
        </w:tc>
        <w:tc>
          <w:tcPr>
            <w:tcW w:w="78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1,945,662</w:t>
            </w:r>
          </w:p>
        </w:tc>
        <w:tc>
          <w:tcPr>
            <w:tcW w:w="20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2,287,294</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line="145" w:lineRule="exact"/>
              <w:rPr>
                <w:sz w:val="20"/>
                <w:szCs w:val="20"/>
                <w:color w:val="auto"/>
              </w:rPr>
            </w:pPr>
            <w:r>
              <w:rPr>
                <w:rFonts w:ascii="Arial" w:cs="Arial" w:eastAsia="Arial" w:hAnsi="Arial"/>
                <w:sz w:val="14"/>
                <w:szCs w:val="14"/>
                <w:b w:val="1"/>
                <w:bCs w:val="1"/>
                <w:color w:val="auto"/>
              </w:rPr>
              <w:t>17.6%</w:t>
            </w:r>
          </w:p>
        </w:tc>
        <w:tc>
          <w:tcPr>
            <w:tcW w:w="200" w:type="dxa"/>
            <w:vAlign w:val="bottom"/>
          </w:tcPr>
          <w:p>
            <w:pPr>
              <w:spacing w:after="0"/>
              <w:rPr>
                <w:sz w:val="12"/>
                <w:szCs w:val="12"/>
                <w:color w:val="auto"/>
              </w:rPr>
            </w:pPr>
          </w:p>
        </w:tc>
        <w:tc>
          <w:tcPr>
            <w:tcW w:w="820" w:type="dxa"/>
            <w:vAlign w:val="bottom"/>
            <w:gridSpan w:val="2"/>
          </w:tcPr>
          <w:p>
            <w:pPr>
              <w:jc w:val="right"/>
              <w:ind w:right="120"/>
              <w:spacing w:after="0" w:line="145" w:lineRule="exact"/>
              <w:rPr>
                <w:sz w:val="20"/>
                <w:szCs w:val="20"/>
                <w:color w:val="auto"/>
              </w:rPr>
            </w:pPr>
            <w:r>
              <w:rPr>
                <w:rFonts w:ascii="Arial" w:cs="Arial" w:eastAsia="Arial" w:hAnsi="Arial"/>
                <w:sz w:val="14"/>
                <w:szCs w:val="14"/>
                <w:b w:val="1"/>
                <w:bCs w:val="1"/>
                <w:color w:val="auto"/>
              </w:rPr>
              <w:t>167.2%</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b w:val="1"/>
                <w:bCs w:val="1"/>
                <w:color w:val="auto"/>
              </w:rPr>
              <w:t>1,314,939</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5" w:lineRule="exact"/>
              <w:rPr>
                <w:sz w:val="20"/>
                <w:szCs w:val="20"/>
                <w:color w:val="auto"/>
              </w:rPr>
            </w:pPr>
            <w:r>
              <w:rPr>
                <w:rFonts w:ascii="Arial" w:cs="Arial" w:eastAsia="Arial" w:hAnsi="Arial"/>
                <w:sz w:val="14"/>
                <w:szCs w:val="14"/>
                <w:b w:val="1"/>
                <w:bCs w:val="1"/>
                <w:color w:val="auto"/>
              </w:rPr>
              <w:t>5,798,692</w:t>
            </w:r>
          </w:p>
        </w:tc>
        <w:tc>
          <w:tcPr>
            <w:tcW w:w="1120" w:type="dxa"/>
            <w:vAlign w:val="bottom"/>
            <w:gridSpan w:val="3"/>
          </w:tcPr>
          <w:p>
            <w:pPr>
              <w:jc w:val="right"/>
              <w:spacing w:after="0" w:line="145" w:lineRule="exact"/>
              <w:rPr>
                <w:sz w:val="20"/>
                <w:szCs w:val="20"/>
                <w:color w:val="auto"/>
              </w:rPr>
            </w:pPr>
            <w:r>
              <w:rPr>
                <w:rFonts w:ascii="Arial" w:cs="Arial" w:eastAsia="Arial" w:hAnsi="Arial"/>
                <w:sz w:val="14"/>
                <w:szCs w:val="14"/>
                <w:b w:val="1"/>
                <w:bCs w:val="1"/>
                <w:color w:val="auto"/>
              </w:rPr>
              <w:t>341.0%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20" w:type="dxa"/>
            <w:vAlign w:val="bottom"/>
          </w:tcPr>
          <w:p>
            <w:pPr>
              <w:spacing w:after="0" w:line="145" w:lineRule="exact"/>
              <w:rPr>
                <w:sz w:val="20"/>
                <w:szCs w:val="20"/>
                <w:color w:val="auto"/>
              </w:rPr>
            </w:pPr>
            <w:r>
              <w:rPr>
                <w:rFonts w:ascii="Arial" w:cs="Arial" w:eastAsia="Arial" w:hAnsi="Arial"/>
                <w:sz w:val="14"/>
                <w:szCs w:val="14"/>
                <w:b w:val="1"/>
                <w:bCs w:val="1"/>
                <w:color w:val="auto"/>
              </w:rPr>
              <w:t>Non-financial income</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shd w:val="clear" w:color="auto" w:fill="CCEEFF"/>
          </w:tcPr>
          <w:p>
            <w:pPr>
              <w:ind w:left="240"/>
              <w:spacing w:after="0" w:line="145" w:lineRule="exact"/>
              <w:rPr>
                <w:sz w:val="20"/>
                <w:szCs w:val="20"/>
                <w:color w:val="auto"/>
              </w:rPr>
            </w:pPr>
            <w:r>
              <w:rPr>
                <w:rFonts w:ascii="Arial" w:cs="Arial" w:eastAsia="Arial" w:hAnsi="Arial"/>
                <w:sz w:val="14"/>
                <w:szCs w:val="14"/>
                <w:color w:val="auto"/>
              </w:rPr>
              <w:t>Fee income</w:t>
            </w:r>
          </w:p>
        </w:tc>
        <w:tc>
          <w:tcPr>
            <w:tcW w:w="9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775,805</w:t>
            </w: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862,411</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876,391</w:t>
            </w:r>
          </w:p>
        </w:tc>
        <w:tc>
          <w:tcPr>
            <w:tcW w:w="10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1.6%</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13.0%</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2,039,622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2,569,573</w:t>
            </w:r>
          </w:p>
        </w:tc>
        <w:tc>
          <w:tcPr>
            <w:tcW w:w="112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tcPr>
          <w:p>
            <w:pPr>
              <w:ind w:left="240"/>
              <w:spacing w:after="0" w:line="145" w:lineRule="exact"/>
              <w:rPr>
                <w:sz w:val="20"/>
                <w:szCs w:val="20"/>
                <w:color w:val="auto"/>
              </w:rPr>
            </w:pPr>
            <w:r>
              <w:rPr>
                <w:rFonts w:ascii="Arial" w:cs="Arial" w:eastAsia="Arial" w:hAnsi="Arial"/>
                <w:sz w:val="14"/>
                <w:szCs w:val="14"/>
                <w:color w:val="auto"/>
              </w:rPr>
              <w:t>Net gain on foreign exchange transactions</w:t>
            </w:r>
          </w:p>
        </w:tc>
        <w:tc>
          <w:tcPr>
            <w:tcW w:w="98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155,028</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232,668</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238,886</w:t>
            </w:r>
          </w:p>
        </w:tc>
        <w:tc>
          <w:tcPr>
            <w:tcW w:w="10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2.7%</w:t>
            </w:r>
          </w:p>
        </w:tc>
        <w:tc>
          <w:tcPr>
            <w:tcW w:w="200" w:type="dxa"/>
            <w:vAlign w:val="bottom"/>
          </w:tcPr>
          <w:p>
            <w:pPr>
              <w:spacing w:after="0"/>
              <w:rPr>
                <w:sz w:val="12"/>
                <w:szCs w:val="12"/>
                <w:color w:val="auto"/>
              </w:rPr>
            </w:pPr>
          </w:p>
        </w:tc>
        <w:tc>
          <w:tcPr>
            <w:tcW w:w="8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54.1%</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471,319</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651,443</w:t>
            </w:r>
          </w:p>
        </w:tc>
        <w:tc>
          <w:tcPr>
            <w:tcW w:w="1120" w:type="dxa"/>
            <w:vAlign w:val="bottom"/>
            <w:gridSpan w:val="3"/>
          </w:tcPr>
          <w:p>
            <w:pPr>
              <w:jc w:val="right"/>
              <w:ind w:right="20"/>
              <w:spacing w:after="0" w:line="145" w:lineRule="exact"/>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shd w:val="clear" w:color="auto" w:fill="CCEEFF"/>
          </w:tcPr>
          <w:p>
            <w:pPr>
              <w:ind w:left="240"/>
              <w:spacing w:after="0" w:line="145" w:lineRule="exact"/>
              <w:rPr>
                <w:sz w:val="20"/>
                <w:szCs w:val="20"/>
                <w:color w:val="auto"/>
              </w:rPr>
            </w:pPr>
            <w:r>
              <w:rPr>
                <w:rFonts w:ascii="Arial" w:cs="Arial" w:eastAsia="Arial" w:hAnsi="Arial"/>
                <w:sz w:val="14"/>
                <w:szCs w:val="14"/>
                <w:color w:val="auto"/>
              </w:rPr>
              <w:t>Net gain on sales of securities</w:t>
            </w:r>
          </w:p>
        </w:tc>
        <w:tc>
          <w:tcPr>
            <w:tcW w:w="9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135,957</w:t>
            </w:r>
          </w:p>
        </w:tc>
        <w:tc>
          <w:tcPr>
            <w:tcW w:w="9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(69,947)</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5,739</w:t>
            </w:r>
          </w:p>
        </w:tc>
        <w:tc>
          <w:tcPr>
            <w:tcW w:w="1240" w:type="dxa"/>
            <w:vAlign w:val="bottom"/>
            <w:gridSpan w:val="3"/>
            <w:shd w:val="clear" w:color="auto" w:fill="CCEEFF"/>
          </w:tcPr>
          <w:p>
            <w:pPr>
              <w:jc w:val="right"/>
              <w:ind w:right="460"/>
              <w:spacing w:after="0" w:line="145" w:lineRule="exact"/>
              <w:rPr>
                <w:sz w:val="20"/>
                <w:szCs w:val="20"/>
                <w:color w:val="auto"/>
              </w:rPr>
            </w:pPr>
            <w:r>
              <w:rPr>
                <w:rFonts w:ascii="Arial" w:cs="Arial" w:eastAsia="Arial" w:hAnsi="Arial"/>
                <w:sz w:val="14"/>
                <w:szCs w:val="14"/>
                <w:color w:val="auto"/>
              </w:rPr>
              <w:t>n.a.</w:t>
            </w:r>
          </w:p>
        </w:tc>
        <w:tc>
          <w:tcPr>
            <w:tcW w:w="8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-95.8%</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295,887</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(47,921)</w:t>
            </w:r>
          </w:p>
        </w:tc>
        <w:tc>
          <w:tcPr>
            <w:tcW w:w="112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-116.2%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tcPr>
          <w:p>
            <w:pPr>
              <w:ind w:left="240"/>
              <w:spacing w:after="0" w:line="145" w:lineRule="exact"/>
              <w:rPr>
                <w:sz w:val="20"/>
                <w:szCs w:val="20"/>
                <w:color w:val="auto"/>
              </w:rPr>
            </w:pPr>
            <w:r>
              <w:rPr>
                <w:rFonts w:ascii="Arial" w:cs="Arial" w:eastAsia="Arial" w:hAnsi="Arial"/>
                <w:sz w:val="14"/>
                <w:szCs w:val="14"/>
                <w:color w:val="auto"/>
              </w:rPr>
              <w:t>Net gain from associates</w:t>
            </w: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11,245</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12,302</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19,090</w:t>
            </w:r>
          </w:p>
        </w:tc>
        <w:tc>
          <w:tcPr>
            <w:tcW w:w="10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55.2%</w:t>
            </w:r>
          </w:p>
        </w:tc>
        <w:tc>
          <w:tcPr>
            <w:tcW w:w="200" w:type="dxa"/>
            <w:vAlign w:val="bottom"/>
          </w:tcPr>
          <w:p>
            <w:pPr>
              <w:spacing w:after="0"/>
              <w:rPr>
                <w:sz w:val="12"/>
                <w:szCs w:val="12"/>
                <w:color w:val="auto"/>
              </w:rPr>
            </w:pPr>
          </w:p>
        </w:tc>
        <w:tc>
          <w:tcPr>
            <w:tcW w:w="8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69.8%</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45,376</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60,797</w:t>
            </w:r>
          </w:p>
        </w:tc>
        <w:tc>
          <w:tcPr>
            <w:tcW w:w="1120" w:type="dxa"/>
            <w:vAlign w:val="bottom"/>
            <w:gridSpan w:val="3"/>
          </w:tcPr>
          <w:p>
            <w:pPr>
              <w:jc w:val="right"/>
              <w:ind w:right="20"/>
              <w:spacing w:after="0" w:line="145" w:lineRule="exact"/>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shd w:val="clear" w:color="auto" w:fill="CCEEFF"/>
          </w:tcPr>
          <w:p>
            <w:pPr>
              <w:ind w:left="240"/>
              <w:spacing w:after="0" w:line="145" w:lineRule="exact"/>
              <w:rPr>
                <w:sz w:val="20"/>
                <w:szCs w:val="20"/>
                <w:color w:val="auto"/>
              </w:rPr>
            </w:pPr>
            <w:r>
              <w:rPr>
                <w:rFonts w:ascii="Arial" w:cs="Arial" w:eastAsia="Arial" w:hAnsi="Arial"/>
                <w:sz w:val="14"/>
                <w:szCs w:val="14"/>
                <w:color w:val="auto"/>
              </w:rPr>
              <w:t>Net gain on derivatives held for trading</w:t>
            </w:r>
          </w:p>
        </w:tc>
        <w:tc>
          <w:tcPr>
            <w:tcW w:w="9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(21,297)</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45,413</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43,086</w:t>
            </w:r>
          </w:p>
        </w:tc>
        <w:tc>
          <w:tcPr>
            <w:tcW w:w="10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-5.1%</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n.a.</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22,491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158,222</w:t>
            </w:r>
          </w:p>
        </w:tc>
        <w:tc>
          <w:tcPr>
            <w:tcW w:w="112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603.5%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220" w:type="dxa"/>
            <w:vAlign w:val="bottom"/>
          </w:tcPr>
          <w:p>
            <w:pPr>
              <w:ind w:left="240"/>
              <w:spacing w:after="0" w:line="184" w:lineRule="exact"/>
              <w:rPr>
                <w:sz w:val="20"/>
                <w:szCs w:val="20"/>
                <w:color w:val="auto"/>
              </w:rPr>
            </w:pPr>
            <w:r>
              <w:rPr>
                <w:rFonts w:ascii="Arial" w:cs="Arial" w:eastAsia="Arial" w:hAnsi="Arial"/>
                <w:sz w:val="13"/>
                <w:szCs w:val="13"/>
                <w:color w:val="auto"/>
              </w:rPr>
              <w:t xml:space="preserve">Net gain from exchange differences </w:t>
            </w:r>
            <w:r>
              <w:rPr>
                <w:rFonts w:ascii="Arial" w:cs="Arial" w:eastAsia="Arial" w:hAnsi="Arial"/>
                <w:sz w:val="21"/>
                <w:szCs w:val="21"/>
                <w:color w:val="auto"/>
                <w:vertAlign w:val="superscript"/>
              </w:rPr>
              <w:t>(1)</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6,530</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45,924</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3,233</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-93.0%</w:t>
            </w:r>
          </w:p>
        </w:tc>
        <w:tc>
          <w:tcPr>
            <w:tcW w:w="2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-50.5%</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9,526</w:t>
            </w: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43,621</w:t>
            </w:r>
          </w:p>
        </w:tc>
        <w:tc>
          <w:tcPr>
            <w:tcW w:w="1120" w:type="dxa"/>
            <w:vAlign w:val="bottom"/>
            <w:gridSpan w:val="3"/>
          </w:tcPr>
          <w:p>
            <w:pPr>
              <w:jc w:val="right"/>
              <w:ind w:right="20"/>
              <w:spacing w:after="0"/>
              <w:rPr>
                <w:sz w:val="20"/>
                <w:szCs w:val="20"/>
                <w:color w:val="auto"/>
              </w:rPr>
            </w:pPr>
            <w:r>
              <w:rPr>
                <w:rFonts w:ascii="Arial" w:cs="Arial" w:eastAsia="Arial" w:hAnsi="Arial"/>
                <w:sz w:val="14"/>
                <w:szCs w:val="14"/>
                <w:color w:val="auto"/>
              </w:rPr>
              <w:t>357.9%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220" w:type="dxa"/>
            <w:vAlign w:val="bottom"/>
            <w:shd w:val="clear" w:color="auto" w:fill="CCEEFF"/>
          </w:tcPr>
          <w:p>
            <w:pPr>
              <w:ind w:left="240"/>
              <w:spacing w:after="0" w:line="184" w:lineRule="exact"/>
              <w:rPr>
                <w:sz w:val="20"/>
                <w:szCs w:val="20"/>
                <w:color w:val="auto"/>
              </w:rPr>
            </w:pPr>
            <w:r>
              <w:rPr>
                <w:rFonts w:ascii="Arial" w:cs="Arial" w:eastAsia="Arial" w:hAnsi="Arial"/>
                <w:sz w:val="13"/>
                <w:szCs w:val="13"/>
                <w:color w:val="auto"/>
              </w:rPr>
              <w:t xml:space="preserve">Other non-financial income </w:t>
            </w:r>
            <w:r>
              <w:rPr>
                <w:rFonts w:ascii="Arial" w:cs="Arial" w:eastAsia="Arial" w:hAnsi="Arial"/>
                <w:sz w:val="21"/>
                <w:szCs w:val="21"/>
                <w:color w:val="auto"/>
                <w:vertAlign w:val="superscript"/>
              </w:rPr>
              <w:t>(1)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39,498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62,923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52,258</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-16.9%</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192,463</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189,172</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tcPr>
          <w:p>
            <w:pPr>
              <w:ind w:left="240"/>
              <w:spacing w:after="0" w:line="145" w:lineRule="exact"/>
              <w:rPr>
                <w:sz w:val="20"/>
                <w:szCs w:val="20"/>
                <w:color w:val="auto"/>
              </w:rPr>
            </w:pPr>
            <w:r>
              <w:rPr>
                <w:rFonts w:ascii="Arial" w:cs="Arial" w:eastAsia="Arial" w:hAnsi="Arial"/>
                <w:sz w:val="14"/>
                <w:szCs w:val="14"/>
                <w:b w:val="1"/>
                <w:bCs w:val="1"/>
                <w:color w:val="auto"/>
              </w:rPr>
              <w:t>Total non-financial income</w:t>
            </w:r>
          </w:p>
        </w:tc>
        <w:tc>
          <w:tcPr>
            <w:tcW w:w="76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1,102,766</w:t>
            </w:r>
          </w:p>
        </w:tc>
        <w:tc>
          <w:tcPr>
            <w:tcW w:w="22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1,191,694</w:t>
            </w:r>
          </w:p>
        </w:tc>
        <w:tc>
          <w:tcPr>
            <w:tcW w:w="20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1,238,683</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line="145" w:lineRule="exact"/>
              <w:rPr>
                <w:sz w:val="20"/>
                <w:szCs w:val="20"/>
                <w:color w:val="auto"/>
              </w:rPr>
            </w:pPr>
            <w:r>
              <w:rPr>
                <w:rFonts w:ascii="Arial" w:cs="Arial" w:eastAsia="Arial" w:hAnsi="Arial"/>
                <w:sz w:val="14"/>
                <w:szCs w:val="14"/>
                <w:b w:val="1"/>
                <w:bCs w:val="1"/>
                <w:color w:val="auto"/>
              </w:rPr>
              <w:t>3.9%</w:t>
            </w:r>
          </w:p>
        </w:tc>
        <w:tc>
          <w:tcPr>
            <w:tcW w:w="200" w:type="dxa"/>
            <w:vAlign w:val="bottom"/>
          </w:tcPr>
          <w:p>
            <w:pPr>
              <w:spacing w:after="0"/>
              <w:rPr>
                <w:sz w:val="12"/>
                <w:szCs w:val="12"/>
                <w:color w:val="auto"/>
              </w:rPr>
            </w:pPr>
          </w:p>
        </w:tc>
        <w:tc>
          <w:tcPr>
            <w:tcW w:w="820" w:type="dxa"/>
            <w:vAlign w:val="bottom"/>
            <w:gridSpan w:val="2"/>
          </w:tcPr>
          <w:p>
            <w:pPr>
              <w:jc w:val="right"/>
              <w:ind w:right="120"/>
              <w:spacing w:after="0" w:line="145" w:lineRule="exact"/>
              <w:rPr>
                <w:sz w:val="20"/>
                <w:szCs w:val="20"/>
                <w:color w:val="auto"/>
              </w:rPr>
            </w:pPr>
            <w:r>
              <w:rPr>
                <w:rFonts w:ascii="Arial" w:cs="Arial" w:eastAsia="Arial" w:hAnsi="Arial"/>
                <w:sz w:val="14"/>
                <w:szCs w:val="14"/>
                <w:b w:val="1"/>
                <w:bCs w:val="1"/>
                <w:color w:val="auto"/>
              </w:rPr>
              <w:t>12.3%</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b w:val="1"/>
                <w:bCs w:val="1"/>
                <w:color w:val="auto"/>
              </w:rPr>
              <w:t>3,076,684</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5" w:lineRule="exact"/>
              <w:rPr>
                <w:sz w:val="20"/>
                <w:szCs w:val="20"/>
                <w:color w:val="auto"/>
              </w:rPr>
            </w:pPr>
            <w:r>
              <w:rPr>
                <w:rFonts w:ascii="Arial" w:cs="Arial" w:eastAsia="Arial" w:hAnsi="Arial"/>
                <w:sz w:val="14"/>
                <w:szCs w:val="14"/>
                <w:b w:val="1"/>
                <w:bCs w:val="1"/>
                <w:color w:val="auto"/>
              </w:rPr>
              <w:t>3,624,907</w:t>
            </w:r>
          </w:p>
        </w:tc>
        <w:tc>
          <w:tcPr>
            <w:tcW w:w="1120" w:type="dxa"/>
            <w:vAlign w:val="bottom"/>
            <w:gridSpan w:val="3"/>
          </w:tcPr>
          <w:p>
            <w:pPr>
              <w:jc w:val="right"/>
              <w:spacing w:after="0" w:line="145" w:lineRule="exact"/>
              <w:rPr>
                <w:sz w:val="20"/>
                <w:szCs w:val="20"/>
                <w:color w:val="auto"/>
              </w:rPr>
            </w:pPr>
            <w:r>
              <w:rPr>
                <w:rFonts w:ascii="Arial" w:cs="Arial" w:eastAsia="Arial" w:hAnsi="Arial"/>
                <w:sz w:val="14"/>
                <w:szCs w:val="14"/>
                <w:b w:val="1"/>
                <w:bCs w:val="1"/>
                <w:color w:val="auto"/>
              </w:rPr>
              <w:t>17.8%</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20" w:type="dxa"/>
            <w:vAlign w:val="bottom"/>
          </w:tcPr>
          <w:p>
            <w:pPr>
              <w:spacing w:after="0" w:line="145" w:lineRule="exact"/>
              <w:rPr>
                <w:sz w:val="20"/>
                <w:szCs w:val="20"/>
                <w:color w:val="auto"/>
              </w:rPr>
            </w:pPr>
            <w:r>
              <w:rPr>
                <w:rFonts w:ascii="Arial" w:cs="Arial" w:eastAsia="Arial" w:hAnsi="Arial"/>
                <w:sz w:val="14"/>
                <w:szCs w:val="14"/>
                <w:b w:val="1"/>
                <w:bCs w:val="1"/>
                <w:color w:val="auto"/>
              </w:rPr>
              <w:t>Insurance underwriting result</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shd w:val="clear" w:color="auto" w:fill="CCEEFF"/>
          </w:tcPr>
          <w:p>
            <w:pPr>
              <w:ind w:left="240"/>
              <w:spacing w:after="0" w:line="145" w:lineRule="exact"/>
              <w:rPr>
                <w:sz w:val="20"/>
                <w:szCs w:val="20"/>
                <w:color w:val="auto"/>
              </w:rPr>
            </w:pPr>
            <w:r>
              <w:rPr>
                <w:rFonts w:ascii="Arial" w:cs="Arial" w:eastAsia="Arial" w:hAnsi="Arial"/>
                <w:sz w:val="14"/>
                <w:szCs w:val="14"/>
                <w:color w:val="auto"/>
              </w:rPr>
              <w:t>Net earned premiums</w:t>
            </w:r>
          </w:p>
        </w:tc>
        <w:tc>
          <w:tcPr>
            <w:tcW w:w="9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595,394</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639,944</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675,571</w:t>
            </w:r>
          </w:p>
        </w:tc>
        <w:tc>
          <w:tcPr>
            <w:tcW w:w="10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5.6%</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13.5%</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1,775,390</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1,959,443</w:t>
            </w:r>
          </w:p>
        </w:tc>
        <w:tc>
          <w:tcPr>
            <w:tcW w:w="112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tcPr>
          <w:p>
            <w:pPr>
              <w:ind w:left="240"/>
              <w:spacing w:after="0" w:line="145" w:lineRule="exact"/>
              <w:rPr>
                <w:sz w:val="20"/>
                <w:szCs w:val="20"/>
                <w:color w:val="auto"/>
              </w:rPr>
            </w:pPr>
            <w:r>
              <w:rPr>
                <w:rFonts w:ascii="Arial" w:cs="Arial" w:eastAsia="Arial" w:hAnsi="Arial"/>
                <w:sz w:val="14"/>
                <w:szCs w:val="14"/>
                <w:color w:val="auto"/>
              </w:rPr>
              <w:t>Net claims</w:t>
            </w:r>
          </w:p>
        </w:tc>
        <w:tc>
          <w:tcPr>
            <w:tcW w:w="9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(513,091)</w:t>
            </w:r>
          </w:p>
        </w:tc>
        <w:tc>
          <w:tcPr>
            <w:tcW w:w="9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(691,335)</w:t>
            </w:r>
          </w:p>
        </w:tc>
        <w:tc>
          <w:tcPr>
            <w:tcW w:w="9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(517,951)</w:t>
            </w:r>
          </w:p>
        </w:tc>
        <w:tc>
          <w:tcPr>
            <w:tcW w:w="10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-25.1%</w:t>
            </w:r>
          </w:p>
        </w:tc>
        <w:tc>
          <w:tcPr>
            <w:tcW w:w="200" w:type="dxa"/>
            <w:vAlign w:val="bottom"/>
          </w:tcPr>
          <w:p>
            <w:pPr>
              <w:spacing w:after="0"/>
              <w:rPr>
                <w:sz w:val="12"/>
                <w:szCs w:val="12"/>
                <w:color w:val="auto"/>
              </w:rPr>
            </w:pPr>
          </w:p>
        </w:tc>
        <w:tc>
          <w:tcPr>
            <w:tcW w:w="8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0.9%</w:t>
            </w:r>
          </w:p>
        </w:tc>
        <w:tc>
          <w:tcPr>
            <w:tcW w:w="9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(1,215,376)</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w w:val="97"/>
              </w:rPr>
              <w:t>(1,832,639)</w:t>
            </w:r>
          </w:p>
        </w:tc>
        <w:tc>
          <w:tcPr>
            <w:tcW w:w="1120" w:type="dxa"/>
            <w:vAlign w:val="bottom"/>
            <w:gridSpan w:val="3"/>
          </w:tcPr>
          <w:p>
            <w:pPr>
              <w:jc w:val="right"/>
              <w:ind w:right="20"/>
              <w:spacing w:after="0" w:line="145" w:lineRule="exact"/>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220" w:type="dxa"/>
            <w:vAlign w:val="bottom"/>
            <w:shd w:val="clear" w:color="auto" w:fill="CCEEFF"/>
          </w:tcPr>
          <w:p>
            <w:pPr>
              <w:ind w:left="240"/>
              <w:spacing w:after="0" w:line="184" w:lineRule="exact"/>
              <w:rPr>
                <w:sz w:val="20"/>
                <w:szCs w:val="20"/>
                <w:color w:val="auto"/>
              </w:rPr>
            </w:pPr>
            <w:r>
              <w:rPr>
                <w:rFonts w:ascii="Arial" w:cs="Arial" w:eastAsia="Arial" w:hAnsi="Arial"/>
                <w:sz w:val="13"/>
                <w:szCs w:val="13"/>
                <w:color w:val="auto"/>
              </w:rPr>
              <w:t xml:space="preserve">Acquisition cost </w:t>
            </w:r>
            <w:r>
              <w:rPr>
                <w:rFonts w:ascii="Arial" w:cs="Arial" w:eastAsia="Arial" w:hAnsi="Arial"/>
                <w:sz w:val="21"/>
                <w:szCs w:val="21"/>
                <w:color w:val="auto"/>
                <w:vertAlign w:val="superscript"/>
              </w:rPr>
              <w:t>(2)</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(86,643)</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(84,944)</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(87,416)</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0.9%</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(286,748)</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(258,182)</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tcPr>
          <w:p>
            <w:pPr>
              <w:ind w:left="240"/>
              <w:spacing w:after="0" w:line="145" w:lineRule="exact"/>
              <w:rPr>
                <w:sz w:val="20"/>
                <w:szCs w:val="20"/>
                <w:color w:val="auto"/>
              </w:rPr>
            </w:pPr>
            <w:r>
              <w:rPr>
                <w:rFonts w:ascii="Arial" w:cs="Arial" w:eastAsia="Arial" w:hAnsi="Arial"/>
                <w:sz w:val="14"/>
                <w:szCs w:val="14"/>
                <w:b w:val="1"/>
                <w:bCs w:val="1"/>
                <w:color w:val="auto"/>
              </w:rPr>
              <w:t>Total insurance underwriting result</w:t>
            </w:r>
          </w:p>
        </w:tc>
        <w:tc>
          <w:tcPr>
            <w:tcW w:w="980" w:type="dxa"/>
            <w:vAlign w:val="bottom"/>
            <w:gridSpan w:val="2"/>
          </w:tcPr>
          <w:p>
            <w:pPr>
              <w:jc w:val="right"/>
              <w:ind w:right="160"/>
              <w:spacing w:after="0" w:line="145" w:lineRule="exact"/>
              <w:rPr>
                <w:sz w:val="20"/>
                <w:szCs w:val="20"/>
                <w:color w:val="auto"/>
              </w:rPr>
            </w:pPr>
            <w:r>
              <w:rPr>
                <w:rFonts w:ascii="Arial" w:cs="Arial" w:eastAsia="Arial" w:hAnsi="Arial"/>
                <w:sz w:val="14"/>
                <w:szCs w:val="14"/>
                <w:b w:val="1"/>
                <w:bCs w:val="1"/>
                <w:color w:val="auto"/>
              </w:rPr>
              <w:t>(4,340)</w:t>
            </w:r>
          </w:p>
        </w:tc>
        <w:tc>
          <w:tcPr>
            <w:tcW w:w="980" w:type="dxa"/>
            <w:vAlign w:val="bottom"/>
            <w:gridSpan w:val="2"/>
          </w:tcPr>
          <w:p>
            <w:pPr>
              <w:jc w:val="right"/>
              <w:ind w:right="160"/>
              <w:spacing w:after="0" w:line="145" w:lineRule="exact"/>
              <w:rPr>
                <w:sz w:val="20"/>
                <w:szCs w:val="20"/>
                <w:color w:val="auto"/>
              </w:rPr>
            </w:pPr>
            <w:r>
              <w:rPr>
                <w:rFonts w:ascii="Arial" w:cs="Arial" w:eastAsia="Arial" w:hAnsi="Arial"/>
                <w:sz w:val="14"/>
                <w:szCs w:val="14"/>
                <w:b w:val="1"/>
                <w:bCs w:val="1"/>
                <w:color w:val="auto"/>
              </w:rPr>
              <w:t>(136,335)</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b w:val="1"/>
                <w:bCs w:val="1"/>
                <w:color w:val="auto"/>
              </w:rPr>
              <w:t>70,204</w:t>
            </w:r>
          </w:p>
        </w:tc>
        <w:tc>
          <w:tcPr>
            <w:tcW w:w="1240" w:type="dxa"/>
            <w:vAlign w:val="bottom"/>
            <w:gridSpan w:val="3"/>
          </w:tcPr>
          <w:p>
            <w:pPr>
              <w:jc w:val="right"/>
              <w:ind w:right="460"/>
              <w:spacing w:after="0" w:line="145" w:lineRule="exact"/>
              <w:rPr>
                <w:sz w:val="20"/>
                <w:szCs w:val="20"/>
                <w:color w:val="auto"/>
              </w:rPr>
            </w:pPr>
            <w:r>
              <w:rPr>
                <w:rFonts w:ascii="Arial" w:cs="Arial" w:eastAsia="Arial" w:hAnsi="Arial"/>
                <w:sz w:val="14"/>
                <w:szCs w:val="14"/>
                <w:b w:val="1"/>
                <w:bCs w:val="1"/>
                <w:color w:val="auto"/>
              </w:rPr>
              <w:t>n.a.</w:t>
            </w:r>
          </w:p>
        </w:tc>
        <w:tc>
          <w:tcPr>
            <w:tcW w:w="820" w:type="dxa"/>
            <w:vAlign w:val="bottom"/>
            <w:gridSpan w:val="2"/>
          </w:tcPr>
          <w:p>
            <w:pPr>
              <w:jc w:val="right"/>
              <w:ind w:right="260"/>
              <w:spacing w:after="0" w:line="145" w:lineRule="exact"/>
              <w:rPr>
                <w:sz w:val="20"/>
                <w:szCs w:val="20"/>
                <w:color w:val="auto"/>
              </w:rPr>
            </w:pPr>
            <w:r>
              <w:rPr>
                <w:rFonts w:ascii="Arial" w:cs="Arial" w:eastAsia="Arial" w:hAnsi="Arial"/>
                <w:sz w:val="14"/>
                <w:szCs w:val="14"/>
                <w:b w:val="1"/>
                <w:bCs w:val="1"/>
                <w:color w:val="auto"/>
              </w:rPr>
              <w:t>n.a.</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b w:val="1"/>
                <w:bCs w:val="1"/>
                <w:color w:val="auto"/>
              </w:rPr>
              <w:t>273,266</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5" w:lineRule="exact"/>
              <w:rPr>
                <w:sz w:val="20"/>
                <w:szCs w:val="20"/>
                <w:color w:val="auto"/>
              </w:rPr>
            </w:pPr>
            <w:r>
              <w:rPr>
                <w:rFonts w:ascii="Arial" w:cs="Arial" w:eastAsia="Arial" w:hAnsi="Arial"/>
                <w:sz w:val="14"/>
                <w:szCs w:val="14"/>
                <w:b w:val="1"/>
                <w:bCs w:val="1"/>
                <w:color w:val="auto"/>
              </w:rPr>
              <w:t>(131,378)</w:t>
            </w:r>
          </w:p>
        </w:tc>
        <w:tc>
          <w:tcPr>
            <w:tcW w:w="1120" w:type="dxa"/>
            <w:vAlign w:val="bottom"/>
            <w:gridSpan w:val="3"/>
          </w:tcPr>
          <w:p>
            <w:pPr>
              <w:jc w:val="right"/>
              <w:spacing w:after="0" w:line="145" w:lineRule="exact"/>
              <w:rPr>
                <w:sz w:val="20"/>
                <w:szCs w:val="20"/>
                <w:color w:val="auto"/>
              </w:rPr>
            </w:pPr>
            <w:r>
              <w:rPr>
                <w:rFonts w:ascii="Arial" w:cs="Arial" w:eastAsia="Arial" w:hAnsi="Arial"/>
                <w:sz w:val="14"/>
                <w:szCs w:val="14"/>
                <w:b w:val="1"/>
                <w:bCs w:val="1"/>
                <w:color w:val="auto"/>
              </w:rPr>
              <w:t>-148.1%</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20" w:type="dxa"/>
            <w:vAlign w:val="bottom"/>
          </w:tcPr>
          <w:p>
            <w:pPr>
              <w:spacing w:after="0" w:line="145" w:lineRule="exact"/>
              <w:rPr>
                <w:sz w:val="20"/>
                <w:szCs w:val="20"/>
                <w:color w:val="auto"/>
              </w:rPr>
            </w:pPr>
            <w:r>
              <w:rPr>
                <w:rFonts w:ascii="Arial" w:cs="Arial" w:eastAsia="Arial" w:hAnsi="Arial"/>
                <w:sz w:val="14"/>
                <w:szCs w:val="14"/>
                <w:b w:val="1"/>
                <w:bCs w:val="1"/>
                <w:color w:val="auto"/>
              </w:rPr>
              <w:t>Total expenses</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shd w:val="clear" w:color="auto" w:fill="CCEEFF"/>
          </w:tcPr>
          <w:p>
            <w:pPr>
              <w:ind w:left="240"/>
              <w:spacing w:after="0" w:line="145" w:lineRule="exact"/>
              <w:rPr>
                <w:sz w:val="20"/>
                <w:szCs w:val="20"/>
                <w:color w:val="auto"/>
              </w:rPr>
            </w:pPr>
            <w:r>
              <w:rPr>
                <w:rFonts w:ascii="Arial" w:cs="Arial" w:eastAsia="Arial" w:hAnsi="Arial"/>
                <w:sz w:val="14"/>
                <w:szCs w:val="14"/>
                <w:color w:val="auto"/>
              </w:rPr>
              <w:t>Salaries and employee benefits</w:t>
            </w:r>
          </w:p>
        </w:tc>
        <w:tc>
          <w:tcPr>
            <w:tcW w:w="9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(803,438)</w:t>
            </w:r>
          </w:p>
        </w:tc>
        <w:tc>
          <w:tcPr>
            <w:tcW w:w="9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(882,177)</w:t>
            </w:r>
          </w:p>
        </w:tc>
        <w:tc>
          <w:tcPr>
            <w:tcW w:w="9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(915,564)</w:t>
            </w:r>
          </w:p>
        </w:tc>
        <w:tc>
          <w:tcPr>
            <w:tcW w:w="10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3.8%</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14.0%</w:t>
            </w:r>
          </w:p>
        </w:tc>
        <w:tc>
          <w:tcPr>
            <w:tcW w:w="9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(2,520,618)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w w:val="97"/>
              </w:rPr>
              <w:t>(2,655,300)</w:t>
            </w:r>
          </w:p>
        </w:tc>
        <w:tc>
          <w:tcPr>
            <w:tcW w:w="112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220" w:type="dxa"/>
            <w:vAlign w:val="bottom"/>
          </w:tcPr>
          <w:p>
            <w:pPr>
              <w:ind w:left="240"/>
              <w:spacing w:after="0" w:line="184" w:lineRule="exact"/>
              <w:rPr>
                <w:sz w:val="20"/>
                <w:szCs w:val="20"/>
                <w:color w:val="auto"/>
              </w:rPr>
            </w:pPr>
            <w:r>
              <w:rPr>
                <w:rFonts w:ascii="Arial" w:cs="Arial" w:eastAsia="Arial" w:hAnsi="Arial"/>
                <w:sz w:val="13"/>
                <w:szCs w:val="13"/>
                <w:color w:val="auto"/>
              </w:rPr>
              <w:t xml:space="preserve">Administrative, general and tax expenses </w:t>
            </w:r>
            <w:r>
              <w:rPr>
                <w:rFonts w:ascii="Arial" w:cs="Arial" w:eastAsia="Arial" w:hAnsi="Arial"/>
                <w:sz w:val="21"/>
                <w:szCs w:val="21"/>
                <w:color w:val="auto"/>
                <w:vertAlign w:val="superscript"/>
              </w:rPr>
              <w:t>(1)</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(591,212)</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(672,805)</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(803,156)</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19.4%</w:t>
            </w:r>
          </w:p>
        </w:tc>
        <w:tc>
          <w:tcPr>
            <w:tcW w:w="2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35.8%</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(1,644,010)</w:t>
            </w:r>
          </w:p>
        </w:tc>
        <w:tc>
          <w:tcPr>
            <w:tcW w:w="10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w w:val="97"/>
              </w:rPr>
              <w:t>(2,056,803)</w:t>
            </w:r>
          </w:p>
        </w:tc>
        <w:tc>
          <w:tcPr>
            <w:tcW w:w="1120" w:type="dxa"/>
            <w:vAlign w:val="bottom"/>
            <w:gridSpan w:val="3"/>
          </w:tcPr>
          <w:p>
            <w:pPr>
              <w:jc w:val="right"/>
              <w:ind w:right="20"/>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220" w:type="dxa"/>
            <w:vAlign w:val="bottom"/>
            <w:shd w:val="clear" w:color="auto" w:fill="CCEEFF"/>
          </w:tcPr>
          <w:p>
            <w:pPr>
              <w:ind w:left="240"/>
              <w:spacing w:after="0" w:line="184"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21"/>
                <w:szCs w:val="21"/>
                <w:color w:val="auto"/>
                <w:vertAlign w:val="superscript"/>
              </w:rPr>
              <w:t>(1)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(166,105)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(163,869)</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(170,960)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4.3%</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(505,374)</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(501,594)</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tcPr>
          <w:p>
            <w:pPr>
              <w:ind w:left="240"/>
              <w:spacing w:after="0" w:line="145" w:lineRule="exact"/>
              <w:rPr>
                <w:sz w:val="20"/>
                <w:szCs w:val="20"/>
                <w:color w:val="auto"/>
              </w:rPr>
            </w:pPr>
            <w:r>
              <w:rPr>
                <w:rFonts w:ascii="Arial" w:cs="Arial" w:eastAsia="Arial" w:hAnsi="Arial"/>
                <w:sz w:val="14"/>
                <w:szCs w:val="14"/>
                <w:color w:val="auto"/>
              </w:rPr>
              <w:t>Impairment loss on goodwill</w:t>
            </w:r>
          </w:p>
        </w:tc>
        <w:tc>
          <w:tcPr>
            <w:tcW w:w="9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(63,978)</w:t>
            </w: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460"/>
              <w:spacing w:after="0" w:line="145" w:lineRule="exact"/>
              <w:rPr>
                <w:sz w:val="20"/>
                <w:szCs w:val="20"/>
                <w:color w:val="auto"/>
              </w:rPr>
            </w:pPr>
            <w:r>
              <w:rPr>
                <w:rFonts w:ascii="Arial" w:cs="Arial" w:eastAsia="Arial" w:hAnsi="Arial"/>
                <w:sz w:val="14"/>
                <w:szCs w:val="14"/>
                <w:color w:val="auto"/>
              </w:rPr>
              <w:t>n.a.</w:t>
            </w:r>
          </w:p>
        </w:tc>
        <w:tc>
          <w:tcPr>
            <w:tcW w:w="8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n.a.</w:t>
            </w:r>
          </w:p>
        </w:tc>
        <w:tc>
          <w:tcPr>
            <w:tcW w:w="9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(63,978)</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shd w:val="clear" w:color="auto" w:fill="CCEEFF"/>
          </w:tcPr>
          <w:p>
            <w:pPr>
              <w:ind w:left="240"/>
              <w:spacing w:after="0" w:line="145" w:lineRule="exact"/>
              <w:rPr>
                <w:sz w:val="20"/>
                <w:szCs w:val="20"/>
                <w:color w:val="auto"/>
              </w:rPr>
            </w:pPr>
            <w:r>
              <w:rPr>
                <w:rFonts w:ascii="Arial" w:cs="Arial" w:eastAsia="Arial" w:hAnsi="Arial"/>
                <w:sz w:val="14"/>
                <w:szCs w:val="14"/>
                <w:color w:val="auto"/>
              </w:rPr>
              <w:t>Association in participation</w:t>
            </w:r>
          </w:p>
        </w:tc>
        <w:tc>
          <w:tcPr>
            <w:tcW w:w="9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(10,566)</w:t>
            </w:r>
          </w:p>
        </w:tc>
        <w:tc>
          <w:tcPr>
            <w:tcW w:w="9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(8,879)</w:t>
            </w:r>
          </w:p>
        </w:tc>
        <w:tc>
          <w:tcPr>
            <w:tcW w:w="9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(10,426)</w:t>
            </w:r>
          </w:p>
        </w:tc>
        <w:tc>
          <w:tcPr>
            <w:tcW w:w="10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17.4%</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-1.3%</w:t>
            </w:r>
          </w:p>
        </w:tc>
        <w:tc>
          <w:tcPr>
            <w:tcW w:w="9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(34,940)</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(33,211)</w:t>
            </w:r>
          </w:p>
        </w:tc>
        <w:tc>
          <w:tcPr>
            <w:tcW w:w="112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220" w:type="dxa"/>
            <w:vAlign w:val="bottom"/>
          </w:tcPr>
          <w:p>
            <w:pPr>
              <w:ind w:left="240"/>
              <w:spacing w:after="0" w:line="184" w:lineRule="exact"/>
              <w:rPr>
                <w:sz w:val="20"/>
                <w:szCs w:val="20"/>
                <w:color w:val="auto"/>
              </w:rPr>
            </w:pPr>
            <w:r>
              <w:rPr>
                <w:rFonts w:ascii="Arial" w:cs="Arial" w:eastAsia="Arial" w:hAnsi="Arial"/>
                <w:sz w:val="13"/>
                <w:szCs w:val="13"/>
                <w:color w:val="auto"/>
              </w:rPr>
              <w:t xml:space="preserve">Other expenses </w:t>
            </w:r>
            <w:r>
              <w:rPr>
                <w:rFonts w:ascii="Arial" w:cs="Arial" w:eastAsia="Arial" w:hAnsi="Arial"/>
                <w:sz w:val="21"/>
                <w:szCs w:val="21"/>
                <w:color w:val="auto"/>
                <w:vertAlign w:val="superscript"/>
              </w:rPr>
              <w:t>(1)</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(166,710)</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(132,717)</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(77,688)</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-41.5%</w:t>
            </w:r>
          </w:p>
        </w:tc>
        <w:tc>
          <w:tcPr>
            <w:tcW w:w="2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-53.4%</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(440,793)</w:t>
            </w:r>
          </w:p>
        </w:tc>
        <w:tc>
          <w:tcPr>
            <w:tcW w:w="10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(271,604)</w:t>
            </w:r>
          </w:p>
        </w:tc>
        <w:tc>
          <w:tcPr>
            <w:tcW w:w="1120" w:type="dxa"/>
            <w:vAlign w:val="bottom"/>
            <w:gridSpan w:val="3"/>
          </w:tcPr>
          <w:p>
            <w:pPr>
              <w:jc w:val="right"/>
              <w:ind w:right="20"/>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shd w:val="clear" w:color="auto" w:fill="CCEEFF"/>
          </w:tcPr>
          <w:p>
            <w:pPr>
              <w:ind w:left="240"/>
              <w:spacing w:after="0" w:line="145" w:lineRule="exact"/>
              <w:rPr>
                <w:sz w:val="20"/>
                <w:szCs w:val="20"/>
                <w:color w:val="auto"/>
              </w:rPr>
            </w:pPr>
            <w:r>
              <w:rPr>
                <w:rFonts w:ascii="Arial" w:cs="Arial" w:eastAsia="Arial" w:hAnsi="Arial"/>
                <w:sz w:val="14"/>
                <w:szCs w:val="14"/>
                <w:b w:val="1"/>
                <w:bCs w:val="1"/>
                <w:color w:val="auto"/>
              </w:rPr>
              <w:t>Total expenses</w:t>
            </w:r>
          </w:p>
        </w:tc>
        <w:tc>
          <w:tcPr>
            <w:tcW w:w="9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b w:val="1"/>
                <w:bCs w:val="1"/>
                <w:color w:val="auto"/>
              </w:rPr>
              <w:t>(1,802,009)</w:t>
            </w:r>
          </w:p>
        </w:tc>
        <w:tc>
          <w:tcPr>
            <w:tcW w:w="9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b w:val="1"/>
                <w:bCs w:val="1"/>
                <w:color w:val="auto"/>
              </w:rPr>
              <w:t>(1,860,447)</w:t>
            </w:r>
          </w:p>
        </w:tc>
        <w:tc>
          <w:tcPr>
            <w:tcW w:w="9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b w:val="1"/>
                <w:bCs w:val="1"/>
                <w:color w:val="auto"/>
              </w:rPr>
              <w:t>(1,977,794)</w:t>
            </w:r>
          </w:p>
        </w:tc>
        <w:tc>
          <w:tcPr>
            <w:tcW w:w="104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b w:val="1"/>
                <w:bCs w:val="1"/>
                <w:color w:val="auto"/>
              </w:rPr>
              <w:t>6.3%</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b w:val="1"/>
                <w:bCs w:val="1"/>
                <w:color w:val="auto"/>
              </w:rPr>
              <w:t>9.8%</w:t>
            </w:r>
          </w:p>
        </w:tc>
        <w:tc>
          <w:tcPr>
            <w:tcW w:w="9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b w:val="1"/>
                <w:bCs w:val="1"/>
                <w:color w:val="auto"/>
              </w:rPr>
              <w:t>(5,209,713)</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b w:val="1"/>
                <w:bCs w:val="1"/>
                <w:color w:val="auto"/>
                <w:w w:val="97"/>
              </w:rPr>
              <w:t>(5,518,512)</w:t>
            </w:r>
          </w:p>
        </w:tc>
        <w:tc>
          <w:tcPr>
            <w:tcW w:w="1120" w:type="dxa"/>
            <w:vAlign w:val="bottom"/>
            <w:gridSpan w:val="3"/>
            <w:shd w:val="clear" w:color="auto" w:fill="CCEEFF"/>
          </w:tcPr>
          <w:p>
            <w:pPr>
              <w:jc w:val="right"/>
              <w:spacing w:after="0" w:line="145" w:lineRule="exact"/>
              <w:rPr>
                <w:sz w:val="20"/>
                <w:szCs w:val="20"/>
                <w:color w:val="auto"/>
              </w:rPr>
            </w:pPr>
            <w:r>
              <w:rPr>
                <w:rFonts w:ascii="Arial" w:cs="Arial" w:eastAsia="Arial" w:hAnsi="Arial"/>
                <w:sz w:val="14"/>
                <w:szCs w:val="14"/>
                <w:b w:val="1"/>
                <w:bCs w:val="1"/>
                <w:color w:val="auto"/>
              </w:rPr>
              <w:t>5.9%</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Profit before income tax</w:t>
            </w:r>
          </w:p>
        </w:tc>
        <w:tc>
          <w:tcPr>
            <w:tcW w:w="9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b w:val="1"/>
                <w:bCs w:val="1"/>
                <w:color w:val="auto"/>
              </w:rPr>
              <w:t>152,417</w:t>
            </w: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b w:val="1"/>
                <w:bCs w:val="1"/>
                <w:color w:val="auto"/>
              </w:rPr>
              <w:t>1,140,574</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b w:val="1"/>
                <w:bCs w:val="1"/>
                <w:color w:val="auto"/>
              </w:rPr>
              <w:t>1,618,387</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b w:val="1"/>
                <w:bCs w:val="1"/>
                <w:color w:val="auto"/>
              </w:rPr>
              <w:t>41.9%</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b w:val="1"/>
                <w:bCs w:val="1"/>
                <w:color w:val="auto"/>
              </w:rPr>
              <w:t>961.8%</w:t>
            </w:r>
          </w:p>
        </w:tc>
        <w:tc>
          <w:tcPr>
            <w:tcW w:w="9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b w:val="1"/>
                <w:bCs w:val="1"/>
                <w:color w:val="auto"/>
              </w:rPr>
              <w:t>(544,824)</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b w:val="1"/>
                <w:bCs w:val="1"/>
                <w:color w:val="auto"/>
              </w:rPr>
              <w:t>3,773,709</w:t>
            </w:r>
          </w:p>
        </w:tc>
        <w:tc>
          <w:tcPr>
            <w:tcW w:w="1120" w:type="dxa"/>
            <w:vAlign w:val="bottom"/>
            <w:gridSpan w:val="3"/>
            <w:shd w:val="clear" w:color="auto" w:fill="CCEEFF"/>
          </w:tcPr>
          <w:p>
            <w:pPr>
              <w:jc w:val="right"/>
              <w:spacing w:after="0" w:line="145" w:lineRule="exact"/>
              <w:rPr>
                <w:sz w:val="20"/>
                <w:szCs w:val="20"/>
                <w:color w:val="auto"/>
              </w:rPr>
            </w:pPr>
            <w:r>
              <w:rPr>
                <w:rFonts w:ascii="Arial" w:cs="Arial" w:eastAsia="Arial" w:hAnsi="Arial"/>
                <w:sz w:val="14"/>
                <w:szCs w:val="14"/>
                <w:b w:val="1"/>
                <w:bCs w:val="1"/>
                <w:color w:val="auto"/>
              </w:rPr>
              <w:t>-792.6%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shd w:val="clear" w:color="auto" w:fill="CCEEFF"/>
          </w:tcPr>
          <w:p>
            <w:pPr>
              <w:ind w:left="240"/>
              <w:spacing w:after="0" w:line="145" w:lineRule="exact"/>
              <w:rPr>
                <w:sz w:val="20"/>
                <w:szCs w:val="20"/>
                <w:color w:val="auto"/>
              </w:rPr>
            </w:pPr>
            <w:r>
              <w:rPr>
                <w:rFonts w:ascii="Arial" w:cs="Arial" w:eastAsia="Arial" w:hAnsi="Arial"/>
                <w:sz w:val="14"/>
                <w:szCs w:val="14"/>
                <w:color w:val="auto"/>
              </w:rPr>
              <w:t>Income tax</w:t>
            </w:r>
          </w:p>
        </w:tc>
        <w:tc>
          <w:tcPr>
            <w:tcW w:w="9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(55,829)</w:t>
            </w:r>
          </w:p>
        </w:tc>
        <w:tc>
          <w:tcPr>
            <w:tcW w:w="9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(423,491)</w:t>
            </w:r>
          </w:p>
        </w:tc>
        <w:tc>
          <w:tcPr>
            <w:tcW w:w="9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(428,037)</w:t>
            </w:r>
          </w:p>
        </w:tc>
        <w:tc>
          <w:tcPr>
            <w:tcW w:w="10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666.7%</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213,151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w w:val="97"/>
              </w:rPr>
              <w:t>(1,189,127)</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Net profit</w:t>
            </w:r>
          </w:p>
        </w:tc>
        <w:tc>
          <w:tcPr>
            <w:tcW w:w="9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b w:val="1"/>
                <w:bCs w:val="1"/>
                <w:color w:val="auto"/>
              </w:rPr>
              <w:t>96,588</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b w:val="1"/>
                <w:bCs w:val="1"/>
                <w:color w:val="auto"/>
              </w:rPr>
              <w:t>717,083</w:t>
            </w: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b w:val="1"/>
                <w:bCs w:val="1"/>
                <w:color w:val="auto"/>
              </w:rPr>
              <w:t>1,190,350</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b w:val="1"/>
                <w:bCs w:val="1"/>
                <w:color w:val="auto"/>
              </w:rPr>
              <w:t>66.0%</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b w:val="1"/>
                <w:bCs w:val="1"/>
                <w:color w:val="auto"/>
              </w:rPr>
              <w:t>1132.4%</w:t>
            </w:r>
          </w:p>
        </w:tc>
        <w:tc>
          <w:tcPr>
            <w:tcW w:w="9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b w:val="1"/>
                <w:bCs w:val="1"/>
                <w:color w:val="auto"/>
              </w:rPr>
              <w:t>(331,673)</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b w:val="1"/>
                <w:bCs w:val="1"/>
                <w:color w:val="auto"/>
              </w:rPr>
              <w:t>2,584,582</w:t>
            </w:r>
          </w:p>
        </w:tc>
        <w:tc>
          <w:tcPr>
            <w:tcW w:w="1120" w:type="dxa"/>
            <w:vAlign w:val="bottom"/>
            <w:gridSpan w:val="3"/>
            <w:shd w:val="clear" w:color="auto" w:fill="CCEEFF"/>
          </w:tcPr>
          <w:p>
            <w:pPr>
              <w:jc w:val="right"/>
              <w:spacing w:after="0" w:line="145" w:lineRule="exact"/>
              <w:rPr>
                <w:sz w:val="20"/>
                <w:szCs w:val="20"/>
                <w:color w:val="auto"/>
              </w:rPr>
            </w:pPr>
            <w:r>
              <w:rPr>
                <w:rFonts w:ascii="Arial" w:cs="Arial" w:eastAsia="Arial" w:hAnsi="Arial"/>
                <w:sz w:val="14"/>
                <w:szCs w:val="14"/>
                <w:b w:val="1"/>
                <w:bCs w:val="1"/>
                <w:color w:val="auto"/>
              </w:rPr>
              <w:t>-879.3%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tcPr>
          <w:p>
            <w:pPr>
              <w:spacing w:after="0" w:line="145" w:lineRule="exact"/>
              <w:rPr>
                <w:sz w:val="20"/>
                <w:szCs w:val="20"/>
                <w:color w:val="auto"/>
              </w:rPr>
            </w:pPr>
            <w:r>
              <w:rPr>
                <w:rFonts w:ascii="Arial" w:cs="Arial" w:eastAsia="Arial" w:hAnsi="Arial"/>
                <w:sz w:val="14"/>
                <w:szCs w:val="14"/>
                <w:color w:val="auto"/>
              </w:rPr>
              <w:t>Non-controlling interest</w:t>
            </w:r>
          </w:p>
        </w:tc>
        <w:tc>
          <w:tcPr>
            <w:tcW w:w="9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(8,018)</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17,614</w:t>
            </w:r>
          </w:p>
        </w:tc>
        <w:tc>
          <w:tcPr>
            <w:tcW w:w="9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26,651</w:t>
            </w:r>
          </w:p>
        </w:tc>
        <w:tc>
          <w:tcPr>
            <w:tcW w:w="10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51.3%</w:t>
            </w:r>
          </w:p>
        </w:tc>
        <w:tc>
          <w:tcPr>
            <w:tcW w:w="200" w:type="dxa"/>
            <w:vAlign w:val="bottom"/>
          </w:tcPr>
          <w:p>
            <w:pPr>
              <w:spacing w:after="0"/>
              <w:rPr>
                <w:sz w:val="12"/>
                <w:szCs w:val="12"/>
                <w:color w:val="auto"/>
              </w:rPr>
            </w:pPr>
          </w:p>
        </w:tc>
        <w:tc>
          <w:tcPr>
            <w:tcW w:w="8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n.a.</w:t>
            </w:r>
          </w:p>
        </w:tc>
        <w:tc>
          <w:tcPr>
            <w:tcW w:w="9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(25,163)</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60,616</w:t>
            </w: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Net profit attributable to Credicorp</w:t>
            </w:r>
          </w:p>
        </w:tc>
        <w:tc>
          <w:tcPr>
            <w:tcW w:w="9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b w:val="1"/>
                <w:bCs w:val="1"/>
                <w:color w:val="auto"/>
              </w:rPr>
              <w:t>104,606</w:t>
            </w:r>
          </w:p>
        </w:tc>
        <w:tc>
          <w:tcPr>
            <w:tcW w:w="9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b w:val="1"/>
                <w:bCs w:val="1"/>
                <w:color w:val="auto"/>
              </w:rPr>
              <w:t>699,469</w:t>
            </w: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b w:val="1"/>
                <w:bCs w:val="1"/>
                <w:color w:val="auto"/>
              </w:rPr>
              <w:t>1,163,699</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b w:val="1"/>
                <w:bCs w:val="1"/>
                <w:color w:val="auto"/>
              </w:rPr>
              <w:t>66.4%</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b w:val="1"/>
                <w:bCs w:val="1"/>
                <w:color w:val="auto"/>
              </w:rPr>
              <w:t>1012.5%</w:t>
            </w:r>
          </w:p>
        </w:tc>
        <w:tc>
          <w:tcPr>
            <w:tcW w:w="9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b w:val="1"/>
                <w:bCs w:val="1"/>
                <w:color w:val="auto"/>
              </w:rPr>
              <w:t>(306,510)</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b w:val="1"/>
                <w:bCs w:val="1"/>
                <w:color w:val="auto"/>
              </w:rPr>
              <w:t>2,523,966</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b w:val="1"/>
                <w:bCs w:val="1"/>
                <w:color w:val="auto"/>
              </w:rPr>
              <w:t>n.a.</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hanging="235"/>
        <w:spacing w:after="0"/>
        <w:tabs>
          <w:tab w:leader="none" w:pos="2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amounts differ from those previously reported in 2020 period due to reclassifications.</w:t>
      </w:r>
    </w:p>
    <w:p>
      <w:pPr>
        <w:spacing w:after="0" w:line="14" w:lineRule="exact"/>
        <w:rPr>
          <w:rFonts w:ascii="Arial" w:cs="Arial" w:eastAsia="Arial" w:hAnsi="Arial"/>
          <w:sz w:val="18"/>
          <w:szCs w:val="18"/>
          <w:color w:val="auto"/>
        </w:rPr>
      </w:pPr>
    </w:p>
    <w:p>
      <w:pPr>
        <w:ind w:left="240" w:hanging="235"/>
        <w:spacing w:after="0"/>
        <w:tabs>
          <w:tab w:leader="none" w:pos="2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acquisition cost of Pacifico includes net fees and underwriting expenses.</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Regulatory Capital and Capital Adequacy Ratios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thousands, IFRS)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As of</w:t>
            </w:r>
          </w:p>
        </w:tc>
        <w:tc>
          <w:tcPr>
            <w:tcW w:w="11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w w:val="96"/>
              </w:rPr>
              <w:t>% Change</w:t>
            </w:r>
          </w:p>
        </w:tc>
        <w:tc>
          <w:tcPr>
            <w:tcW w:w="7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Sep 20</w:t>
            </w: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Jun 21</w:t>
            </w: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Sep 21</w:t>
            </w:r>
          </w:p>
        </w:tc>
        <w:tc>
          <w:tcPr>
            <w:tcW w:w="1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Stock</w:t>
            </w: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1,318,993</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1,318,993</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1,318,993</w:t>
            </w: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Treasury Stocks</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(209,305)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(207,756)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(207,745)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Capital Surplus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157,767</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224,103</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215,071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60" w:type="dxa"/>
            <w:vAlign w:val="bottom"/>
          </w:tcPr>
          <w:p>
            <w:pPr>
              <w:spacing w:after="0" w:line="249" w:lineRule="exact"/>
              <w:rPr>
                <w:sz w:val="20"/>
                <w:szCs w:val="20"/>
                <w:color w:val="auto"/>
              </w:rPr>
            </w:pPr>
            <w:r>
              <w:rPr>
                <w:rFonts w:ascii="Arial" w:cs="Arial" w:eastAsia="Arial" w:hAnsi="Arial"/>
                <w:sz w:val="17"/>
                <w:szCs w:val="17"/>
                <w:color w:val="auto"/>
              </w:rPr>
              <w:t xml:space="preserve">Legal and Other capital reserves </w:t>
            </w:r>
            <w:r>
              <w:rPr>
                <w:rFonts w:ascii="Arial" w:cs="Arial" w:eastAsia="Arial" w:hAnsi="Arial"/>
                <w:sz w:val="28"/>
                <w:szCs w:val="28"/>
                <w:color w:val="auto"/>
                <w:vertAlign w:val="superscript"/>
              </w:rPr>
              <w:t>(1)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21,405,740</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21,725,663</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21,350,150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60" w:type="dxa"/>
            <w:vAlign w:val="bottom"/>
            <w:shd w:val="clear" w:color="auto" w:fill="CCEEFF"/>
          </w:tcPr>
          <w:p>
            <w:pPr>
              <w:spacing w:after="0" w:line="249" w:lineRule="exact"/>
              <w:rPr>
                <w:sz w:val="20"/>
                <w:szCs w:val="20"/>
                <w:color w:val="auto"/>
              </w:rPr>
            </w:pPr>
            <w:r>
              <w:rPr>
                <w:rFonts w:ascii="Arial" w:cs="Arial" w:eastAsia="Arial" w:hAnsi="Arial"/>
                <w:sz w:val="17"/>
                <w:szCs w:val="17"/>
                <w:color w:val="auto"/>
              </w:rPr>
              <w:t xml:space="preserve">Minority interest </w:t>
            </w:r>
            <w:r>
              <w:rPr>
                <w:rFonts w:ascii="Arial" w:cs="Arial" w:eastAsia="Arial" w:hAnsi="Arial"/>
                <w:sz w:val="28"/>
                <w:szCs w:val="28"/>
                <w:color w:val="auto"/>
                <w:vertAlign w:val="superscript"/>
              </w:rPr>
              <w:t>(2)</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421,250</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429,448</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423,897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60" w:type="dxa"/>
            <w:vAlign w:val="bottom"/>
          </w:tcPr>
          <w:p>
            <w:pPr>
              <w:spacing w:after="0" w:line="249" w:lineRule="exact"/>
              <w:rPr>
                <w:sz w:val="20"/>
                <w:szCs w:val="20"/>
                <w:color w:val="auto"/>
              </w:rPr>
            </w:pPr>
            <w:r>
              <w:rPr>
                <w:rFonts w:ascii="Arial" w:cs="Arial" w:eastAsia="Arial" w:hAnsi="Arial"/>
                <w:sz w:val="17"/>
                <w:szCs w:val="17"/>
                <w:color w:val="auto"/>
              </w:rPr>
              <w:t xml:space="preserve">Loan loss reserves </w:t>
            </w:r>
            <w:r>
              <w:rPr>
                <w:rFonts w:ascii="Arial" w:cs="Arial" w:eastAsia="Arial" w:hAnsi="Arial"/>
                <w:sz w:val="28"/>
                <w:szCs w:val="28"/>
                <w:color w:val="auto"/>
                <w:vertAlign w:val="superscript"/>
              </w:rPr>
              <w:t>(3)</w:t>
            </w:r>
          </w:p>
        </w:tc>
        <w:tc>
          <w:tcPr>
            <w:tcW w:w="1120" w:type="dxa"/>
            <w:vAlign w:val="bottom"/>
          </w:tcPr>
          <w:p>
            <w:pPr>
              <w:jc w:val="right"/>
              <w:spacing w:after="0"/>
              <w:rPr>
                <w:sz w:val="20"/>
                <w:szCs w:val="20"/>
                <w:color w:val="auto"/>
              </w:rPr>
            </w:pPr>
            <w:r>
              <w:rPr>
                <w:rFonts w:ascii="Arial" w:cs="Arial" w:eastAsia="Arial" w:hAnsi="Arial"/>
                <w:sz w:val="18"/>
                <w:szCs w:val="18"/>
                <w:color w:val="auto"/>
              </w:rPr>
              <w:t>1,818,720</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1,913,045</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1,993,306</w:t>
            </w:r>
          </w:p>
        </w:tc>
        <w:tc>
          <w:tcPr>
            <w:tcW w:w="18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Subordinated Debt</w:t>
            </w:r>
          </w:p>
        </w:tc>
        <w:tc>
          <w:tcPr>
            <w:tcW w:w="1120" w:type="dxa"/>
            <w:vAlign w:val="bottom"/>
          </w:tcPr>
          <w:p>
            <w:pPr>
              <w:jc w:val="right"/>
              <w:spacing w:after="0"/>
              <w:rPr>
                <w:sz w:val="20"/>
                <w:szCs w:val="20"/>
                <w:color w:val="auto"/>
              </w:rPr>
            </w:pPr>
            <w:r>
              <w:rPr>
                <w:rFonts w:ascii="Arial" w:cs="Arial" w:eastAsia="Arial" w:hAnsi="Arial"/>
                <w:sz w:val="18"/>
                <w:szCs w:val="18"/>
                <w:color w:val="auto"/>
              </w:rPr>
              <w:t>5,241,953</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5,979,619</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6,393,706</w:t>
            </w:r>
          </w:p>
        </w:tc>
        <w:tc>
          <w:tcPr>
            <w:tcW w:w="1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4"/>
              </w:rPr>
              <w:t>Investments in equity and subordinated debt of</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financial and insurance companies</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(699,066)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(717,711)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(727,585)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Goodwill</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(790,335)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(813,492)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(826,196)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Current year Net Loss</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(306,510)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60" w:type="dxa"/>
            <w:vAlign w:val="bottom"/>
          </w:tcPr>
          <w:p>
            <w:pPr>
              <w:spacing w:after="0" w:line="200" w:lineRule="exact"/>
              <w:rPr>
                <w:sz w:val="20"/>
                <w:szCs w:val="20"/>
                <w:color w:val="auto"/>
              </w:rPr>
            </w:pPr>
            <w:r>
              <w:rPr>
                <w:rFonts w:ascii="Arial" w:cs="Arial" w:eastAsia="Arial" w:hAnsi="Arial"/>
                <w:sz w:val="18"/>
                <w:szCs w:val="18"/>
                <w:color w:val="auto"/>
                <w:w w:val="98"/>
              </w:rPr>
              <w:t>Deduction for subordinated debt limit (50% of</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3580" w:type="dxa"/>
            <w:vAlign w:val="bottom"/>
            <w:gridSpan w:val="2"/>
          </w:tcPr>
          <w:p>
            <w:pPr>
              <w:spacing w:after="0" w:line="260" w:lineRule="exact"/>
              <w:rPr>
                <w:sz w:val="20"/>
                <w:szCs w:val="20"/>
                <w:color w:val="auto"/>
              </w:rPr>
            </w:pPr>
            <w:r>
              <w:rPr>
                <w:rFonts w:ascii="Arial" w:cs="Arial" w:eastAsia="Arial" w:hAnsi="Arial"/>
                <w:sz w:val="18"/>
                <w:szCs w:val="18"/>
                <w:color w:val="auto"/>
              </w:rPr>
              <w:t xml:space="preserve">Tier I excluding deductions) </w:t>
            </w:r>
            <w:r>
              <w:rPr>
                <w:rFonts w:ascii="Arial" w:cs="Arial" w:eastAsia="Arial" w:hAnsi="Arial"/>
                <w:sz w:val="29"/>
                <w:szCs w:val="29"/>
                <w:color w:val="auto"/>
                <w:vertAlign w:val="superscript"/>
              </w:rPr>
              <w:t>(4)</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9"/>
              </w:rPr>
              <w:t>Deduction for Tier I Limit (50% of Regulatory</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560" w:type="dxa"/>
            <w:vAlign w:val="bottom"/>
            <w:shd w:val="clear" w:color="auto" w:fill="CCEEFF"/>
          </w:tcPr>
          <w:p>
            <w:pPr>
              <w:spacing w:after="0" w:line="260" w:lineRule="exact"/>
              <w:rPr>
                <w:sz w:val="20"/>
                <w:szCs w:val="20"/>
                <w:color w:val="auto"/>
              </w:rPr>
            </w:pPr>
            <w:r>
              <w:rPr>
                <w:rFonts w:ascii="Arial" w:cs="Arial" w:eastAsia="Arial" w:hAnsi="Arial"/>
                <w:sz w:val="18"/>
                <w:szCs w:val="18"/>
                <w:color w:val="auto"/>
              </w:rPr>
              <w:t xml:space="preserve">capital) </w:t>
            </w:r>
            <w:r>
              <w:rPr>
                <w:rFonts w:ascii="Arial" w:cs="Arial" w:eastAsia="Arial" w:hAnsi="Arial"/>
                <w:sz w:val="29"/>
                <w:szCs w:val="29"/>
                <w:color w:val="auto"/>
                <w:vertAlign w:val="superscript"/>
              </w:rPr>
              <w:t>(4)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spacing w:after="0" w:line="203" w:lineRule="exact"/>
              <w:rPr>
                <w:sz w:val="20"/>
                <w:szCs w:val="20"/>
                <w:color w:val="auto"/>
              </w:rPr>
            </w:pPr>
            <w:r>
              <w:rPr>
                <w:rFonts w:ascii="Arial" w:cs="Arial" w:eastAsia="Arial" w:hAnsi="Arial"/>
                <w:sz w:val="18"/>
                <w:szCs w:val="18"/>
                <w:b w:val="1"/>
                <w:bCs w:val="1"/>
                <w:color w:val="auto"/>
              </w:rPr>
              <w:t>Regulatory Capital (A)</w:t>
            </w:r>
          </w:p>
        </w:tc>
        <w:tc>
          <w:tcPr>
            <w:tcW w:w="11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28,359,206</w:t>
            </w:r>
          </w:p>
        </w:tc>
        <w:tc>
          <w:tcPr>
            <w:tcW w:w="1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29,851,912</w:t>
            </w:r>
          </w:p>
        </w:tc>
        <w:tc>
          <w:tcPr>
            <w:tcW w:w="1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29,933,596</w:t>
            </w:r>
          </w:p>
        </w:tc>
        <w:tc>
          <w:tcPr>
            <w:tcW w:w="180" w:type="dxa"/>
            <w:vAlign w:val="bottom"/>
          </w:tcPr>
          <w:p>
            <w:pPr>
              <w:spacing w:after="0"/>
              <w:rPr>
                <w:sz w:val="17"/>
                <w:szCs w:val="17"/>
                <w:color w:val="auto"/>
              </w:rPr>
            </w:pPr>
          </w:p>
        </w:tc>
        <w:tc>
          <w:tcPr>
            <w:tcW w:w="1380" w:type="dxa"/>
            <w:vAlign w:val="bottom"/>
            <w:gridSpan w:val="2"/>
          </w:tcPr>
          <w:p>
            <w:pPr>
              <w:jc w:val="right"/>
              <w:ind w:right="100"/>
              <w:spacing w:after="0" w:line="203" w:lineRule="exact"/>
              <w:rPr>
                <w:sz w:val="20"/>
                <w:szCs w:val="20"/>
                <w:color w:val="auto"/>
              </w:rPr>
            </w:pPr>
            <w:r>
              <w:rPr>
                <w:rFonts w:ascii="Arial" w:cs="Arial" w:eastAsia="Arial" w:hAnsi="Arial"/>
                <w:sz w:val="18"/>
                <w:szCs w:val="18"/>
                <w:b w:val="1"/>
                <w:bCs w:val="1"/>
                <w:color w:val="auto"/>
              </w:rPr>
              <w:t>0.3%</w:t>
            </w:r>
          </w:p>
        </w:tc>
        <w:tc>
          <w:tcPr>
            <w:tcW w:w="340" w:type="dxa"/>
            <w:vAlign w:val="bottom"/>
          </w:tcPr>
          <w:p>
            <w:pPr>
              <w:spacing w:after="0"/>
              <w:rPr>
                <w:sz w:val="17"/>
                <w:szCs w:val="17"/>
                <w:color w:val="auto"/>
              </w:rPr>
            </w:pPr>
          </w:p>
        </w:tc>
        <w:tc>
          <w:tcPr>
            <w:tcW w:w="960" w:type="dxa"/>
            <w:vAlign w:val="bottom"/>
            <w:gridSpan w:val="2"/>
          </w:tcPr>
          <w:p>
            <w:pPr>
              <w:jc w:val="right"/>
              <w:ind w:right="20"/>
              <w:spacing w:after="0" w:line="203" w:lineRule="exact"/>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5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3560" w:type="dxa"/>
            <w:vAlign w:val="bottom"/>
          </w:tcPr>
          <w:p>
            <w:pPr>
              <w:spacing w:after="0" w:line="249" w:lineRule="exact"/>
              <w:rPr>
                <w:sz w:val="20"/>
                <w:szCs w:val="20"/>
                <w:color w:val="auto"/>
              </w:rPr>
            </w:pPr>
            <w:r>
              <w:rPr>
                <w:rFonts w:ascii="Arial" w:cs="Arial" w:eastAsia="Arial" w:hAnsi="Arial"/>
                <w:sz w:val="17"/>
                <w:szCs w:val="17"/>
                <w:color w:val="auto"/>
              </w:rPr>
              <w:t xml:space="preserve">Tier 1 </w:t>
            </w:r>
            <w:r>
              <w:rPr>
                <w:rFonts w:ascii="Arial" w:cs="Arial" w:eastAsia="Arial" w:hAnsi="Arial"/>
                <w:sz w:val="28"/>
                <w:szCs w:val="28"/>
                <w:color w:val="auto"/>
                <w:vertAlign w:val="superscript"/>
              </w:rPr>
              <w:t>(5)</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14,987,233</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15,337,348</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15,305,134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60" w:type="dxa"/>
            <w:vAlign w:val="bottom"/>
            <w:shd w:val="clear" w:color="auto" w:fill="CCEEFF"/>
          </w:tcPr>
          <w:p>
            <w:pPr>
              <w:spacing w:after="0" w:line="249" w:lineRule="exact"/>
              <w:rPr>
                <w:sz w:val="20"/>
                <w:szCs w:val="20"/>
                <w:color w:val="auto"/>
              </w:rPr>
            </w:pPr>
            <w:r>
              <w:rPr>
                <w:rFonts w:ascii="Arial" w:cs="Arial" w:eastAsia="Arial" w:hAnsi="Arial"/>
                <w:sz w:val="17"/>
                <w:szCs w:val="17"/>
                <w:color w:val="auto"/>
              </w:rPr>
              <w:t xml:space="preserve">Tier 2 </w:t>
            </w:r>
            <w:r>
              <w:rPr>
                <w:rFonts w:ascii="Arial" w:cs="Arial" w:eastAsia="Arial" w:hAnsi="Arial"/>
                <w:sz w:val="28"/>
                <w:szCs w:val="28"/>
                <w:color w:val="auto"/>
                <w:vertAlign w:val="superscript"/>
              </w:rPr>
              <w:t>(6)</w:t>
            </w:r>
            <w:r>
              <w:rPr>
                <w:rFonts w:ascii="Arial" w:cs="Arial" w:eastAsia="Arial" w:hAnsi="Arial"/>
                <w:sz w:val="17"/>
                <w:szCs w:val="17"/>
                <w:color w:val="auto"/>
              </w:rPr>
              <w:t xml:space="preserve"> + Tier 3 </w:t>
            </w:r>
            <w:r>
              <w:rPr>
                <w:rFonts w:ascii="Arial" w:cs="Arial" w:eastAsia="Arial" w:hAnsi="Arial"/>
                <w:sz w:val="28"/>
                <w:szCs w:val="28"/>
                <w:color w:val="auto"/>
                <w:vertAlign w:val="superscript"/>
              </w:rPr>
              <w:t>(7)</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13,371,972</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14,514,564</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14,628,462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3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35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2"/>
              </w:rPr>
              <w:t>Financial Consolidated Group (FCG) Regulatory</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560" w:type="dxa"/>
            <w:vAlign w:val="bottom"/>
            <w:shd w:val="clear" w:color="auto" w:fill="CCEEFF"/>
          </w:tcPr>
          <w:p>
            <w:pPr>
              <w:spacing w:after="0" w:line="260" w:lineRule="exact"/>
              <w:rPr>
                <w:sz w:val="20"/>
                <w:szCs w:val="20"/>
                <w:color w:val="auto"/>
              </w:rPr>
            </w:pPr>
            <w:r>
              <w:rPr>
                <w:rFonts w:ascii="Arial" w:cs="Arial" w:eastAsia="Arial" w:hAnsi="Arial"/>
                <w:sz w:val="18"/>
                <w:szCs w:val="18"/>
                <w:color w:val="auto"/>
              </w:rPr>
              <w:t xml:space="preserve">Capital Requirements </w:t>
            </w:r>
            <w:r>
              <w:rPr>
                <w:rFonts w:ascii="Arial" w:cs="Arial" w:eastAsia="Arial" w:hAnsi="Arial"/>
                <w:sz w:val="29"/>
                <w:szCs w:val="29"/>
                <w:color w:val="auto"/>
                <w:vertAlign w:val="superscript"/>
              </w:rPr>
              <w:t>(8)</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18,607,279</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17,894,230</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18,710,799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60" w:type="dxa"/>
            <w:vAlign w:val="bottom"/>
          </w:tcPr>
          <w:p>
            <w:pPr>
              <w:spacing w:after="0" w:line="200" w:lineRule="exact"/>
              <w:rPr>
                <w:sz w:val="20"/>
                <w:szCs w:val="20"/>
                <w:color w:val="auto"/>
              </w:rPr>
            </w:pPr>
            <w:r>
              <w:rPr>
                <w:rFonts w:ascii="Arial" w:cs="Arial" w:eastAsia="Arial" w:hAnsi="Arial"/>
                <w:sz w:val="18"/>
                <w:szCs w:val="18"/>
                <w:color w:val="auto"/>
                <w:w w:val="99"/>
              </w:rPr>
              <w:t>Insurance Consolidated Group (ICG) Capital</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3580" w:type="dxa"/>
            <w:vAlign w:val="bottom"/>
            <w:gridSpan w:val="2"/>
          </w:tcPr>
          <w:p>
            <w:pPr>
              <w:spacing w:after="0" w:line="260" w:lineRule="exact"/>
              <w:rPr>
                <w:sz w:val="20"/>
                <w:szCs w:val="20"/>
                <w:color w:val="auto"/>
              </w:rPr>
            </w:pPr>
            <w:r>
              <w:rPr>
                <w:rFonts w:ascii="Arial" w:cs="Arial" w:eastAsia="Arial" w:hAnsi="Arial"/>
                <w:sz w:val="18"/>
                <w:szCs w:val="18"/>
                <w:color w:val="auto"/>
              </w:rPr>
              <w:t xml:space="preserve">Requirements </w:t>
            </w:r>
            <w:r>
              <w:rPr>
                <w:rFonts w:ascii="Arial" w:cs="Arial" w:eastAsia="Arial" w:hAnsi="Arial"/>
                <w:sz w:val="29"/>
                <w:szCs w:val="29"/>
                <w:color w:val="auto"/>
                <w:vertAlign w:val="superscript"/>
              </w:rPr>
              <w:t>(9)</w:t>
            </w:r>
          </w:p>
        </w:tc>
        <w:tc>
          <w:tcPr>
            <w:tcW w:w="1120" w:type="dxa"/>
            <w:vAlign w:val="bottom"/>
          </w:tcPr>
          <w:p>
            <w:pPr>
              <w:jc w:val="right"/>
              <w:spacing w:after="0"/>
              <w:rPr>
                <w:sz w:val="20"/>
                <w:szCs w:val="20"/>
                <w:color w:val="auto"/>
              </w:rPr>
            </w:pPr>
            <w:r>
              <w:rPr>
                <w:rFonts w:ascii="Arial" w:cs="Arial" w:eastAsia="Arial" w:hAnsi="Arial"/>
                <w:sz w:val="18"/>
                <w:szCs w:val="18"/>
                <w:color w:val="auto"/>
              </w:rPr>
              <w:t>1,241,465</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1,325,595</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1,418,922</w:t>
            </w:r>
          </w:p>
        </w:tc>
        <w:tc>
          <w:tcPr>
            <w:tcW w:w="180" w:type="dxa"/>
            <w:vAlign w:val="bottom"/>
          </w:tcPr>
          <w:p>
            <w:pPr>
              <w:spacing w:after="0"/>
              <w:rPr>
                <w:sz w:val="22"/>
                <w:szCs w:val="22"/>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22"/>
                <w:szCs w:val="2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1"/>
              </w:rPr>
              <w:t>FCG Capital Requirements related to operations</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with ICG</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(477,400)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(471,394)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(503,809)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60" w:type="dxa"/>
            <w:vAlign w:val="bottom"/>
          </w:tcPr>
          <w:p>
            <w:pPr>
              <w:spacing w:after="0" w:line="198" w:lineRule="exact"/>
              <w:rPr>
                <w:sz w:val="20"/>
                <w:szCs w:val="20"/>
                <w:color w:val="auto"/>
              </w:rPr>
            </w:pPr>
            <w:r>
              <w:rPr>
                <w:rFonts w:ascii="Arial" w:cs="Arial" w:eastAsia="Arial" w:hAnsi="Arial"/>
                <w:sz w:val="18"/>
                <w:szCs w:val="18"/>
                <w:color w:val="auto"/>
                <w:w w:val="93"/>
              </w:rPr>
              <w:t>ICG Capital Requirements related to operations</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580" w:type="dxa"/>
            <w:vAlign w:val="bottom"/>
            <w:gridSpan w:val="2"/>
          </w:tcPr>
          <w:p>
            <w:pPr>
              <w:spacing w:after="0"/>
              <w:rPr>
                <w:sz w:val="20"/>
                <w:szCs w:val="20"/>
                <w:color w:val="auto"/>
              </w:rPr>
            </w:pPr>
            <w:r>
              <w:rPr>
                <w:rFonts w:ascii="Arial" w:cs="Arial" w:eastAsia="Arial" w:hAnsi="Arial"/>
                <w:sz w:val="18"/>
                <w:szCs w:val="18"/>
                <w:color w:val="auto"/>
              </w:rPr>
              <w:t>with FCG</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Regulatory Capital Requirements (B)</w:t>
            </w:r>
          </w:p>
        </w:tc>
        <w:tc>
          <w:tcPr>
            <w:tcW w:w="11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560" w:type="dxa"/>
            <w:vAlign w:val="bottom"/>
            <w:vMerge w:val="continue"/>
            <w:shd w:val="clear" w:color="auto" w:fill="CCEEFF"/>
          </w:tcPr>
          <w:p>
            <w:pPr>
              <w:spacing w:after="0"/>
              <w:rPr>
                <w:sz w:val="17"/>
                <w:szCs w:val="17"/>
                <w:color w:val="auto"/>
              </w:rPr>
            </w:pPr>
          </w:p>
        </w:tc>
        <w:tc>
          <w:tcPr>
            <w:tcW w:w="11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19,371,344</w:t>
            </w:r>
          </w:p>
        </w:tc>
        <w:tc>
          <w:tcPr>
            <w:tcW w:w="180" w:type="dxa"/>
            <w:vAlign w:val="bottom"/>
            <w:vMerge w:val="continue"/>
            <w:shd w:val="clear" w:color="auto" w:fill="CCEEFF"/>
          </w:tcPr>
          <w:p>
            <w:pPr>
              <w:spacing w:after="0"/>
              <w:rPr>
                <w:sz w:val="17"/>
                <w:szCs w:val="17"/>
                <w:color w:val="auto"/>
              </w:rPr>
            </w:pPr>
          </w:p>
        </w:tc>
        <w:tc>
          <w:tcPr>
            <w:tcW w:w="11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18,748,432</w:t>
            </w:r>
          </w:p>
        </w:tc>
        <w:tc>
          <w:tcPr>
            <w:tcW w:w="180" w:type="dxa"/>
            <w:vAlign w:val="bottom"/>
            <w:vMerge w:val="continue"/>
            <w:shd w:val="clear" w:color="auto" w:fill="CCEEFF"/>
          </w:tcPr>
          <w:p>
            <w:pPr>
              <w:spacing w:after="0"/>
              <w:rPr>
                <w:sz w:val="17"/>
                <w:szCs w:val="17"/>
                <w:color w:val="auto"/>
              </w:rPr>
            </w:pPr>
          </w:p>
        </w:tc>
        <w:tc>
          <w:tcPr>
            <w:tcW w:w="11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19,625,912</w:t>
            </w:r>
          </w:p>
        </w:tc>
        <w:tc>
          <w:tcPr>
            <w:tcW w:w="180" w:type="dxa"/>
            <w:vAlign w:val="bottom"/>
            <w:vMerge w:val="continue"/>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b w:val="1"/>
                <w:bCs w:val="1"/>
                <w:color w:val="auto"/>
              </w:rPr>
              <w:t>4.7%</w:t>
            </w: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Regulatory Capital Ratio (A) / (B)</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1.46</w:t>
            </w:r>
          </w:p>
        </w:tc>
        <w:tc>
          <w:tcPr>
            <w:tcW w:w="18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1.59</w:t>
            </w:r>
          </w:p>
        </w:tc>
        <w:tc>
          <w:tcPr>
            <w:tcW w:w="18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1.53</w:t>
            </w:r>
          </w:p>
        </w:tc>
        <w:tc>
          <w:tcPr>
            <w:tcW w:w="18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CCEEFF"/>
            </w:tcBorders>
          </w:tcPr>
          <w:p>
            <w:pPr>
              <w:spacing w:after="0"/>
              <w:rPr>
                <w:sz w:val="17"/>
                <w:szCs w:val="17"/>
                <w:color w:val="auto"/>
              </w:rPr>
            </w:pPr>
          </w:p>
        </w:tc>
        <w:tc>
          <w:tcPr>
            <w:tcW w:w="780" w:type="dxa"/>
            <w:vAlign w:val="bottom"/>
            <w:tcBorders>
              <w:top w:val="single" w:sz="8" w:color="auto"/>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60" w:type="dxa"/>
            <w:vAlign w:val="bottom"/>
            <w:shd w:val="clear" w:color="auto" w:fill="CCEEFF"/>
          </w:tcPr>
          <w:p>
            <w:pPr>
              <w:spacing w:after="0" w:line="230" w:lineRule="exact"/>
              <w:rPr>
                <w:sz w:val="20"/>
                <w:szCs w:val="20"/>
                <w:color w:val="auto"/>
              </w:rPr>
            </w:pPr>
            <w:r>
              <w:rPr>
                <w:rFonts w:ascii="Arial" w:cs="Arial" w:eastAsia="Arial" w:hAnsi="Arial"/>
                <w:sz w:val="16"/>
                <w:szCs w:val="16"/>
                <w:b w:val="1"/>
                <w:bCs w:val="1"/>
                <w:color w:val="auto"/>
              </w:rPr>
              <w:t xml:space="preserve">Required Regulatory Capital Ratio </w:t>
            </w:r>
            <w:r>
              <w:rPr>
                <w:rFonts w:ascii="Arial" w:cs="Arial" w:eastAsia="Arial" w:hAnsi="Arial"/>
                <w:sz w:val="26"/>
                <w:szCs w:val="26"/>
                <w:b w:val="1"/>
                <w:bCs w:val="1"/>
                <w:color w:val="auto"/>
                <w:vertAlign w:val="superscript"/>
              </w:rPr>
              <w:t>(10)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1.00</w:t>
            </w: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5"/>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Legal and other capital reserves include restricted capital reserves (PEN 14,745 million) and optional capital reserves (PEN 6,661 million).</w:t>
      </w:r>
    </w:p>
    <w:p>
      <w:pPr>
        <w:spacing w:after="0" w:line="14" w:lineRule="exact"/>
        <w:rPr>
          <w:rFonts w:ascii="Arial" w:cs="Arial" w:eastAsia="Arial" w:hAnsi="Arial"/>
          <w:sz w:val="18"/>
          <w:szCs w:val="18"/>
          <w:color w:val="auto"/>
        </w:rPr>
      </w:pPr>
    </w:p>
    <w:p>
      <w:pPr>
        <w:ind w:left="260" w:hanging="255"/>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Minority interest includes Tier I (PEN 429 million)</w:t>
      </w:r>
    </w:p>
    <w:p>
      <w:pPr>
        <w:spacing w:after="0" w:line="3" w:lineRule="exact"/>
        <w:rPr>
          <w:rFonts w:ascii="Arial" w:cs="Arial" w:eastAsia="Arial" w:hAnsi="Arial"/>
          <w:sz w:val="18"/>
          <w:szCs w:val="18"/>
          <w:color w:val="auto"/>
        </w:rPr>
      </w:pPr>
    </w:p>
    <w:p>
      <w:pPr>
        <w:ind w:firstLine="5"/>
        <w:spacing w:after="0" w:line="243" w:lineRule="auto"/>
        <w:tabs>
          <w:tab w:leader="none" w:pos="267" w:val="left"/>
        </w:tabs>
        <w:numPr>
          <w:ilvl w:val="0"/>
          <w:numId w:val="79"/>
        </w:numPr>
        <w:rPr>
          <w:rFonts w:ascii="Arial" w:cs="Arial" w:eastAsia="Arial" w:hAnsi="Arial"/>
          <w:sz w:val="18"/>
          <w:szCs w:val="18"/>
          <w:color w:val="auto"/>
        </w:rPr>
      </w:pPr>
      <w:r>
        <w:rPr>
          <w:rFonts w:ascii="Arial" w:cs="Arial" w:eastAsia="Arial" w:hAnsi="Arial"/>
          <w:sz w:val="18"/>
          <w:szCs w:val="18"/>
          <w:color w:val="auto"/>
        </w:rPr>
        <w:t>Up to 1.25% of total risk-weighted assets of Banco de Credito del Peru, Solucion Empresa Administradora Hipotecaria, Mibanco and Atlantic Security Bank.</w:t>
      </w:r>
    </w:p>
    <w:p>
      <w:pPr>
        <w:ind w:left="240" w:hanging="235"/>
        <w:spacing w:after="0"/>
        <w:tabs>
          <w:tab w:leader="none" w:pos="2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Tier II + Tier III cannot be more than 50% of total regulatory capital.</w:t>
      </w:r>
    </w:p>
    <w:p>
      <w:pPr>
        <w:spacing w:after="0" w:line="3" w:lineRule="exact"/>
        <w:rPr>
          <w:rFonts w:ascii="Arial" w:cs="Arial" w:eastAsia="Arial" w:hAnsi="Arial"/>
          <w:sz w:val="18"/>
          <w:szCs w:val="18"/>
          <w:color w:val="auto"/>
        </w:rPr>
      </w:pPr>
    </w:p>
    <w:p>
      <w:pPr>
        <w:ind w:firstLine="5"/>
        <w:spacing w:after="0" w:line="243" w:lineRule="auto"/>
        <w:tabs>
          <w:tab w:leader="none" w:pos="27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Tier I = capital + restricted capital reserves + Tier I minority interest - goodwill - (0.5 x investment in equity and subordinated debt of financial and insurance companies) + perpetual subordinated debt.</w:t>
      </w:r>
    </w:p>
    <w:p>
      <w:pPr>
        <w:ind w:firstLine="5"/>
        <w:spacing w:after="0" w:line="243" w:lineRule="auto"/>
        <w:tabs>
          <w:tab w:leader="none" w:pos="25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Tier II = subordinated debt + TierII minority interest tier + loan loss reserves - (0.5 x investment in equity and subordinated debt of financial and insurance companies).</w:t>
      </w:r>
    </w:p>
    <w:p>
      <w:pPr>
        <w:ind w:left="240" w:hanging="235"/>
        <w:spacing w:after="0"/>
        <w:tabs>
          <w:tab w:leader="none" w:pos="2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Tier III = Subordinated debt covering market risk only.</w:t>
      </w:r>
    </w:p>
    <w:p>
      <w:pPr>
        <w:spacing w:after="0" w:line="3" w:lineRule="exact"/>
        <w:rPr>
          <w:rFonts w:ascii="Arial" w:cs="Arial" w:eastAsia="Arial" w:hAnsi="Arial"/>
          <w:sz w:val="18"/>
          <w:szCs w:val="18"/>
          <w:color w:val="auto"/>
        </w:rPr>
      </w:pPr>
    </w:p>
    <w:p>
      <w:pPr>
        <w:ind w:left="260" w:hanging="255"/>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regulatory capital requirements of the financial consolidated group.</w:t>
      </w:r>
    </w:p>
    <w:p>
      <w:pPr>
        <w:spacing w:after="0" w:line="3" w:lineRule="exact"/>
        <w:rPr>
          <w:rFonts w:ascii="Arial" w:cs="Arial" w:eastAsia="Arial" w:hAnsi="Arial"/>
          <w:sz w:val="18"/>
          <w:szCs w:val="18"/>
          <w:color w:val="auto"/>
        </w:rPr>
      </w:pPr>
    </w:p>
    <w:p>
      <w:pPr>
        <w:ind w:left="260" w:hanging="255"/>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regulatory capital requirements of the insurance consolidated group.</w:t>
      </w:r>
    </w:p>
    <w:p>
      <w:pPr>
        <w:spacing w:after="0" w:line="3" w:lineRule="exact"/>
        <w:rPr>
          <w:rFonts w:ascii="Arial" w:cs="Arial" w:eastAsia="Arial" w:hAnsi="Arial"/>
          <w:sz w:val="18"/>
          <w:szCs w:val="18"/>
          <w:color w:val="auto"/>
        </w:rPr>
      </w:pPr>
    </w:p>
    <w:p>
      <w:pPr>
        <w:ind w:left="340" w:hanging="335"/>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Regulatory Capital / Total Regulatory Capital Requirements (legal minimum = 1.00).</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28"/>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12.2. Credicorp Stand-alone</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60" w:type="dxa"/>
            <w:vAlign w:val="bottom"/>
            <w:gridSpan w:val="9"/>
          </w:tcPr>
          <w:p>
            <w:pPr>
              <w:jc w:val="center"/>
              <w:spacing w:after="0"/>
              <w:rPr>
                <w:sz w:val="20"/>
                <w:szCs w:val="20"/>
                <w:color w:val="auto"/>
              </w:rPr>
            </w:pPr>
            <w:r>
              <w:rPr>
                <w:rFonts w:ascii="Arial" w:cs="Arial" w:eastAsia="Arial" w:hAnsi="Arial"/>
                <w:sz w:val="18"/>
                <w:szCs w:val="18"/>
                <w:b w:val="1"/>
                <w:bCs w:val="1"/>
                <w:color w:val="auto"/>
                <w:w w:val="91"/>
              </w:rPr>
              <w:t>Credicorp Ltd.</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60" w:type="dxa"/>
            <w:vAlign w:val="bottom"/>
            <w:gridSpan w:val="9"/>
          </w:tcPr>
          <w:p>
            <w:pPr>
              <w:jc w:val="center"/>
              <w:spacing w:after="0"/>
              <w:rPr>
                <w:sz w:val="20"/>
                <w:szCs w:val="20"/>
                <w:color w:val="auto"/>
              </w:rPr>
            </w:pPr>
            <w:r>
              <w:rPr>
                <w:rFonts w:ascii="Arial" w:cs="Arial" w:eastAsia="Arial" w:hAnsi="Arial"/>
                <w:sz w:val="18"/>
                <w:szCs w:val="18"/>
                <w:b w:val="1"/>
                <w:bCs w:val="1"/>
                <w:color w:val="auto"/>
                <w:w w:val="87"/>
              </w:rPr>
              <w:t>Separate Statement of Financal Position</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60" w:type="dxa"/>
            <w:vAlign w:val="bottom"/>
            <w:gridSpan w:val="9"/>
          </w:tcPr>
          <w:p>
            <w:pPr>
              <w:jc w:val="center"/>
              <w:spacing w:after="0"/>
              <w:rPr>
                <w:sz w:val="20"/>
                <w:szCs w:val="20"/>
                <w:color w:val="auto"/>
              </w:rPr>
            </w:pPr>
            <w:r>
              <w:rPr>
                <w:rFonts w:ascii="Arial" w:cs="Arial" w:eastAsia="Arial" w:hAnsi="Arial"/>
                <w:sz w:val="18"/>
                <w:szCs w:val="18"/>
                <w:b w:val="1"/>
                <w:bCs w:val="1"/>
                <w:color w:val="auto"/>
                <w:w w:val="88"/>
              </w:rPr>
              <w:t>(S/ thousands, IFRS)</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b w:val="1"/>
                <w:bCs w:val="1"/>
                <w:color w:val="auto"/>
              </w:rPr>
              <w:t>As of</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ind w:left="940"/>
              <w:spacing w:after="0"/>
              <w:rPr>
                <w:sz w:val="20"/>
                <w:szCs w:val="20"/>
                <w:color w:val="auto"/>
              </w:rPr>
            </w:pPr>
            <w:r>
              <w:rPr>
                <w:rFonts w:ascii="Arial" w:cs="Arial" w:eastAsia="Arial" w:hAnsi="Arial"/>
                <w:sz w:val="18"/>
                <w:szCs w:val="18"/>
                <w:b w:val="1"/>
                <w:bCs w:val="1"/>
                <w:color w:val="auto"/>
              </w:rPr>
              <w:t>% change</w:t>
            </w: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4"/>
          </w:tcPr>
          <w:p>
            <w:pPr>
              <w:ind w:left="360"/>
              <w:spacing w:after="0"/>
              <w:rPr>
                <w:sz w:val="20"/>
                <w:szCs w:val="20"/>
                <w:color w:val="auto"/>
              </w:rPr>
            </w:pPr>
            <w:r>
              <w:rPr>
                <w:rFonts w:ascii="Arial" w:cs="Arial" w:eastAsia="Arial" w:hAnsi="Arial"/>
                <w:sz w:val="18"/>
                <w:szCs w:val="18"/>
                <w:b w:val="1"/>
                <w:bCs w:val="1"/>
                <w:color w:val="auto"/>
              </w:rPr>
              <w:t>Sep 20</w:t>
            </w:r>
          </w:p>
        </w:tc>
        <w:tc>
          <w:tcPr>
            <w:tcW w:w="174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Jun 21</w:t>
            </w:r>
          </w:p>
        </w:tc>
        <w:tc>
          <w:tcPr>
            <w:tcW w:w="92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w w:val="92"/>
              </w:rPr>
              <w:t>Sep 21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gridSpan w:val="5"/>
          </w:tcPr>
          <w:p>
            <w:pPr>
              <w:ind w:left="380"/>
              <w:spacing w:after="0"/>
              <w:rPr>
                <w:sz w:val="20"/>
                <w:szCs w:val="20"/>
                <w:color w:val="auto"/>
              </w:rPr>
            </w:pPr>
            <w:r>
              <w:rPr>
                <w:rFonts w:ascii="Arial" w:cs="Arial" w:eastAsia="Arial" w:hAnsi="Arial"/>
                <w:sz w:val="18"/>
                <w:szCs w:val="18"/>
                <w:b w:val="1"/>
                <w:bCs w:val="1"/>
                <w:color w:val="auto"/>
              </w:rPr>
              <w:t>QoQ</w:t>
            </w:r>
          </w:p>
        </w:tc>
        <w:tc>
          <w:tcPr>
            <w:tcW w:w="860" w:type="dxa"/>
            <w:vAlign w:val="bottom"/>
          </w:tcPr>
          <w:p>
            <w:pPr>
              <w:jc w:val="right"/>
              <w:ind w:right="372"/>
              <w:spacing w:after="0"/>
              <w:rPr>
                <w:sz w:val="20"/>
                <w:szCs w:val="20"/>
                <w:color w:val="auto"/>
              </w:rPr>
            </w:pPr>
            <w:r>
              <w:rPr>
                <w:rFonts w:ascii="Arial" w:cs="Arial" w:eastAsia="Arial" w:hAnsi="Arial"/>
                <w:sz w:val="18"/>
                <w:szCs w:val="18"/>
                <w:b w:val="1"/>
                <w:bCs w:val="1"/>
                <w:color w:val="auto"/>
              </w:rPr>
              <w:t>YoY</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ASSETS</w:t>
            </w: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777,709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1,019,773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598,770</w:t>
            </w:r>
          </w:p>
        </w:tc>
        <w:tc>
          <w:tcPr>
            <w:tcW w:w="200" w:type="dxa"/>
            <w:vAlign w:val="bottom"/>
          </w:tcPr>
          <w:p>
            <w:pPr>
              <w:spacing w:after="0"/>
              <w:rPr>
                <w:sz w:val="18"/>
                <w:szCs w:val="18"/>
                <w:color w:val="auto"/>
              </w:rPr>
            </w:pPr>
          </w:p>
        </w:tc>
        <w:tc>
          <w:tcPr>
            <w:tcW w:w="1520" w:type="dxa"/>
            <w:vAlign w:val="bottom"/>
            <w:gridSpan w:val="4"/>
          </w:tcPr>
          <w:p>
            <w:pPr>
              <w:jc w:val="right"/>
              <w:ind w:right="140"/>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fair value through profit or loss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520,413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1,091,138</w:t>
            </w:r>
          </w:p>
        </w:tc>
        <w:tc>
          <w:tcPr>
            <w:tcW w:w="20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109.7%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20" w:type="dxa"/>
            <w:vAlign w:val="bottom"/>
            <w:gridSpan w:val="2"/>
          </w:tcPr>
          <w:p>
            <w:pPr>
              <w:spacing w:after="0" w:line="198" w:lineRule="exact"/>
              <w:rPr>
                <w:sz w:val="20"/>
                <w:szCs w:val="20"/>
                <w:color w:val="auto"/>
              </w:rPr>
            </w:pPr>
            <w:r>
              <w:rPr>
                <w:rFonts w:ascii="Arial" w:cs="Arial" w:eastAsia="Arial" w:hAnsi="Arial"/>
                <w:sz w:val="18"/>
                <w:szCs w:val="18"/>
                <w:color w:val="auto"/>
              </w:rPr>
              <w:t>Fair value through other comprehensive income</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40" w:type="dxa"/>
            <w:vAlign w:val="bottom"/>
            <w:gridSpan w:val="3"/>
          </w:tcPr>
          <w:p>
            <w:pPr>
              <w:spacing w:after="0"/>
              <w:rPr>
                <w:sz w:val="20"/>
                <w:szCs w:val="20"/>
                <w:color w:val="auto"/>
              </w:rPr>
            </w:pPr>
            <w:r>
              <w:rPr>
                <w:rFonts w:ascii="Arial" w:cs="Arial" w:eastAsia="Arial" w:hAnsi="Arial"/>
                <w:sz w:val="18"/>
                <w:szCs w:val="18"/>
                <w:color w:val="auto"/>
              </w:rPr>
              <w:t>investments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459,217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397,551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342,485</w:t>
            </w:r>
          </w:p>
        </w:tc>
        <w:tc>
          <w:tcPr>
            <w:tcW w:w="200" w:type="dxa"/>
            <w:vAlign w:val="bottom"/>
          </w:tcPr>
          <w:p>
            <w:pPr>
              <w:spacing w:after="0"/>
              <w:rPr>
                <w:sz w:val="19"/>
                <w:szCs w:val="19"/>
                <w:color w:val="auto"/>
              </w:rPr>
            </w:pPr>
          </w:p>
        </w:tc>
        <w:tc>
          <w:tcPr>
            <w:tcW w:w="1520" w:type="dxa"/>
            <w:vAlign w:val="bottom"/>
            <w:gridSpan w:val="4"/>
          </w:tcPr>
          <w:p>
            <w:pPr>
              <w:jc w:val="right"/>
              <w:ind w:right="140"/>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 subsidiaries and associates investments</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27,361,569</w:t>
            </w: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29,354,310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29,862,234</w:t>
            </w:r>
          </w:p>
        </w:tc>
        <w:tc>
          <w:tcPr>
            <w:tcW w:w="15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Loans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1,064,712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20" w:type="dxa"/>
            <w:vAlign w:val="bottom"/>
            <w:gridSpan w:val="4"/>
          </w:tcPr>
          <w:p>
            <w:pPr>
              <w:jc w:val="right"/>
              <w:ind w:right="14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328</w:t>
            </w:r>
          </w:p>
        </w:tc>
        <w:tc>
          <w:tcPr>
            <w:tcW w:w="15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4"/>
              </w:rPr>
              <w:t>Total Assets</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29,663,507</w:t>
            </w: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31,292,392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31,894,955</w:t>
            </w:r>
          </w:p>
        </w:tc>
        <w:tc>
          <w:tcPr>
            <w:tcW w:w="15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02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LIABILITIES AND NET SHAREHOLDERS’</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Payable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471,912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20" w:type="dxa"/>
            <w:vAlign w:val="bottom"/>
            <w:gridSpan w:val="5"/>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Bonds and notes issued</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1,795,528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1,914,141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2,066,412</w:t>
            </w:r>
          </w:p>
        </w:tc>
        <w:tc>
          <w:tcPr>
            <w:tcW w:w="200" w:type="dxa"/>
            <w:vAlign w:val="bottom"/>
          </w:tcPr>
          <w:p>
            <w:pPr>
              <w:spacing w:after="0"/>
              <w:rPr>
                <w:sz w:val="18"/>
                <w:szCs w:val="18"/>
                <w:color w:val="auto"/>
              </w:rPr>
            </w:pPr>
          </w:p>
        </w:tc>
        <w:tc>
          <w:tcPr>
            <w:tcW w:w="1520" w:type="dxa"/>
            <w:vAlign w:val="bottom"/>
            <w:gridSpan w:val="4"/>
          </w:tcPr>
          <w:p>
            <w:pPr>
              <w:jc w:val="right"/>
              <w:ind w:right="140"/>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99,861</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149,936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143,382</w:t>
            </w:r>
          </w:p>
        </w:tc>
        <w:tc>
          <w:tcPr>
            <w:tcW w:w="20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0"/>
              </w:rPr>
              <w:t>Total Liabilities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1,895,389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2,064,077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2,681,706</w:t>
            </w:r>
          </w:p>
        </w:tc>
        <w:tc>
          <w:tcPr>
            <w:tcW w:w="20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EQUITY</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Capital stock</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1,318,993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1,318,993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1,318,993</w:t>
            </w:r>
          </w:p>
        </w:tc>
        <w:tc>
          <w:tcPr>
            <w:tcW w:w="200" w:type="dxa"/>
            <w:vAlign w:val="bottom"/>
          </w:tcPr>
          <w:p>
            <w:pPr>
              <w:spacing w:after="0"/>
              <w:rPr>
                <w:sz w:val="18"/>
                <w:szCs w:val="18"/>
                <w:color w:val="auto"/>
              </w:rPr>
            </w:pPr>
          </w:p>
        </w:tc>
        <w:tc>
          <w:tcPr>
            <w:tcW w:w="1520" w:type="dxa"/>
            <w:vAlign w:val="bottom"/>
            <w:gridSpan w:val="4"/>
          </w:tcPr>
          <w:p>
            <w:pPr>
              <w:jc w:val="right"/>
              <w:ind w:right="14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Surplus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384,542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384,542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384,542</w:t>
            </w:r>
          </w:p>
        </w:tc>
        <w:tc>
          <w:tcPr>
            <w:tcW w:w="20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Reserve</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21,070,409</w:t>
            </w:r>
          </w:p>
        </w:tc>
        <w:tc>
          <w:tcPr>
            <w:tcW w:w="80" w:type="dxa"/>
            <w:vAlign w:val="bottom"/>
          </w:tcPr>
          <w:p>
            <w:pPr>
              <w:spacing w:after="0"/>
              <w:rPr>
                <w:sz w:val="18"/>
                <w:szCs w:val="18"/>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21,417,403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20,945,491</w:t>
            </w:r>
          </w:p>
        </w:tc>
        <w:tc>
          <w:tcPr>
            <w:tcW w:w="1520" w:type="dxa"/>
            <w:vAlign w:val="bottom"/>
            <w:gridSpan w:val="4"/>
          </w:tcPr>
          <w:p>
            <w:pPr>
              <w:jc w:val="right"/>
              <w:ind w:right="14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results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1,020,916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495,986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(281,545)</w:t>
            </w:r>
          </w:p>
        </w:tc>
        <w:tc>
          <w:tcPr>
            <w:tcW w:w="60" w:type="dxa"/>
            <w:vAlign w:val="bottom"/>
            <w:shd w:val="clear" w:color="auto" w:fill="CCEEFF"/>
          </w:tcPr>
          <w:p>
            <w:pPr>
              <w:spacing w:after="0"/>
              <w:rPr>
                <w:sz w:val="18"/>
                <w:szCs w:val="18"/>
                <w:color w:val="auto"/>
              </w:rPr>
            </w:pPr>
          </w:p>
        </w:tc>
        <w:tc>
          <w:tcPr>
            <w:tcW w:w="1820" w:type="dxa"/>
            <w:vAlign w:val="bottom"/>
            <w:gridSpan w:val="5"/>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3,973,258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5,611,391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6,845,768</w:t>
            </w:r>
          </w:p>
        </w:tc>
        <w:tc>
          <w:tcPr>
            <w:tcW w:w="200" w:type="dxa"/>
            <w:vAlign w:val="bottom"/>
          </w:tcPr>
          <w:p>
            <w:pPr>
              <w:spacing w:after="0"/>
              <w:rPr>
                <w:sz w:val="18"/>
                <w:szCs w:val="18"/>
                <w:color w:val="auto"/>
              </w:rPr>
            </w:pPr>
          </w:p>
        </w:tc>
        <w:tc>
          <w:tcPr>
            <w:tcW w:w="1520" w:type="dxa"/>
            <w:vAlign w:val="bottom"/>
            <w:gridSpan w:val="4"/>
          </w:tcPr>
          <w:p>
            <w:pPr>
              <w:jc w:val="right"/>
              <w:ind w:right="140"/>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Total net equity</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27,768,118</w:t>
            </w:r>
          </w:p>
        </w:tc>
        <w:tc>
          <w:tcPr>
            <w:tcW w:w="80" w:type="dxa"/>
            <w:vAlign w:val="bottom"/>
          </w:tcPr>
          <w:p>
            <w:pPr>
              <w:spacing w:after="0"/>
              <w:rPr>
                <w:sz w:val="18"/>
                <w:szCs w:val="18"/>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29,228,315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9"/>
              </w:rPr>
              <w:t>29,213,249</w:t>
            </w:r>
          </w:p>
        </w:tc>
        <w:tc>
          <w:tcPr>
            <w:tcW w:w="15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-0.1%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b w:val="1"/>
                <w:bCs w:val="1"/>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Equity</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29,663,507</w:t>
            </w:r>
          </w:p>
        </w:tc>
        <w:tc>
          <w:tcPr>
            <w:tcW w:w="80" w:type="dxa"/>
            <w:vAlign w:val="bottom"/>
          </w:tcPr>
          <w:p>
            <w:pPr>
              <w:spacing w:after="0"/>
              <w:rPr>
                <w:sz w:val="19"/>
                <w:szCs w:val="19"/>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31,292,392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9"/>
              </w:rPr>
              <w:t>31,894,955</w:t>
            </w:r>
          </w:p>
        </w:tc>
        <w:tc>
          <w:tcPr>
            <w:tcW w:w="15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1.9%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b w:val="1"/>
                <w:bCs w:val="1"/>
                <w:color w:val="auto"/>
              </w:rPr>
              <w:t>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8"/>
                <w:szCs w:val="18"/>
                <w:b w:val="1"/>
                <w:bCs w:val="1"/>
                <w:color w:val="auto"/>
              </w:rPr>
              <w:t>Quarter</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b w:val="1"/>
                <w:bCs w:val="1"/>
                <w:color w:val="auto"/>
                <w:w w:val="97"/>
              </w:rPr>
              <w:t>% change</w:t>
            </w: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4"/>
          </w:tcPr>
          <w:p>
            <w:pPr>
              <w:ind w:left="320"/>
              <w:spacing w:after="0"/>
              <w:rPr>
                <w:sz w:val="20"/>
                <w:szCs w:val="20"/>
                <w:color w:val="auto"/>
              </w:rPr>
            </w:pPr>
            <w:r>
              <w:rPr>
                <w:rFonts w:ascii="Arial" w:cs="Arial" w:eastAsia="Arial" w:hAnsi="Arial"/>
                <w:sz w:val="18"/>
                <w:szCs w:val="18"/>
                <w:b w:val="1"/>
                <w:bCs w:val="1"/>
                <w:color w:val="auto"/>
              </w:rPr>
              <w:t>3Q20</w:t>
            </w:r>
          </w:p>
        </w:tc>
        <w:tc>
          <w:tcPr>
            <w:tcW w:w="1740" w:type="dxa"/>
            <w:vAlign w:val="bottom"/>
            <w:gridSpan w:val="5"/>
          </w:tcPr>
          <w:p>
            <w:pPr>
              <w:ind w:left="320"/>
              <w:spacing w:after="0"/>
              <w:rPr>
                <w:sz w:val="20"/>
                <w:szCs w:val="20"/>
                <w:color w:val="auto"/>
              </w:rPr>
            </w:pPr>
            <w:r>
              <w:rPr>
                <w:rFonts w:ascii="Arial" w:cs="Arial" w:eastAsia="Arial" w:hAnsi="Arial"/>
                <w:sz w:val="18"/>
                <w:szCs w:val="18"/>
                <w:b w:val="1"/>
                <w:bCs w:val="1"/>
                <w:color w:val="auto"/>
              </w:rPr>
              <w:t>2Q21</w:t>
            </w:r>
          </w:p>
        </w:tc>
        <w:tc>
          <w:tcPr>
            <w:tcW w:w="900" w:type="dxa"/>
            <w:vAlign w:val="bottom"/>
          </w:tcPr>
          <w:p>
            <w:pPr>
              <w:jc w:val="right"/>
              <w:ind w:right="332"/>
              <w:spacing w:after="0"/>
              <w:rPr>
                <w:sz w:val="20"/>
                <w:szCs w:val="20"/>
                <w:color w:val="auto"/>
              </w:rPr>
            </w:pPr>
            <w:r>
              <w:rPr>
                <w:rFonts w:ascii="Arial" w:cs="Arial" w:eastAsia="Arial" w:hAnsi="Arial"/>
                <w:sz w:val="18"/>
                <w:szCs w:val="18"/>
                <w:b w:val="1"/>
                <w:bCs w:val="1"/>
                <w:color w:val="auto"/>
              </w:rPr>
              <w:t>3Q21</w:t>
            </w:r>
          </w:p>
        </w:tc>
        <w:tc>
          <w:tcPr>
            <w:tcW w:w="2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gridSpan w:val="5"/>
          </w:tcPr>
          <w:p>
            <w:pPr>
              <w:ind w:left="440"/>
              <w:spacing w:after="0"/>
              <w:rPr>
                <w:sz w:val="20"/>
                <w:szCs w:val="20"/>
                <w:color w:val="auto"/>
              </w:rPr>
            </w:pPr>
            <w:r>
              <w:rPr>
                <w:rFonts w:ascii="Arial" w:cs="Arial" w:eastAsia="Arial" w:hAnsi="Arial"/>
                <w:sz w:val="18"/>
                <w:szCs w:val="18"/>
                <w:b w:val="1"/>
                <w:bCs w:val="1"/>
                <w:color w:val="auto"/>
              </w:rPr>
              <w:t>QoQ</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YoY</w:t>
            </w:r>
          </w:p>
        </w:tc>
        <w:tc>
          <w:tcPr>
            <w:tcW w:w="1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Interest income</w:t>
            </w:r>
          </w:p>
        </w:tc>
        <w:tc>
          <w:tcPr>
            <w:tcW w:w="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rPr>
              <w:t>Net share of the income from investments in</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subsidiaries and associates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238,049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725,297</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1,256,878</w:t>
            </w:r>
          </w:p>
        </w:tc>
        <w:tc>
          <w:tcPr>
            <w:tcW w:w="200" w:type="dxa"/>
            <w:vAlign w:val="bottom"/>
            <w:shd w:val="clear" w:color="auto" w:fill="CCEEFF"/>
          </w:tcPr>
          <w:p>
            <w:pPr>
              <w:spacing w:after="0"/>
              <w:rPr>
                <w:sz w:val="19"/>
                <w:szCs w:val="19"/>
                <w:color w:val="auto"/>
              </w:rPr>
            </w:pPr>
          </w:p>
        </w:tc>
        <w:tc>
          <w:tcPr>
            <w:tcW w:w="1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73.3%</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Interest and similar income</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8,378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
              <w:spacing w:after="0"/>
              <w:rPr>
                <w:sz w:val="20"/>
                <w:szCs w:val="20"/>
                <w:color w:val="auto"/>
              </w:rPr>
            </w:pPr>
            <w:r>
              <w:rPr>
                <w:rFonts w:ascii="Arial" w:cs="Arial" w:eastAsia="Arial" w:hAnsi="Arial"/>
                <w:sz w:val="18"/>
                <w:szCs w:val="18"/>
                <w:color w:val="auto"/>
              </w:rPr>
              <w:t>7,062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13,909</w:t>
            </w:r>
          </w:p>
        </w:tc>
        <w:tc>
          <w:tcPr>
            <w:tcW w:w="200" w:type="dxa"/>
            <w:vAlign w:val="bottom"/>
          </w:tcPr>
          <w:p>
            <w:pPr>
              <w:spacing w:after="0"/>
              <w:rPr>
                <w:sz w:val="18"/>
                <w:szCs w:val="18"/>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8"/>
                <w:szCs w:val="18"/>
                <w:color w:val="auto"/>
              </w:rPr>
              <w:t>97.0%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w w:val="93"/>
              </w:rPr>
              <w:t>Net gain on financial assets at fair value through profit</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 loss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4,898</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200" w:type="dxa"/>
            <w:vAlign w:val="bottom"/>
            <w:shd w:val="clear" w:color="auto" w:fill="CCEEFF"/>
          </w:tcPr>
          <w:p>
            <w:pPr>
              <w:spacing w:after="0"/>
              <w:rPr>
                <w:sz w:val="19"/>
                <w:szCs w:val="19"/>
                <w:color w:val="auto"/>
              </w:rPr>
            </w:pPr>
          </w:p>
        </w:tc>
        <w:tc>
          <w:tcPr>
            <w:tcW w:w="1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Total income</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246,427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737,257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1,274,647</w:t>
            </w:r>
          </w:p>
        </w:tc>
        <w:tc>
          <w:tcPr>
            <w:tcW w:w="200" w:type="dxa"/>
            <w:vAlign w:val="bottom"/>
          </w:tcPr>
          <w:p>
            <w:pPr>
              <w:spacing w:after="0"/>
              <w:rPr>
                <w:sz w:val="18"/>
                <w:szCs w:val="18"/>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8"/>
                <w:szCs w:val="18"/>
                <w:color w:val="auto"/>
              </w:rPr>
              <w:t>72.9%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417.3%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Interest and similar expense</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(15,052)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(14,357)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(15,161)</w:t>
            </w:r>
          </w:p>
        </w:tc>
        <w:tc>
          <w:tcPr>
            <w:tcW w:w="1520" w:type="dxa"/>
            <w:vAlign w:val="bottom"/>
            <w:gridSpan w:val="4"/>
          </w:tcPr>
          <w:p>
            <w:pPr>
              <w:jc w:val="right"/>
              <w:ind w:right="10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and general expenses</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(4,367)</w:t>
            </w:r>
          </w:p>
        </w:tc>
        <w:tc>
          <w:tcPr>
            <w:tcW w:w="1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Total expenses</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(31,268)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(18,189)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(19,528)</w:t>
            </w:r>
          </w:p>
        </w:tc>
        <w:tc>
          <w:tcPr>
            <w:tcW w:w="1520" w:type="dxa"/>
            <w:vAlign w:val="bottom"/>
            <w:gridSpan w:val="4"/>
          </w:tcPr>
          <w:p>
            <w:pPr>
              <w:jc w:val="right"/>
              <w:ind w:right="10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215,159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719,068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1,255,119</w:t>
            </w:r>
          </w:p>
        </w:tc>
        <w:tc>
          <w:tcPr>
            <w:tcW w:w="200" w:type="dxa"/>
            <w:vAlign w:val="bottom"/>
          </w:tcPr>
          <w:p>
            <w:pPr>
              <w:spacing w:after="0"/>
              <w:rPr>
                <w:sz w:val="18"/>
                <w:szCs w:val="18"/>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8"/>
                <w:szCs w:val="18"/>
                <w:color w:val="auto"/>
              </w:rPr>
              <w:t>74.5%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483.3%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Exchange differences, net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(4,622)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(415)</w:t>
            </w:r>
          </w:p>
        </w:tc>
        <w:tc>
          <w:tcPr>
            <w:tcW w:w="1520" w:type="dxa"/>
            <w:vAlign w:val="bottom"/>
            <w:gridSpan w:val="4"/>
          </w:tcPr>
          <w:p>
            <w:pPr>
              <w:jc w:val="right"/>
              <w:ind w:right="100"/>
              <w:spacing w:after="0"/>
              <w:rPr>
                <w:sz w:val="20"/>
                <w:szCs w:val="20"/>
                <w:color w:val="auto"/>
              </w:rPr>
            </w:pPr>
            <w:r>
              <w:rPr>
                <w:rFonts w:ascii="Arial" w:cs="Arial" w:eastAsia="Arial" w:hAnsi="Arial"/>
                <w:sz w:val="18"/>
                <w:szCs w:val="18"/>
                <w:color w:val="auto"/>
              </w:rPr>
              <w:t>2666.7%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 before income tax</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210,414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719,043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1,254,698</w:t>
            </w:r>
          </w:p>
        </w:tc>
        <w:tc>
          <w:tcPr>
            <w:tcW w:w="20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74.5%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(32,986)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(19,546)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(20,079)</w:t>
            </w:r>
          </w:p>
        </w:tc>
        <w:tc>
          <w:tcPr>
            <w:tcW w:w="1520" w:type="dxa"/>
            <w:vAlign w:val="bottom"/>
            <w:gridSpan w:val="4"/>
          </w:tcPr>
          <w:p>
            <w:pPr>
              <w:jc w:val="right"/>
              <w:ind w:right="10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177,428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699,497</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1,234,619</w:t>
            </w:r>
          </w:p>
        </w:tc>
        <w:tc>
          <w:tcPr>
            <w:tcW w:w="200" w:type="dxa"/>
            <w:vAlign w:val="bottom"/>
            <w:shd w:val="clear" w:color="auto" w:fill="CCEEFF"/>
          </w:tcPr>
          <w:p>
            <w:pPr>
              <w:spacing w:after="0"/>
              <w:rPr>
                <w:sz w:val="19"/>
                <w:szCs w:val="19"/>
                <w:color w:val="auto"/>
              </w:rPr>
            </w:pPr>
          </w:p>
        </w:tc>
        <w:tc>
          <w:tcPr>
            <w:tcW w:w="1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76.5%</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595.8%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tcPr>
          <w:p>
            <w:pPr>
              <w:spacing w:after="0" w:line="203" w:lineRule="exact"/>
              <w:rPr>
                <w:sz w:val="20"/>
                <w:szCs w:val="20"/>
                <w:color w:val="auto"/>
              </w:rPr>
            </w:pPr>
            <w:r>
              <w:rPr>
                <w:rFonts w:ascii="Arial" w:cs="Arial" w:eastAsia="Arial" w:hAnsi="Arial"/>
                <w:sz w:val="18"/>
                <w:szCs w:val="18"/>
                <w:b w:val="1"/>
                <w:bCs w:val="1"/>
                <w:color w:val="auto"/>
              </w:rPr>
              <w:t>Double Leverage Ratio</w:t>
            </w:r>
          </w:p>
        </w:tc>
        <w:tc>
          <w:tcPr>
            <w:tcW w:w="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98.54%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100.43</w:t>
            </w:r>
          </w:p>
        </w:tc>
        <w:tc>
          <w:tcPr>
            <w:tcW w:w="300" w:type="dxa"/>
            <w:vAlign w:val="bottom"/>
            <w:gridSpan w:val="2"/>
          </w:tcPr>
          <w:p>
            <w:pPr>
              <w:jc w:val="right"/>
              <w:ind w:right="120"/>
              <w:spacing w:after="0" w:line="203" w:lineRule="exact"/>
              <w:rPr>
                <w:sz w:val="20"/>
                <w:szCs w:val="20"/>
                <w:color w:val="auto"/>
              </w:rPr>
            </w:pPr>
            <w:r>
              <w:rPr>
                <w:rFonts w:ascii="Arial" w:cs="Arial" w:eastAsia="Arial" w:hAnsi="Arial"/>
                <w:sz w:val="18"/>
                <w:szCs w:val="18"/>
                <w:b w:val="1"/>
                <w:bCs w:val="1"/>
                <w:color w:val="auto"/>
                <w:w w:val="99"/>
              </w:rPr>
              <w:t>%</w:t>
            </w:r>
          </w:p>
        </w:tc>
        <w:tc>
          <w:tcPr>
            <w:tcW w:w="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102.22</w:t>
            </w:r>
          </w:p>
        </w:tc>
        <w:tc>
          <w:tcPr>
            <w:tcW w:w="220" w:type="dxa"/>
            <w:vAlign w:val="bottom"/>
            <w:gridSpan w:val="2"/>
          </w:tcPr>
          <w:p>
            <w:pPr>
              <w:jc w:val="right"/>
              <w:ind w:right="60"/>
              <w:spacing w:after="0" w:line="203" w:lineRule="exact"/>
              <w:rPr>
                <w:sz w:val="20"/>
                <w:szCs w:val="20"/>
                <w:color w:val="auto"/>
              </w:rPr>
            </w:pPr>
            <w:r>
              <w:rPr>
                <w:rFonts w:ascii="Arial" w:cs="Arial" w:eastAsia="Arial" w:hAnsi="Arial"/>
                <w:sz w:val="18"/>
                <w:szCs w:val="18"/>
                <w:b w:val="1"/>
                <w:bCs w:val="1"/>
                <w:color w:val="auto"/>
                <w:w w:val="87"/>
              </w:rPr>
              <w:t>%</w:t>
            </w:r>
          </w:p>
        </w:tc>
        <w:tc>
          <w:tcPr>
            <w:tcW w:w="60" w:type="dxa"/>
            <w:vAlign w:val="bottom"/>
          </w:tcPr>
          <w:p>
            <w:pPr>
              <w:spacing w:after="0"/>
              <w:rPr>
                <w:sz w:val="17"/>
                <w:szCs w:val="17"/>
                <w:color w:val="auto"/>
              </w:rPr>
            </w:pPr>
          </w:p>
        </w:tc>
        <w:tc>
          <w:tcPr>
            <w:tcW w:w="12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179bps</w:t>
            </w:r>
          </w:p>
        </w:tc>
        <w:tc>
          <w:tcPr>
            <w:tcW w:w="260" w:type="dxa"/>
            <w:vAlign w:val="bottom"/>
            <w:gridSpan w:val="2"/>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369bps</w:t>
            </w:r>
          </w:p>
        </w:tc>
        <w:tc>
          <w:tcPr>
            <w:tcW w:w="20" w:type="dxa"/>
            <w:vAlign w:val="bottom"/>
            <w:tcBorders>
              <w:bottom w:val="single" w:sz="8" w:color="auto"/>
            </w:tcBorders>
          </w:tcPr>
          <w:p>
            <w:pPr>
              <w:spacing w:after="0"/>
              <w:rPr>
                <w:sz w:val="17"/>
                <w:szCs w:val="17"/>
                <w:color w:val="auto"/>
              </w:rPr>
            </w:pP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623"/>
        </w:trPr>
        <w:tc>
          <w:tcPr>
            <w:tcW w:w="20" w:type="dxa"/>
            <w:vAlign w:val="bottom"/>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93" w:right="339" w:bottom="1115"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12.3. BCP Consolidated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8"/>
                <w:szCs w:val="18"/>
                <w:b w:val="1"/>
                <w:bCs w:val="1"/>
                <w:color w:val="auto"/>
              </w:rPr>
              <w:t>As of</w:t>
            </w:r>
          </w:p>
        </w:tc>
        <w:tc>
          <w:tcPr>
            <w:tcW w:w="12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Borders>
              <w:bottom w:val="single" w:sz="8" w:color="auto"/>
            </w:tcBorders>
            <w:gridSpan w:val="3"/>
          </w:tcPr>
          <w:p>
            <w:pPr>
              <w:ind w:left="1000"/>
              <w:spacing w:after="0"/>
              <w:rPr>
                <w:sz w:val="20"/>
                <w:szCs w:val="20"/>
                <w:color w:val="auto"/>
              </w:rPr>
            </w:pPr>
            <w:r>
              <w:rPr>
                <w:rFonts w:ascii="Arial" w:cs="Arial" w:eastAsia="Arial" w:hAnsi="Arial"/>
                <w:sz w:val="18"/>
                <w:szCs w:val="18"/>
                <w:b w:val="1"/>
                <w:bCs w:val="1"/>
                <w:color w:val="auto"/>
                <w:w w:val="99"/>
              </w:rPr>
              <w:t>% change</w:t>
            </w:r>
          </w:p>
        </w:tc>
        <w:tc>
          <w:tcPr>
            <w:tcW w:w="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Sep 20</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Jun 21</w:t>
            </w:r>
          </w:p>
        </w:tc>
        <w:tc>
          <w:tcPr>
            <w:tcW w:w="1220" w:type="dxa"/>
            <w:vAlign w:val="bottom"/>
          </w:tcPr>
          <w:p>
            <w:pPr>
              <w:jc w:val="right"/>
              <w:ind w:right="272"/>
              <w:spacing w:after="0"/>
              <w:rPr>
                <w:sz w:val="20"/>
                <w:szCs w:val="20"/>
                <w:color w:val="auto"/>
              </w:rPr>
            </w:pPr>
            <w:r>
              <w:rPr>
                <w:rFonts w:ascii="Arial" w:cs="Arial" w:eastAsia="Arial" w:hAnsi="Arial"/>
                <w:sz w:val="18"/>
                <w:szCs w:val="18"/>
                <w:b w:val="1"/>
                <w:bCs w:val="1"/>
                <w:color w:val="auto"/>
              </w:rPr>
              <w:t>Sep 21</w:t>
            </w:r>
          </w:p>
        </w:tc>
        <w:tc>
          <w:tcPr>
            <w:tcW w:w="200" w:type="dxa"/>
            <w:vAlign w:val="bottom"/>
          </w:tcPr>
          <w:p>
            <w:pPr>
              <w:spacing w:after="0"/>
              <w:rPr>
                <w:sz w:val="18"/>
                <w:szCs w:val="18"/>
                <w:color w:val="auto"/>
              </w:rPr>
            </w:pPr>
          </w:p>
        </w:tc>
        <w:tc>
          <w:tcPr>
            <w:tcW w:w="1860" w:type="dxa"/>
            <w:vAlign w:val="bottom"/>
            <w:gridSpan w:val="3"/>
          </w:tcPr>
          <w:p>
            <w:pPr>
              <w:ind w:left="440"/>
              <w:spacing w:after="0"/>
              <w:rPr>
                <w:sz w:val="20"/>
                <w:szCs w:val="20"/>
                <w:color w:val="auto"/>
              </w:rPr>
            </w:pPr>
            <w:r>
              <w:rPr>
                <w:rFonts w:ascii="Arial" w:cs="Arial" w:eastAsia="Arial" w:hAnsi="Arial"/>
                <w:sz w:val="18"/>
                <w:szCs w:val="18"/>
                <w:b w:val="1"/>
                <w:bCs w:val="1"/>
                <w:color w:val="auto"/>
              </w:rPr>
              <w:t>QoQ</w:t>
            </w:r>
          </w:p>
        </w:tc>
        <w:tc>
          <w:tcPr>
            <w:tcW w:w="880" w:type="dxa"/>
            <w:vAlign w:val="bottom"/>
          </w:tcPr>
          <w:p>
            <w:pPr>
              <w:jc w:val="right"/>
              <w:ind w:right="372"/>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ASSETS</w:t>
            </w:r>
          </w:p>
        </w:tc>
        <w:tc>
          <w:tcPr>
            <w:tcW w:w="1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Non-interest bearing</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5,097,856</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6,919,815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6,157,037</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Interest bearing</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26,887,477</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26,482,164</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33,783,609</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27.6%</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 cash and due from banks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31,985,333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33,401,979</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39,940,646</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19.6%</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02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89"/>
              </w:rPr>
              <w:t>Cash collateral, reverse repurchase agreements and</w:t>
            </w: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securities borrowing</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1,767,692</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544,937</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1,027,761</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88.6%</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through profit or loss investments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1,874,577</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2,118,559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1,406,424</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-33.6%</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20" w:type="dxa"/>
            <w:vAlign w:val="bottom"/>
          </w:tcPr>
          <w:p>
            <w:pPr>
              <w:spacing w:after="0" w:line="192" w:lineRule="exact"/>
              <w:rPr>
                <w:sz w:val="20"/>
                <w:szCs w:val="20"/>
                <w:color w:val="auto"/>
              </w:rPr>
            </w:pPr>
            <w:r>
              <w:rPr>
                <w:rFonts w:ascii="Arial" w:cs="Arial" w:eastAsia="Arial" w:hAnsi="Arial"/>
                <w:sz w:val="18"/>
                <w:szCs w:val="18"/>
                <w:b w:val="1"/>
                <w:bCs w:val="1"/>
                <w:color w:val="auto"/>
                <w:w w:val="97"/>
              </w:rPr>
              <w:t>Fair value through other comprehensive income</w:t>
            </w: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investments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27,515,047</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25,735,158</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18,191,125</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-29.3%</w:t>
            </w:r>
          </w:p>
        </w:tc>
        <w:tc>
          <w:tcPr>
            <w:tcW w:w="3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-33.9%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Amortized cost investments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4,251,291</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7,366,267</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7,597,755</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3.1%</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124,515,950</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130,864,182</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133,369,027</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Current</w:t>
            </w:r>
          </w:p>
        </w:tc>
        <w:tc>
          <w:tcPr>
            <w:tcW w:w="1220" w:type="dxa"/>
            <w:vAlign w:val="bottom"/>
          </w:tcPr>
          <w:p>
            <w:pPr>
              <w:jc w:val="right"/>
              <w:spacing w:after="0"/>
              <w:rPr>
                <w:sz w:val="20"/>
                <w:szCs w:val="20"/>
                <w:color w:val="auto"/>
              </w:rPr>
            </w:pPr>
            <w:r>
              <w:rPr>
                <w:rFonts w:ascii="Arial" w:cs="Arial" w:eastAsia="Arial" w:hAnsi="Arial"/>
                <w:sz w:val="18"/>
                <w:szCs w:val="18"/>
                <w:color w:val="auto"/>
              </w:rPr>
              <w:t>120,522,261</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126,045,797</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128,090,680</w:t>
            </w:r>
          </w:p>
        </w:tc>
        <w:tc>
          <w:tcPr>
            <w:tcW w:w="2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Internal overdue loans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3,993,689</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4,818,385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5,278,347</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Less - allowance for loan losses</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(9,078,981)</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(8,797,871)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(8,474,947)</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 net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115,436,969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122,066,311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124,894,080</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4020" w:type="dxa"/>
            <w:vAlign w:val="bottom"/>
            <w:shd w:val="clear" w:color="auto" w:fill="CCEEFF"/>
          </w:tcPr>
          <w:p>
            <w:pPr>
              <w:spacing w:after="0" w:line="249" w:lineRule="exact"/>
              <w:rPr>
                <w:sz w:val="20"/>
                <w:szCs w:val="20"/>
                <w:color w:val="auto"/>
              </w:rPr>
            </w:pPr>
            <w:r>
              <w:rPr>
                <w:rFonts w:ascii="Arial" w:cs="Arial" w:eastAsia="Arial" w:hAnsi="Arial"/>
                <w:sz w:val="17"/>
                <w:szCs w:val="17"/>
                <w:b w:val="1"/>
                <w:bCs w:val="1"/>
                <w:color w:val="auto"/>
              </w:rPr>
              <w:t xml:space="preserve">Property, furniture and equipment, net </w:t>
            </w:r>
            <w:r>
              <w:rPr>
                <w:rFonts w:ascii="Arial" w:cs="Arial" w:eastAsia="Arial" w:hAnsi="Arial"/>
                <w:sz w:val="28"/>
                <w:szCs w:val="28"/>
                <w:b w:val="1"/>
                <w:bCs w:val="1"/>
                <w:color w:val="auto"/>
                <w:vertAlign w:val="superscript"/>
              </w:rPr>
              <w:t>(1)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1,803,139</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1,681,651</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1,634,143</w:t>
            </w:r>
          </w:p>
        </w:tc>
        <w:tc>
          <w:tcPr>
            <w:tcW w:w="2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w:t>
            </w:r>
          </w:p>
        </w:tc>
        <w:tc>
          <w:tcPr>
            <w:tcW w:w="3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256,238</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558,934</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776,863</w:t>
            </w:r>
          </w:p>
        </w:tc>
        <w:tc>
          <w:tcPr>
            <w:tcW w:w="2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39.0%</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203.2%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20" w:type="dxa"/>
            <w:vAlign w:val="bottom"/>
            <w:shd w:val="clear" w:color="auto" w:fill="CCEEFF"/>
          </w:tcPr>
          <w:p>
            <w:pPr>
              <w:spacing w:after="0" w:line="249" w:lineRule="exact"/>
              <w:rPr>
                <w:sz w:val="20"/>
                <w:szCs w:val="20"/>
                <w:color w:val="auto"/>
              </w:rPr>
            </w:pPr>
            <w:r>
              <w:rPr>
                <w:rFonts w:ascii="Arial" w:cs="Arial" w:eastAsia="Arial" w:hAnsi="Arial"/>
                <w:sz w:val="17"/>
                <w:szCs w:val="17"/>
                <w:b w:val="1"/>
                <w:bCs w:val="1"/>
                <w:color w:val="auto"/>
              </w:rPr>
              <w:t xml:space="preserve">Other assets </w:t>
            </w:r>
            <w:r>
              <w:rPr>
                <w:rFonts w:ascii="Arial" w:cs="Arial" w:eastAsia="Arial" w:hAnsi="Arial"/>
                <w:sz w:val="28"/>
                <w:szCs w:val="28"/>
                <w:b w:val="1"/>
                <w:bCs w:val="1"/>
                <w:color w:val="auto"/>
                <w:vertAlign w:val="superscript"/>
              </w:rPr>
              <w:t>(2)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6,522,817</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6,772,279</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7,497,739</w:t>
            </w:r>
          </w:p>
        </w:tc>
        <w:tc>
          <w:tcPr>
            <w:tcW w:w="2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10.7%</w:t>
            </w:r>
          </w:p>
        </w:tc>
        <w:tc>
          <w:tcPr>
            <w:tcW w:w="3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jc w:val="center"/>
              <w:ind w:right="33"/>
              <w:spacing w:after="0"/>
              <w:rPr>
                <w:sz w:val="20"/>
                <w:szCs w:val="20"/>
                <w:color w:val="auto"/>
              </w:rPr>
            </w:pPr>
            <w:r>
              <w:rPr>
                <w:rFonts w:ascii="Arial" w:cs="Arial" w:eastAsia="Arial" w:hAnsi="Arial"/>
                <w:sz w:val="18"/>
                <w:szCs w:val="18"/>
                <w:b w:val="1"/>
                <w:bCs w:val="1"/>
                <w:color w:val="auto"/>
                <w:w w:val="84"/>
              </w:rPr>
              <w:t>Total Assets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191,413,103</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200,246,075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202,966,536</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20" w:type="dxa"/>
            <w:vAlign w:val="bottom"/>
            <w:shd w:val="clear" w:color="auto" w:fill="CCEEFF"/>
          </w:tcPr>
          <w:p>
            <w:pPr>
              <w:ind w:left="240"/>
              <w:spacing w:after="0" w:line="249" w:lineRule="exact"/>
              <w:rPr>
                <w:sz w:val="20"/>
                <w:szCs w:val="20"/>
                <w:color w:val="auto"/>
              </w:rPr>
            </w:pPr>
            <w:r>
              <w:rPr>
                <w:rFonts w:ascii="Arial" w:cs="Arial" w:eastAsia="Arial" w:hAnsi="Arial"/>
                <w:sz w:val="17"/>
                <w:szCs w:val="17"/>
                <w:color w:val="auto"/>
              </w:rPr>
              <w:t xml:space="preserve">Non-interest bearing </w:t>
            </w:r>
            <w:r>
              <w:rPr>
                <w:rFonts w:ascii="Arial" w:cs="Arial" w:eastAsia="Arial" w:hAnsi="Arial"/>
                <w:sz w:val="28"/>
                <w:szCs w:val="28"/>
                <w:color w:val="auto"/>
                <w:vertAlign w:val="superscript"/>
              </w:rPr>
              <w:t>(1)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49,111,613</w:t>
            </w:r>
          </w:p>
        </w:tc>
        <w:tc>
          <w:tcPr>
            <w:tcW w:w="2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45,881,848</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47,262,689</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20" w:type="dxa"/>
            <w:vAlign w:val="bottom"/>
          </w:tcPr>
          <w:p>
            <w:pPr>
              <w:ind w:left="240"/>
              <w:spacing w:after="0" w:line="249" w:lineRule="exact"/>
              <w:rPr>
                <w:sz w:val="20"/>
                <w:szCs w:val="20"/>
                <w:color w:val="auto"/>
              </w:rPr>
            </w:pPr>
            <w:r>
              <w:rPr>
                <w:rFonts w:ascii="Arial" w:cs="Arial" w:eastAsia="Arial" w:hAnsi="Arial"/>
                <w:sz w:val="17"/>
                <w:szCs w:val="17"/>
                <w:color w:val="auto"/>
              </w:rPr>
              <w:t xml:space="preserve">Interest bearing </w:t>
            </w:r>
            <w:r>
              <w:rPr>
                <w:rFonts w:ascii="Arial" w:cs="Arial" w:eastAsia="Arial" w:hAnsi="Arial"/>
                <w:sz w:val="28"/>
                <w:szCs w:val="28"/>
                <w:color w:val="auto"/>
                <w:vertAlign w:val="superscript"/>
              </w:rPr>
              <w:t>(1)</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73,488,701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86,547,213</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86,404,649</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 deposits and obligations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122,600,314</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132,429,061</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133,667,338</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02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87"/>
              </w:rPr>
              <w:t>Payables from repurchase agreements and securities</w:t>
            </w: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lending</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25,869,675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23,879,115</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21,308,690</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BCRP instruments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25,344,725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23,329,990</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20,746,109</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Repurchase agreements with third parties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524,950</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549,125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562,581</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6,410,499</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5,636,702</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6,973,909</w:t>
            </w:r>
          </w:p>
        </w:tc>
        <w:tc>
          <w:tcPr>
            <w:tcW w:w="2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23.7%</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Bonds and notes issued</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14,081,882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14,368,316</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14,838,736</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Banker’s acceptances outstanding</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256,238</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558,934</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776,863</w:t>
            </w:r>
          </w:p>
        </w:tc>
        <w:tc>
          <w:tcPr>
            <w:tcW w:w="2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39.0%</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203.2%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2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7"/>
              </w:rPr>
              <w:t>Financial liabilities at fair value through profit or</w:t>
            </w: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116,523</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84,071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484,531</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476.3%</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315.8%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20" w:type="dxa"/>
            <w:vAlign w:val="bottom"/>
          </w:tcPr>
          <w:p>
            <w:pPr>
              <w:spacing w:after="0" w:line="249" w:lineRule="exact"/>
              <w:rPr>
                <w:sz w:val="20"/>
                <w:szCs w:val="20"/>
                <w:color w:val="auto"/>
              </w:rPr>
            </w:pPr>
            <w:r>
              <w:rPr>
                <w:rFonts w:ascii="Arial" w:cs="Arial" w:eastAsia="Arial" w:hAnsi="Arial"/>
                <w:sz w:val="17"/>
                <w:szCs w:val="17"/>
                <w:b w:val="1"/>
                <w:bCs w:val="1"/>
                <w:color w:val="auto"/>
              </w:rPr>
              <w:t xml:space="preserve">Other liabilities </w:t>
            </w:r>
            <w:r>
              <w:rPr>
                <w:rFonts w:ascii="Arial" w:cs="Arial" w:eastAsia="Arial" w:hAnsi="Arial"/>
                <w:sz w:val="28"/>
                <w:szCs w:val="28"/>
                <w:b w:val="1"/>
                <w:bCs w:val="1"/>
                <w:color w:val="auto"/>
                <w:vertAlign w:val="superscript"/>
              </w:rPr>
              <w:t>(3)</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4,743,779</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4,261,450</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5,287,243</w:t>
            </w:r>
          </w:p>
        </w:tc>
        <w:tc>
          <w:tcPr>
            <w:tcW w:w="200" w:type="dxa"/>
            <w:vAlign w:val="bottom"/>
          </w:tcPr>
          <w:p>
            <w:pPr>
              <w:spacing w:after="0"/>
              <w:rPr>
                <w:sz w:val="21"/>
                <w:szCs w:val="21"/>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24.1%</w:t>
            </w:r>
          </w:p>
        </w:tc>
        <w:tc>
          <w:tcPr>
            <w:tcW w:w="3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jc w:val="center"/>
              <w:ind w:right="33"/>
              <w:spacing w:after="0"/>
              <w:rPr>
                <w:sz w:val="20"/>
                <w:szCs w:val="20"/>
                <w:color w:val="auto"/>
              </w:rPr>
            </w:pPr>
            <w:r>
              <w:rPr>
                <w:rFonts w:ascii="Arial" w:cs="Arial" w:eastAsia="Arial" w:hAnsi="Arial"/>
                <w:sz w:val="18"/>
                <w:szCs w:val="18"/>
                <w:b w:val="1"/>
                <w:bCs w:val="1"/>
                <w:color w:val="auto"/>
                <w:w w:val="90"/>
              </w:rPr>
              <w:t>Total Liabilities</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174,078,910</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181,217,649</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183,337,310</w:t>
            </w:r>
          </w:p>
        </w:tc>
        <w:tc>
          <w:tcPr>
            <w:tcW w:w="2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Net equity</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17,238,525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18,908,512</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19,505,851</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3.2%</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stock</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10,774,006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11,024,006</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11,024,006</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Reserves</w:t>
            </w:r>
          </w:p>
        </w:tc>
        <w:tc>
          <w:tcPr>
            <w:tcW w:w="1220" w:type="dxa"/>
            <w:vAlign w:val="bottom"/>
          </w:tcPr>
          <w:p>
            <w:pPr>
              <w:jc w:val="right"/>
              <w:spacing w:after="0"/>
              <w:rPr>
                <w:sz w:val="20"/>
                <w:szCs w:val="20"/>
                <w:color w:val="auto"/>
              </w:rPr>
            </w:pPr>
            <w:r>
              <w:rPr>
                <w:rFonts w:ascii="Arial" w:cs="Arial" w:eastAsia="Arial" w:hAnsi="Arial"/>
                <w:sz w:val="18"/>
                <w:szCs w:val="18"/>
                <w:color w:val="auto"/>
              </w:rPr>
              <w:t>5,945,313</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6,488,969</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6,488,969</w:t>
            </w:r>
          </w:p>
        </w:tc>
        <w:tc>
          <w:tcPr>
            <w:tcW w:w="2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gains and losses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330,977</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(123,542)</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(583,178)</w:t>
            </w:r>
          </w:p>
        </w:tc>
        <w:tc>
          <w:tcPr>
            <w:tcW w:w="186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Retained earnings</w:t>
            </w:r>
          </w:p>
        </w:tc>
        <w:tc>
          <w:tcPr>
            <w:tcW w:w="1220" w:type="dxa"/>
            <w:vAlign w:val="bottom"/>
          </w:tcPr>
          <w:p>
            <w:pPr>
              <w:jc w:val="right"/>
              <w:spacing w:after="0"/>
              <w:rPr>
                <w:sz w:val="20"/>
                <w:szCs w:val="20"/>
                <w:color w:val="auto"/>
              </w:rPr>
            </w:pPr>
            <w:r>
              <w:rPr>
                <w:rFonts w:ascii="Arial" w:cs="Arial" w:eastAsia="Arial" w:hAnsi="Arial"/>
                <w:sz w:val="18"/>
                <w:szCs w:val="18"/>
                <w:color w:val="auto"/>
              </w:rPr>
              <w:t>188,229</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1,519,079</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2,576,054</w:t>
            </w:r>
          </w:p>
        </w:tc>
        <w:tc>
          <w:tcPr>
            <w:tcW w:w="2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69.6%</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1268.6%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95,668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119,914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123,375</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jc w:val="center"/>
              <w:ind w:right="53"/>
              <w:spacing w:after="0"/>
              <w:rPr>
                <w:sz w:val="20"/>
                <w:szCs w:val="20"/>
                <w:color w:val="auto"/>
              </w:rPr>
            </w:pPr>
            <w:r>
              <w:rPr>
                <w:rFonts w:ascii="Arial" w:cs="Arial" w:eastAsia="Arial" w:hAnsi="Arial"/>
                <w:sz w:val="18"/>
                <w:szCs w:val="18"/>
                <w:b w:val="1"/>
                <w:bCs w:val="1"/>
                <w:color w:val="auto"/>
                <w:w w:val="90"/>
              </w:rPr>
              <w:t>Total Net Equity</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17,334,193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19,028,426</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19,629,226</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191,413,103</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200,246,075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202,966,536</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Off-balance sheet</w:t>
            </w:r>
          </w:p>
        </w:tc>
        <w:tc>
          <w:tcPr>
            <w:tcW w:w="1220" w:type="dxa"/>
            <w:vAlign w:val="bottom"/>
          </w:tcPr>
          <w:p>
            <w:pPr>
              <w:jc w:val="right"/>
              <w:spacing w:after="0"/>
              <w:rPr>
                <w:sz w:val="20"/>
                <w:szCs w:val="20"/>
                <w:color w:val="auto"/>
              </w:rPr>
            </w:pPr>
            <w:r>
              <w:rPr>
                <w:rFonts w:ascii="Arial" w:cs="Arial" w:eastAsia="Arial" w:hAnsi="Arial"/>
                <w:sz w:val="18"/>
                <w:szCs w:val="18"/>
                <w:color w:val="auto"/>
              </w:rPr>
              <w:t>114,983,316</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131,540,506</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139,250,038</w:t>
            </w:r>
          </w:p>
        </w:tc>
        <w:tc>
          <w:tcPr>
            <w:tcW w:w="2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performance bonds, stand-by and L/Cs.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16,977,684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21,228,772</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20,761,917</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Undrawn credit lines, advised but not committed</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68,867,418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75,964,511</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80,631,043</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 (notional) and others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29,138,214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34,347,223</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37,857,078</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hanging="255"/>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Right of use asset of lease contracts is included by application of IFRS 16.</w:t>
      </w:r>
    </w:p>
    <w:p>
      <w:pPr>
        <w:spacing w:after="0" w:line="14" w:lineRule="exact"/>
        <w:rPr>
          <w:rFonts w:ascii="Arial" w:cs="Arial" w:eastAsia="Arial" w:hAnsi="Arial"/>
          <w:sz w:val="18"/>
          <w:szCs w:val="18"/>
          <w:color w:val="auto"/>
        </w:rPr>
      </w:pPr>
    </w:p>
    <w:p>
      <w:pPr>
        <w:ind w:left="260" w:hanging="255"/>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Mainly includes intangible assets, other receivable accounts and tax credit.</w:t>
      </w:r>
    </w:p>
    <w:p>
      <w:pPr>
        <w:spacing w:after="0" w:line="3" w:lineRule="exact"/>
        <w:rPr>
          <w:rFonts w:ascii="Arial" w:cs="Arial" w:eastAsia="Arial" w:hAnsi="Arial"/>
          <w:sz w:val="18"/>
          <w:szCs w:val="18"/>
          <w:color w:val="auto"/>
        </w:rPr>
      </w:pPr>
    </w:p>
    <w:p>
      <w:pPr>
        <w:ind w:left="260" w:hanging="255"/>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Mainly includes other payable accounts.</w:t>
      </w:r>
    </w:p>
    <w:p>
      <w:pPr>
        <w:spacing w:after="0" w:line="3" w:lineRule="exact"/>
        <w:rPr>
          <w:rFonts w:ascii="Arial" w:cs="Arial" w:eastAsia="Arial" w:hAnsi="Arial"/>
          <w:sz w:val="18"/>
          <w:szCs w:val="18"/>
          <w:color w:val="auto"/>
        </w:rPr>
      </w:pPr>
    </w:p>
    <w:p>
      <w:pPr>
        <w:ind w:left="260" w:hanging="255"/>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Figures differ from those presented in fiscal year 2020.</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331" w:right="339" w:bottom="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ind w:left="680"/>
              <w:spacing w:after="0"/>
              <w:rPr>
                <w:sz w:val="20"/>
                <w:szCs w:val="20"/>
                <w:color w:val="auto"/>
              </w:rPr>
            </w:pPr>
            <w:r>
              <w:rPr>
                <w:rFonts w:ascii="Arial" w:cs="Arial" w:eastAsia="Arial" w:hAnsi="Arial"/>
                <w:sz w:val="14"/>
                <w:szCs w:val="14"/>
                <w:b w:val="1"/>
                <w:bCs w:val="1"/>
                <w:color w:val="auto"/>
                <w:w w:val="97"/>
              </w:rPr>
              <w:t>% change</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ind w:left="840"/>
              <w:spacing w:after="0"/>
              <w:rPr>
                <w:sz w:val="20"/>
                <w:szCs w:val="20"/>
                <w:color w:val="auto"/>
              </w:rPr>
            </w:pPr>
            <w:r>
              <w:rPr>
                <w:rFonts w:ascii="Arial" w:cs="Arial" w:eastAsia="Arial" w:hAnsi="Arial"/>
                <w:sz w:val="14"/>
                <w:szCs w:val="14"/>
                <w:b w:val="1"/>
                <w:bCs w:val="1"/>
                <w:color w:val="auto"/>
              </w:rPr>
              <w:t>YTD</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100" w:type="dxa"/>
            <w:vAlign w:val="bottom"/>
            <w:tcBorders>
              <w:top w:val="single" w:sz="8" w:color="auto"/>
            </w:tcBorders>
            <w:gridSpan w:val="2"/>
          </w:tcPr>
          <w:p>
            <w:pPr>
              <w:jc w:val="right"/>
              <w:ind w:right="500"/>
              <w:spacing w:after="0" w:line="151" w:lineRule="exact"/>
              <w:rPr>
                <w:sz w:val="20"/>
                <w:szCs w:val="20"/>
                <w:color w:val="auto"/>
              </w:rPr>
            </w:pPr>
            <w:r>
              <w:rPr>
                <w:rFonts w:ascii="Arial" w:cs="Arial" w:eastAsia="Arial" w:hAnsi="Arial"/>
                <w:sz w:val="14"/>
                <w:szCs w:val="14"/>
                <w:b w:val="1"/>
                <w:bCs w:val="1"/>
                <w:color w:val="auto"/>
              </w:rPr>
              <w:t>3Q20</w:t>
            </w:r>
          </w:p>
        </w:tc>
        <w:tc>
          <w:tcPr>
            <w:tcW w:w="1080" w:type="dxa"/>
            <w:vAlign w:val="bottom"/>
            <w:tcBorders>
              <w:top w:val="single" w:sz="8" w:color="auto"/>
            </w:tcBorders>
            <w:gridSpan w:val="2"/>
          </w:tcPr>
          <w:p>
            <w:pPr>
              <w:jc w:val="right"/>
              <w:ind w:right="480"/>
              <w:spacing w:after="0" w:line="151" w:lineRule="exact"/>
              <w:rPr>
                <w:sz w:val="20"/>
                <w:szCs w:val="20"/>
                <w:color w:val="auto"/>
              </w:rPr>
            </w:pPr>
            <w:r>
              <w:rPr>
                <w:rFonts w:ascii="Arial" w:cs="Arial" w:eastAsia="Arial" w:hAnsi="Arial"/>
                <w:sz w:val="14"/>
                <w:szCs w:val="14"/>
                <w:b w:val="1"/>
                <w:bCs w:val="1"/>
                <w:color w:val="auto"/>
              </w:rPr>
              <w:t>2Q21</w:t>
            </w:r>
          </w:p>
        </w:tc>
        <w:tc>
          <w:tcPr>
            <w:tcW w:w="880" w:type="dxa"/>
            <w:vAlign w:val="bottom"/>
            <w:tcBorders>
              <w:top w:val="single" w:sz="8" w:color="auto"/>
            </w:tcBorders>
          </w:tcPr>
          <w:p>
            <w:pPr>
              <w:jc w:val="right"/>
              <w:ind w:right="210"/>
              <w:spacing w:after="0" w:line="151" w:lineRule="exact"/>
              <w:rPr>
                <w:sz w:val="20"/>
                <w:szCs w:val="20"/>
                <w:color w:val="auto"/>
              </w:rPr>
            </w:pPr>
            <w:r>
              <w:rPr>
                <w:rFonts w:ascii="Arial" w:cs="Arial" w:eastAsia="Arial" w:hAnsi="Arial"/>
                <w:sz w:val="14"/>
                <w:szCs w:val="14"/>
                <w:b w:val="1"/>
                <w:bCs w:val="1"/>
                <w:color w:val="auto"/>
              </w:rPr>
              <w:t>3Q21</w:t>
            </w:r>
          </w:p>
        </w:tc>
        <w:tc>
          <w:tcPr>
            <w:tcW w:w="220" w:type="dxa"/>
            <w:vAlign w:val="bottom"/>
          </w:tcPr>
          <w:p>
            <w:pPr>
              <w:spacing w:after="0"/>
              <w:rPr>
                <w:sz w:val="13"/>
                <w:szCs w:val="13"/>
                <w:color w:val="auto"/>
              </w:rPr>
            </w:pPr>
          </w:p>
        </w:tc>
        <w:tc>
          <w:tcPr>
            <w:tcW w:w="1340" w:type="dxa"/>
            <w:vAlign w:val="bottom"/>
            <w:tcBorders>
              <w:top w:val="single" w:sz="8" w:color="auto"/>
            </w:tcBorders>
            <w:gridSpan w:val="3"/>
          </w:tcPr>
          <w:p>
            <w:pPr>
              <w:ind w:left="280"/>
              <w:spacing w:after="0" w:line="151" w:lineRule="exact"/>
              <w:rPr>
                <w:sz w:val="20"/>
                <w:szCs w:val="20"/>
                <w:color w:val="auto"/>
              </w:rPr>
            </w:pPr>
            <w:r>
              <w:rPr>
                <w:rFonts w:ascii="Arial" w:cs="Arial" w:eastAsia="Arial" w:hAnsi="Arial"/>
                <w:sz w:val="14"/>
                <w:szCs w:val="14"/>
                <w:b w:val="1"/>
                <w:bCs w:val="1"/>
                <w:color w:val="auto"/>
              </w:rPr>
              <w:t>QoQ</w:t>
            </w:r>
          </w:p>
        </w:tc>
        <w:tc>
          <w:tcPr>
            <w:tcW w:w="640" w:type="dxa"/>
            <w:vAlign w:val="bottom"/>
            <w:tcBorders>
              <w:top w:val="single" w:sz="8" w:color="auto"/>
            </w:tcBorders>
          </w:tcPr>
          <w:p>
            <w:pPr>
              <w:jc w:val="right"/>
              <w:ind w:right="250"/>
              <w:spacing w:after="0" w:line="151" w:lineRule="exact"/>
              <w:rPr>
                <w:sz w:val="20"/>
                <w:szCs w:val="20"/>
                <w:color w:val="auto"/>
              </w:rPr>
            </w:pPr>
            <w:r>
              <w:rPr>
                <w:rFonts w:ascii="Arial" w:cs="Arial" w:eastAsia="Arial" w:hAnsi="Arial"/>
                <w:sz w:val="14"/>
                <w:szCs w:val="14"/>
                <w:b w:val="1"/>
                <w:bCs w:val="1"/>
                <w:color w:val="auto"/>
              </w:rPr>
              <w:t>YoY</w:t>
            </w:r>
          </w:p>
        </w:tc>
        <w:tc>
          <w:tcPr>
            <w:tcW w:w="240" w:type="dxa"/>
            <w:vAlign w:val="bottom"/>
          </w:tcPr>
          <w:p>
            <w:pPr>
              <w:spacing w:after="0"/>
              <w:rPr>
                <w:sz w:val="13"/>
                <w:szCs w:val="13"/>
                <w:color w:val="auto"/>
              </w:rPr>
            </w:pPr>
          </w:p>
        </w:tc>
        <w:tc>
          <w:tcPr>
            <w:tcW w:w="1240" w:type="dxa"/>
            <w:vAlign w:val="bottom"/>
            <w:tcBorders>
              <w:top w:val="single" w:sz="8" w:color="auto"/>
            </w:tcBorders>
            <w:gridSpan w:val="3"/>
          </w:tcPr>
          <w:p>
            <w:pPr>
              <w:ind w:left="240"/>
              <w:spacing w:after="0" w:line="151" w:lineRule="exact"/>
              <w:rPr>
                <w:sz w:val="20"/>
                <w:szCs w:val="20"/>
                <w:color w:val="auto"/>
              </w:rPr>
            </w:pPr>
            <w:r>
              <w:rPr>
                <w:rFonts w:ascii="Arial" w:cs="Arial" w:eastAsia="Arial" w:hAnsi="Arial"/>
                <w:sz w:val="14"/>
                <w:szCs w:val="14"/>
                <w:b w:val="1"/>
                <w:bCs w:val="1"/>
                <w:color w:val="auto"/>
              </w:rPr>
              <w:t>Sep 20</w:t>
            </w:r>
          </w:p>
        </w:tc>
        <w:tc>
          <w:tcPr>
            <w:tcW w:w="740" w:type="dxa"/>
            <w:vAlign w:val="bottom"/>
            <w:tcBorders>
              <w:top w:val="single" w:sz="8" w:color="auto"/>
            </w:tcBorders>
          </w:tcPr>
          <w:p>
            <w:pPr>
              <w:jc w:val="right"/>
              <w:ind w:right="190"/>
              <w:spacing w:after="0" w:line="151" w:lineRule="exact"/>
              <w:rPr>
                <w:sz w:val="20"/>
                <w:szCs w:val="20"/>
                <w:color w:val="auto"/>
              </w:rPr>
            </w:pPr>
            <w:r>
              <w:rPr>
                <w:rFonts w:ascii="Arial" w:cs="Arial" w:eastAsia="Arial" w:hAnsi="Arial"/>
                <w:sz w:val="14"/>
                <w:szCs w:val="14"/>
                <w:b w:val="1"/>
                <w:bCs w:val="1"/>
                <w:color w:val="auto"/>
              </w:rPr>
              <w:t>Sep 21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3"/>
              </w:rPr>
              <w:t>9M-2021 / 9M-2020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Interest income and expense</w:t>
            </w:r>
          </w:p>
        </w:tc>
        <w:tc>
          <w:tcPr>
            <w:tcW w:w="8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tcPr>
          <w:p>
            <w:pPr>
              <w:ind w:left="240"/>
              <w:spacing w:after="0" w:line="145" w:lineRule="exact"/>
              <w:rPr>
                <w:sz w:val="20"/>
                <w:szCs w:val="20"/>
                <w:color w:val="auto"/>
              </w:rPr>
            </w:pPr>
            <w:r>
              <w:rPr>
                <w:rFonts w:ascii="Arial" w:cs="Arial" w:eastAsia="Arial" w:hAnsi="Arial"/>
                <w:sz w:val="14"/>
                <w:szCs w:val="14"/>
                <w:color w:val="auto"/>
              </w:rPr>
              <w:t>Interest and dividend income</w:t>
            </w:r>
          </w:p>
        </w:tc>
        <w:tc>
          <w:tcPr>
            <w:tcW w:w="110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2,553,354</w:t>
            </w:r>
          </w:p>
        </w:tc>
        <w:tc>
          <w:tcPr>
            <w:tcW w:w="10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2,446,731</w:t>
            </w:r>
          </w:p>
        </w:tc>
        <w:tc>
          <w:tcPr>
            <w:tcW w:w="110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2,542,011</w:t>
            </w:r>
          </w:p>
        </w:tc>
        <w:tc>
          <w:tcPr>
            <w:tcW w:w="110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3.9%</w:t>
            </w:r>
          </w:p>
        </w:tc>
        <w:tc>
          <w:tcPr>
            <w:tcW w:w="240" w:type="dxa"/>
            <w:vAlign w:val="bottom"/>
          </w:tcPr>
          <w:p>
            <w:pPr>
              <w:spacing w:after="0"/>
              <w:rPr>
                <w:sz w:val="12"/>
                <w:szCs w:val="12"/>
                <w:color w:val="auto"/>
              </w:rPr>
            </w:pPr>
          </w:p>
        </w:tc>
        <w:tc>
          <w:tcPr>
            <w:tcW w:w="88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-0.4%</w:t>
            </w:r>
          </w:p>
        </w:tc>
        <w:tc>
          <w:tcPr>
            <w:tcW w:w="110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7,642,396</w:t>
            </w:r>
          </w:p>
        </w:tc>
        <w:tc>
          <w:tcPr>
            <w:tcW w:w="14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7,396,739</w:t>
            </w:r>
          </w:p>
        </w:tc>
        <w:tc>
          <w:tcPr>
            <w:tcW w:w="120" w:type="dxa"/>
            <w:vAlign w:val="bottom"/>
          </w:tcPr>
          <w:p>
            <w:pPr>
              <w:spacing w:after="0"/>
              <w:rPr>
                <w:sz w:val="12"/>
                <w:szCs w:val="12"/>
                <w:color w:val="auto"/>
              </w:rPr>
            </w:pPr>
          </w:p>
        </w:tc>
        <w:tc>
          <w:tcPr>
            <w:tcW w:w="1380" w:type="dxa"/>
            <w:vAlign w:val="bottom"/>
            <w:gridSpan w:val="3"/>
          </w:tcPr>
          <w:p>
            <w:pPr>
              <w:jc w:val="right"/>
              <w:ind w:right="20"/>
              <w:spacing w:after="0" w:line="145"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shd w:val="clear" w:color="auto" w:fill="CCEEFF"/>
          </w:tcPr>
          <w:p>
            <w:pPr>
              <w:ind w:left="240"/>
              <w:spacing w:after="0" w:line="145" w:lineRule="exact"/>
              <w:rPr>
                <w:sz w:val="20"/>
                <w:szCs w:val="20"/>
                <w:color w:val="auto"/>
              </w:rPr>
            </w:pPr>
            <w:r>
              <w:rPr>
                <w:rFonts w:ascii="Arial" w:cs="Arial" w:eastAsia="Arial" w:hAnsi="Arial"/>
                <w:sz w:val="14"/>
                <w:szCs w:val="14"/>
                <w:color w:val="auto"/>
              </w:rPr>
              <w:t>Interest expense</w:t>
            </w:r>
          </w:p>
        </w:tc>
        <w:tc>
          <w:tcPr>
            <w:tcW w:w="11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(655,384)</w:t>
            </w:r>
          </w:p>
        </w:tc>
        <w:tc>
          <w:tcPr>
            <w:tcW w:w="10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(438,943)</w:t>
            </w:r>
          </w:p>
        </w:tc>
        <w:tc>
          <w:tcPr>
            <w:tcW w:w="11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(443,398)</w:t>
            </w:r>
          </w:p>
        </w:tc>
        <w:tc>
          <w:tcPr>
            <w:tcW w:w="110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1.0%</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-32.3%</w:t>
            </w:r>
          </w:p>
        </w:tc>
        <w:tc>
          <w:tcPr>
            <w:tcW w:w="110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(1,952,448)</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(1,437,349)</w:t>
            </w:r>
          </w:p>
        </w:tc>
        <w:tc>
          <w:tcPr>
            <w:tcW w:w="13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tcPr>
          <w:p>
            <w:pPr>
              <w:ind w:left="240"/>
              <w:spacing w:after="0" w:line="145" w:lineRule="exact"/>
              <w:rPr>
                <w:sz w:val="20"/>
                <w:szCs w:val="20"/>
                <w:color w:val="auto"/>
              </w:rPr>
            </w:pPr>
            <w:r>
              <w:rPr>
                <w:rFonts w:ascii="Arial" w:cs="Arial" w:eastAsia="Arial" w:hAnsi="Arial"/>
                <w:sz w:val="14"/>
                <w:szCs w:val="14"/>
                <w:b w:val="1"/>
                <w:bCs w:val="1"/>
                <w:color w:val="auto"/>
              </w:rPr>
              <w:t>Net interest income</w:t>
            </w:r>
          </w:p>
        </w:tc>
        <w:tc>
          <w:tcPr>
            <w:tcW w:w="1100" w:type="dxa"/>
            <w:vAlign w:val="bottom"/>
            <w:gridSpan w:val="2"/>
          </w:tcPr>
          <w:p>
            <w:pPr>
              <w:jc w:val="right"/>
              <w:ind w:right="220"/>
              <w:spacing w:after="0" w:line="145" w:lineRule="exact"/>
              <w:rPr>
                <w:sz w:val="20"/>
                <w:szCs w:val="20"/>
                <w:color w:val="auto"/>
              </w:rPr>
            </w:pPr>
            <w:r>
              <w:rPr>
                <w:rFonts w:ascii="Arial" w:cs="Arial" w:eastAsia="Arial" w:hAnsi="Arial"/>
                <w:sz w:val="14"/>
                <w:szCs w:val="14"/>
                <w:b w:val="1"/>
                <w:bCs w:val="1"/>
                <w:color w:val="auto"/>
              </w:rPr>
              <w:t>1,897,970</w:t>
            </w:r>
          </w:p>
        </w:tc>
        <w:tc>
          <w:tcPr>
            <w:tcW w:w="1080" w:type="dxa"/>
            <w:vAlign w:val="bottom"/>
            <w:gridSpan w:val="2"/>
          </w:tcPr>
          <w:p>
            <w:pPr>
              <w:jc w:val="right"/>
              <w:ind w:right="200"/>
              <w:spacing w:after="0" w:line="145" w:lineRule="exact"/>
              <w:rPr>
                <w:sz w:val="20"/>
                <w:szCs w:val="20"/>
                <w:color w:val="auto"/>
              </w:rPr>
            </w:pPr>
            <w:r>
              <w:rPr>
                <w:rFonts w:ascii="Arial" w:cs="Arial" w:eastAsia="Arial" w:hAnsi="Arial"/>
                <w:sz w:val="14"/>
                <w:szCs w:val="14"/>
                <w:b w:val="1"/>
                <w:bCs w:val="1"/>
                <w:color w:val="auto"/>
              </w:rPr>
              <w:t>2,007,788</w:t>
            </w:r>
          </w:p>
        </w:tc>
        <w:tc>
          <w:tcPr>
            <w:tcW w:w="88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2,098,613</w:t>
            </w:r>
          </w:p>
        </w:tc>
        <w:tc>
          <w:tcPr>
            <w:tcW w:w="220" w:type="dxa"/>
            <w:vAlign w:val="bottom"/>
          </w:tcPr>
          <w:p>
            <w:pPr>
              <w:spacing w:after="0"/>
              <w:rPr>
                <w:sz w:val="12"/>
                <w:szCs w:val="12"/>
                <w:color w:val="auto"/>
              </w:rPr>
            </w:pPr>
          </w:p>
        </w:tc>
        <w:tc>
          <w:tcPr>
            <w:tcW w:w="1100" w:type="dxa"/>
            <w:vAlign w:val="bottom"/>
            <w:gridSpan w:val="2"/>
          </w:tcPr>
          <w:p>
            <w:pPr>
              <w:jc w:val="right"/>
              <w:ind w:right="100"/>
              <w:spacing w:after="0" w:line="145" w:lineRule="exact"/>
              <w:rPr>
                <w:sz w:val="20"/>
                <w:szCs w:val="20"/>
                <w:color w:val="auto"/>
              </w:rPr>
            </w:pPr>
            <w:r>
              <w:rPr>
                <w:rFonts w:ascii="Arial" w:cs="Arial" w:eastAsia="Arial" w:hAnsi="Arial"/>
                <w:sz w:val="14"/>
                <w:szCs w:val="14"/>
                <w:b w:val="1"/>
                <w:bCs w:val="1"/>
                <w:color w:val="auto"/>
              </w:rPr>
              <w:t>4.5%</w:t>
            </w:r>
          </w:p>
        </w:tc>
        <w:tc>
          <w:tcPr>
            <w:tcW w:w="240" w:type="dxa"/>
            <w:vAlign w:val="bottom"/>
          </w:tcPr>
          <w:p>
            <w:pPr>
              <w:spacing w:after="0"/>
              <w:rPr>
                <w:sz w:val="12"/>
                <w:szCs w:val="12"/>
                <w:color w:val="auto"/>
              </w:rPr>
            </w:pPr>
          </w:p>
        </w:tc>
        <w:tc>
          <w:tcPr>
            <w:tcW w:w="880" w:type="dxa"/>
            <w:vAlign w:val="bottom"/>
            <w:gridSpan w:val="2"/>
          </w:tcPr>
          <w:p>
            <w:pPr>
              <w:jc w:val="right"/>
              <w:ind w:right="100"/>
              <w:spacing w:after="0" w:line="145" w:lineRule="exact"/>
              <w:rPr>
                <w:sz w:val="20"/>
                <w:szCs w:val="20"/>
                <w:color w:val="auto"/>
              </w:rPr>
            </w:pPr>
            <w:r>
              <w:rPr>
                <w:rFonts w:ascii="Arial" w:cs="Arial" w:eastAsia="Arial" w:hAnsi="Arial"/>
                <w:sz w:val="14"/>
                <w:szCs w:val="14"/>
                <w:b w:val="1"/>
                <w:bCs w:val="1"/>
                <w:color w:val="auto"/>
              </w:rPr>
              <w:t>10.6%</w:t>
            </w:r>
          </w:p>
        </w:tc>
        <w:tc>
          <w:tcPr>
            <w:tcW w:w="1100" w:type="dxa"/>
            <w:vAlign w:val="bottom"/>
            <w:gridSpan w:val="2"/>
          </w:tcPr>
          <w:p>
            <w:pPr>
              <w:jc w:val="right"/>
              <w:ind w:right="220"/>
              <w:spacing w:after="0" w:line="145" w:lineRule="exact"/>
              <w:rPr>
                <w:sz w:val="20"/>
                <w:szCs w:val="20"/>
                <w:color w:val="auto"/>
              </w:rPr>
            </w:pPr>
            <w:r>
              <w:rPr>
                <w:rFonts w:ascii="Arial" w:cs="Arial" w:eastAsia="Arial" w:hAnsi="Arial"/>
                <w:sz w:val="14"/>
                <w:szCs w:val="14"/>
                <w:b w:val="1"/>
                <w:bCs w:val="1"/>
                <w:color w:val="auto"/>
              </w:rPr>
              <w:t>5,689,948</w:t>
            </w:r>
          </w:p>
        </w:tc>
        <w:tc>
          <w:tcPr>
            <w:tcW w:w="14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5,959,390</w:t>
            </w:r>
          </w:p>
        </w:tc>
        <w:tc>
          <w:tcPr>
            <w:tcW w:w="120" w:type="dxa"/>
            <w:vAlign w:val="bottom"/>
          </w:tcPr>
          <w:p>
            <w:pPr>
              <w:spacing w:after="0"/>
              <w:rPr>
                <w:sz w:val="12"/>
                <w:szCs w:val="12"/>
                <w:color w:val="auto"/>
              </w:rPr>
            </w:pPr>
          </w:p>
        </w:tc>
        <w:tc>
          <w:tcPr>
            <w:tcW w:w="1380" w:type="dxa"/>
            <w:vAlign w:val="bottom"/>
            <w:gridSpan w:val="3"/>
          </w:tcPr>
          <w:p>
            <w:pPr>
              <w:jc w:val="right"/>
              <w:spacing w:after="0" w:line="145" w:lineRule="exact"/>
              <w:rPr>
                <w:sz w:val="20"/>
                <w:szCs w:val="20"/>
                <w:color w:val="auto"/>
              </w:rPr>
            </w:pPr>
            <w:r>
              <w:rPr>
                <w:rFonts w:ascii="Arial" w:cs="Arial" w:eastAsia="Arial" w:hAnsi="Arial"/>
                <w:sz w:val="14"/>
                <w:szCs w:val="14"/>
                <w:b w:val="1"/>
                <w:bCs w:val="1"/>
                <w:color w:val="auto"/>
              </w:rPr>
              <w:t>4.7%</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240" w:type="dxa"/>
            <w:vAlign w:val="bottom"/>
          </w:tcPr>
          <w:p>
            <w:pPr>
              <w:spacing w:after="0" w:line="126" w:lineRule="exact"/>
              <w:rPr>
                <w:sz w:val="20"/>
                <w:szCs w:val="20"/>
                <w:color w:val="auto"/>
              </w:rPr>
            </w:pPr>
            <w:r>
              <w:rPr>
                <w:rFonts w:ascii="Arial" w:cs="Arial" w:eastAsia="Arial" w:hAnsi="Arial"/>
                <w:sz w:val="14"/>
                <w:szCs w:val="14"/>
                <w:color w:val="auto"/>
              </w:rPr>
              <w:t>Provision for credit losses on loan</w:t>
            </w: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260" w:type="dxa"/>
            <w:vAlign w:val="bottom"/>
            <w:gridSpan w:val="2"/>
          </w:tcPr>
          <w:p>
            <w:pPr>
              <w:spacing w:after="0"/>
              <w:rPr>
                <w:sz w:val="20"/>
                <w:szCs w:val="20"/>
                <w:color w:val="auto"/>
              </w:rPr>
            </w:pPr>
            <w:r>
              <w:rPr>
                <w:rFonts w:ascii="Arial" w:cs="Arial" w:eastAsia="Arial" w:hAnsi="Arial"/>
                <w:sz w:val="14"/>
                <w:szCs w:val="14"/>
                <w:color w:val="auto"/>
              </w:rPr>
              <w:t>portfolio</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(1,250,211)</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(480,116)</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(249,273)</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-48.1%</w:t>
            </w:r>
          </w:p>
        </w:tc>
        <w:tc>
          <w:tcPr>
            <w:tcW w:w="24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-80.1%</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(5,016,939)</w:t>
            </w:r>
          </w:p>
        </w:tc>
        <w:tc>
          <w:tcPr>
            <w:tcW w:w="14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(1,314,646)</w:t>
            </w:r>
          </w:p>
        </w:tc>
        <w:tc>
          <w:tcPr>
            <w:tcW w:w="1380" w:type="dxa"/>
            <w:vAlign w:val="bottom"/>
            <w:gridSpan w:val="3"/>
          </w:tcPr>
          <w:p>
            <w:pPr>
              <w:jc w:val="right"/>
              <w:ind w:right="20"/>
              <w:spacing w:after="0"/>
              <w:rPr>
                <w:sz w:val="20"/>
                <w:szCs w:val="20"/>
                <w:color w:val="auto"/>
              </w:rPr>
            </w:pPr>
            <w:r>
              <w:rPr>
                <w:rFonts w:ascii="Arial" w:cs="Arial" w:eastAsia="Arial" w:hAnsi="Arial"/>
                <w:sz w:val="14"/>
                <w:szCs w:val="14"/>
                <w:color w:val="auto"/>
              </w:rPr>
              <w:t>-73.8%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Recoveries of written-off loans</w:t>
            </w:r>
          </w:p>
        </w:tc>
        <w:tc>
          <w:tcPr>
            <w:tcW w:w="11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40,126</w:t>
            </w:r>
          </w:p>
        </w:tc>
        <w:tc>
          <w:tcPr>
            <w:tcW w:w="10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73,023</w:t>
            </w:r>
          </w:p>
        </w:tc>
        <w:tc>
          <w:tcPr>
            <w:tcW w:w="11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93,671</w:t>
            </w:r>
          </w:p>
        </w:tc>
        <w:tc>
          <w:tcPr>
            <w:tcW w:w="110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28.3%</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133.4%</w:t>
            </w:r>
          </w:p>
        </w:tc>
        <w:tc>
          <w:tcPr>
            <w:tcW w:w="11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100,264</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227,790</w:t>
            </w:r>
          </w:p>
        </w:tc>
        <w:tc>
          <w:tcPr>
            <w:tcW w:w="13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127.2%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40" w:type="dxa"/>
            <w:vAlign w:val="bottom"/>
          </w:tcPr>
          <w:p>
            <w:pPr>
              <w:spacing w:after="0" w:line="122" w:lineRule="exact"/>
              <w:rPr>
                <w:sz w:val="20"/>
                <w:szCs w:val="20"/>
                <w:color w:val="auto"/>
              </w:rPr>
            </w:pPr>
            <w:r>
              <w:rPr>
                <w:rFonts w:ascii="Arial" w:cs="Arial" w:eastAsia="Arial" w:hAnsi="Arial"/>
                <w:sz w:val="14"/>
                <w:szCs w:val="14"/>
                <w:b w:val="1"/>
                <w:bCs w:val="1"/>
                <w:color w:val="auto"/>
                <w:w w:val="96"/>
              </w:rPr>
              <w:t>Provision for credit losses on loan</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(1,210,085)</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(407,093)</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(155,602)</w:t>
            </w: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-61.8%</w:t>
            </w:r>
          </w:p>
        </w:tc>
        <w:tc>
          <w:tcPr>
            <w:tcW w:w="240" w:type="dxa"/>
            <w:vAlign w:val="bottom"/>
          </w:tcPr>
          <w:p>
            <w:pPr>
              <w:spacing w:after="0"/>
              <w:rPr>
                <w:sz w:val="10"/>
                <w:szCs w:val="10"/>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-87.1%</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(4,916,675)</w:t>
            </w:r>
          </w:p>
        </w:tc>
        <w:tc>
          <w:tcPr>
            <w:tcW w:w="140" w:type="dxa"/>
            <w:vAlign w:val="bottom"/>
          </w:tcPr>
          <w:p>
            <w:pPr>
              <w:spacing w:after="0"/>
              <w:rPr>
                <w:sz w:val="10"/>
                <w:szCs w:val="10"/>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(1,086,856)</w:t>
            </w:r>
          </w:p>
        </w:tc>
        <w:tc>
          <w:tcPr>
            <w:tcW w:w="13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-77.9%</w:t>
            </w:r>
          </w:p>
        </w:tc>
        <w:tc>
          <w:tcPr>
            <w:tcW w:w="0" w:type="dxa"/>
            <w:vAlign w:val="bottom"/>
          </w:tcPr>
          <w:p>
            <w:pPr>
              <w:spacing w:after="0"/>
              <w:rPr>
                <w:sz w:val="1"/>
                <w:szCs w:val="1"/>
                <w:color w:val="auto"/>
              </w:rPr>
            </w:pPr>
          </w:p>
        </w:tc>
      </w:tr>
      <w:tr>
        <w:trPr>
          <w:trHeight w:val="167"/>
        </w:trPr>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portfolio, net of recoveries</w:t>
            </w:r>
          </w:p>
        </w:tc>
        <w:tc>
          <w:tcPr>
            <w:tcW w:w="11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240" w:type="dxa"/>
            <w:vAlign w:val="bottom"/>
          </w:tcPr>
          <w:p>
            <w:pPr>
              <w:spacing w:after="0" w:line="145" w:lineRule="exact"/>
              <w:rPr>
                <w:sz w:val="20"/>
                <w:szCs w:val="20"/>
                <w:color w:val="auto"/>
              </w:rPr>
            </w:pPr>
            <w:r>
              <w:rPr>
                <w:rFonts w:ascii="Arial" w:cs="Arial" w:eastAsia="Arial" w:hAnsi="Arial"/>
                <w:sz w:val="14"/>
                <w:szCs w:val="14"/>
                <w:b w:val="1"/>
                <w:bCs w:val="1"/>
                <w:color w:val="auto"/>
                <w:w w:val="99"/>
              </w:rPr>
              <w:t>Risk-adjusted net interest income</w:t>
            </w:r>
          </w:p>
        </w:tc>
        <w:tc>
          <w:tcPr>
            <w:tcW w:w="1100" w:type="dxa"/>
            <w:vAlign w:val="bottom"/>
            <w:gridSpan w:val="2"/>
          </w:tcPr>
          <w:p>
            <w:pPr>
              <w:jc w:val="right"/>
              <w:ind w:right="220"/>
              <w:spacing w:after="0" w:line="145" w:lineRule="exact"/>
              <w:rPr>
                <w:sz w:val="20"/>
                <w:szCs w:val="20"/>
                <w:color w:val="auto"/>
              </w:rPr>
            </w:pPr>
            <w:r>
              <w:rPr>
                <w:rFonts w:ascii="Arial" w:cs="Arial" w:eastAsia="Arial" w:hAnsi="Arial"/>
                <w:sz w:val="14"/>
                <w:szCs w:val="14"/>
                <w:b w:val="1"/>
                <w:bCs w:val="1"/>
                <w:color w:val="auto"/>
              </w:rPr>
              <w:t>687,885</w:t>
            </w:r>
          </w:p>
        </w:tc>
        <w:tc>
          <w:tcPr>
            <w:tcW w:w="1080" w:type="dxa"/>
            <w:vAlign w:val="bottom"/>
            <w:gridSpan w:val="2"/>
          </w:tcPr>
          <w:p>
            <w:pPr>
              <w:jc w:val="right"/>
              <w:ind w:right="200"/>
              <w:spacing w:after="0" w:line="145" w:lineRule="exact"/>
              <w:rPr>
                <w:sz w:val="20"/>
                <w:szCs w:val="20"/>
                <w:color w:val="auto"/>
              </w:rPr>
            </w:pPr>
            <w:r>
              <w:rPr>
                <w:rFonts w:ascii="Arial" w:cs="Arial" w:eastAsia="Arial" w:hAnsi="Arial"/>
                <w:sz w:val="14"/>
                <w:szCs w:val="14"/>
                <w:b w:val="1"/>
                <w:bCs w:val="1"/>
                <w:color w:val="auto"/>
              </w:rPr>
              <w:t>1,600,695</w:t>
            </w:r>
          </w:p>
        </w:tc>
        <w:tc>
          <w:tcPr>
            <w:tcW w:w="1100" w:type="dxa"/>
            <w:vAlign w:val="bottom"/>
            <w:gridSpan w:val="2"/>
          </w:tcPr>
          <w:p>
            <w:pPr>
              <w:jc w:val="right"/>
              <w:ind w:right="220"/>
              <w:spacing w:after="0" w:line="145" w:lineRule="exact"/>
              <w:rPr>
                <w:sz w:val="20"/>
                <w:szCs w:val="20"/>
                <w:color w:val="auto"/>
              </w:rPr>
            </w:pPr>
            <w:r>
              <w:rPr>
                <w:rFonts w:ascii="Arial" w:cs="Arial" w:eastAsia="Arial" w:hAnsi="Arial"/>
                <w:sz w:val="14"/>
                <w:szCs w:val="14"/>
                <w:b w:val="1"/>
                <w:bCs w:val="1"/>
                <w:color w:val="auto"/>
              </w:rPr>
              <w:t>1,943,011</w:t>
            </w:r>
          </w:p>
        </w:tc>
        <w:tc>
          <w:tcPr>
            <w:tcW w:w="1100" w:type="dxa"/>
            <w:vAlign w:val="bottom"/>
            <w:gridSpan w:val="2"/>
          </w:tcPr>
          <w:p>
            <w:pPr>
              <w:jc w:val="right"/>
              <w:ind w:right="100"/>
              <w:spacing w:after="0" w:line="145" w:lineRule="exact"/>
              <w:rPr>
                <w:sz w:val="20"/>
                <w:szCs w:val="20"/>
                <w:color w:val="auto"/>
              </w:rPr>
            </w:pPr>
            <w:r>
              <w:rPr>
                <w:rFonts w:ascii="Arial" w:cs="Arial" w:eastAsia="Arial" w:hAnsi="Arial"/>
                <w:sz w:val="14"/>
                <w:szCs w:val="14"/>
                <w:b w:val="1"/>
                <w:bCs w:val="1"/>
                <w:color w:val="auto"/>
              </w:rPr>
              <w:t>21.4%</w:t>
            </w:r>
          </w:p>
        </w:tc>
        <w:tc>
          <w:tcPr>
            <w:tcW w:w="240" w:type="dxa"/>
            <w:vAlign w:val="bottom"/>
          </w:tcPr>
          <w:p>
            <w:pPr>
              <w:spacing w:after="0"/>
              <w:rPr>
                <w:sz w:val="12"/>
                <w:szCs w:val="12"/>
                <w:color w:val="auto"/>
              </w:rPr>
            </w:pPr>
          </w:p>
        </w:tc>
        <w:tc>
          <w:tcPr>
            <w:tcW w:w="880" w:type="dxa"/>
            <w:vAlign w:val="bottom"/>
            <w:gridSpan w:val="2"/>
          </w:tcPr>
          <w:p>
            <w:pPr>
              <w:jc w:val="right"/>
              <w:ind w:right="100"/>
              <w:spacing w:after="0" w:line="145" w:lineRule="exact"/>
              <w:rPr>
                <w:sz w:val="20"/>
                <w:szCs w:val="20"/>
                <w:color w:val="auto"/>
              </w:rPr>
            </w:pPr>
            <w:r>
              <w:rPr>
                <w:rFonts w:ascii="Arial" w:cs="Arial" w:eastAsia="Arial" w:hAnsi="Arial"/>
                <w:sz w:val="14"/>
                <w:szCs w:val="14"/>
                <w:b w:val="1"/>
                <w:bCs w:val="1"/>
                <w:color w:val="auto"/>
              </w:rPr>
              <w:t>182.5%</w:t>
            </w:r>
          </w:p>
        </w:tc>
        <w:tc>
          <w:tcPr>
            <w:tcW w:w="1100" w:type="dxa"/>
            <w:vAlign w:val="bottom"/>
            <w:gridSpan w:val="2"/>
          </w:tcPr>
          <w:p>
            <w:pPr>
              <w:jc w:val="right"/>
              <w:ind w:right="220"/>
              <w:spacing w:after="0" w:line="145" w:lineRule="exact"/>
              <w:rPr>
                <w:sz w:val="20"/>
                <w:szCs w:val="20"/>
                <w:color w:val="auto"/>
              </w:rPr>
            </w:pPr>
            <w:r>
              <w:rPr>
                <w:rFonts w:ascii="Arial" w:cs="Arial" w:eastAsia="Arial" w:hAnsi="Arial"/>
                <w:sz w:val="14"/>
                <w:szCs w:val="14"/>
                <w:b w:val="1"/>
                <w:bCs w:val="1"/>
                <w:color w:val="auto"/>
              </w:rPr>
              <w:t>773,273</w:t>
            </w:r>
          </w:p>
        </w:tc>
        <w:tc>
          <w:tcPr>
            <w:tcW w:w="14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4,872,534</w:t>
            </w:r>
          </w:p>
        </w:tc>
        <w:tc>
          <w:tcPr>
            <w:tcW w:w="120" w:type="dxa"/>
            <w:vAlign w:val="bottom"/>
          </w:tcPr>
          <w:p>
            <w:pPr>
              <w:spacing w:after="0"/>
              <w:rPr>
                <w:sz w:val="12"/>
                <w:szCs w:val="12"/>
                <w:color w:val="auto"/>
              </w:rPr>
            </w:pPr>
          </w:p>
        </w:tc>
        <w:tc>
          <w:tcPr>
            <w:tcW w:w="1380" w:type="dxa"/>
            <w:vAlign w:val="bottom"/>
            <w:gridSpan w:val="3"/>
          </w:tcPr>
          <w:p>
            <w:pPr>
              <w:jc w:val="right"/>
              <w:spacing w:after="0" w:line="145" w:lineRule="exact"/>
              <w:rPr>
                <w:sz w:val="20"/>
                <w:szCs w:val="20"/>
                <w:color w:val="auto"/>
              </w:rPr>
            </w:pPr>
            <w:r>
              <w:rPr>
                <w:rFonts w:ascii="Arial" w:cs="Arial" w:eastAsia="Arial" w:hAnsi="Arial"/>
                <w:sz w:val="14"/>
                <w:szCs w:val="14"/>
                <w:b w:val="1"/>
                <w:bCs w:val="1"/>
                <w:color w:val="auto"/>
              </w:rPr>
              <w:t>530.1%</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240" w:type="dxa"/>
            <w:vAlign w:val="bottom"/>
          </w:tcPr>
          <w:p>
            <w:pPr>
              <w:spacing w:after="0" w:line="145" w:lineRule="exact"/>
              <w:rPr>
                <w:sz w:val="20"/>
                <w:szCs w:val="20"/>
                <w:color w:val="auto"/>
              </w:rPr>
            </w:pPr>
            <w:r>
              <w:rPr>
                <w:rFonts w:ascii="Arial" w:cs="Arial" w:eastAsia="Arial" w:hAnsi="Arial"/>
                <w:sz w:val="14"/>
                <w:szCs w:val="14"/>
                <w:b w:val="1"/>
                <w:bCs w:val="1"/>
                <w:color w:val="auto"/>
              </w:rPr>
              <w:t>Non-financial income</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shd w:val="clear" w:color="auto" w:fill="CCEEFF"/>
          </w:tcPr>
          <w:p>
            <w:pPr>
              <w:ind w:left="240"/>
              <w:spacing w:after="0" w:line="145" w:lineRule="exact"/>
              <w:rPr>
                <w:sz w:val="20"/>
                <w:szCs w:val="20"/>
                <w:color w:val="auto"/>
              </w:rPr>
            </w:pPr>
            <w:r>
              <w:rPr>
                <w:rFonts w:ascii="Arial" w:cs="Arial" w:eastAsia="Arial" w:hAnsi="Arial"/>
                <w:sz w:val="14"/>
                <w:szCs w:val="14"/>
                <w:color w:val="auto"/>
              </w:rPr>
              <w:t>Fee income</w:t>
            </w:r>
          </w:p>
        </w:tc>
        <w:tc>
          <w:tcPr>
            <w:tcW w:w="11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572,044</w:t>
            </w:r>
          </w:p>
        </w:tc>
        <w:tc>
          <w:tcPr>
            <w:tcW w:w="10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648,980</w:t>
            </w:r>
          </w:p>
        </w:tc>
        <w:tc>
          <w:tcPr>
            <w:tcW w:w="11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688,357</w:t>
            </w:r>
          </w:p>
        </w:tc>
        <w:tc>
          <w:tcPr>
            <w:tcW w:w="110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6.1%</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20.3%</w:t>
            </w:r>
          </w:p>
        </w:tc>
        <w:tc>
          <w:tcPr>
            <w:tcW w:w="11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1,554,562</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1,969,115</w:t>
            </w:r>
          </w:p>
        </w:tc>
        <w:tc>
          <w:tcPr>
            <w:tcW w:w="13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40" w:type="dxa"/>
            <w:vAlign w:val="bottom"/>
          </w:tcPr>
          <w:p>
            <w:pPr>
              <w:ind w:left="240"/>
              <w:spacing w:after="0" w:line="126" w:lineRule="exact"/>
              <w:rPr>
                <w:sz w:val="20"/>
                <w:szCs w:val="20"/>
                <w:color w:val="auto"/>
              </w:rPr>
            </w:pPr>
            <w:r>
              <w:rPr>
                <w:rFonts w:ascii="Arial" w:cs="Arial" w:eastAsia="Arial" w:hAnsi="Arial"/>
                <w:sz w:val="14"/>
                <w:szCs w:val="14"/>
                <w:color w:val="auto"/>
              </w:rPr>
              <w:t>Net gain on foreign exchange</w:t>
            </w: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40" w:type="dxa"/>
            <w:vAlign w:val="bottom"/>
          </w:tcPr>
          <w:p>
            <w:pPr>
              <w:ind w:left="240"/>
              <w:spacing w:after="0"/>
              <w:rPr>
                <w:sz w:val="20"/>
                <w:szCs w:val="20"/>
                <w:color w:val="auto"/>
              </w:rPr>
            </w:pPr>
            <w:r>
              <w:rPr>
                <w:rFonts w:ascii="Arial" w:cs="Arial" w:eastAsia="Arial" w:hAnsi="Arial"/>
                <w:sz w:val="14"/>
                <w:szCs w:val="14"/>
                <w:color w:val="auto"/>
              </w:rPr>
              <w:t>transactions</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152,862</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240,553</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234,313</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-2.6%</w:t>
            </w:r>
          </w:p>
        </w:tc>
        <w:tc>
          <w:tcPr>
            <w:tcW w:w="24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53.3%</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474,174</w:t>
            </w:r>
          </w:p>
        </w:tc>
        <w:tc>
          <w:tcPr>
            <w:tcW w:w="1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648,331</w:t>
            </w:r>
          </w:p>
        </w:tc>
        <w:tc>
          <w:tcPr>
            <w:tcW w:w="1380" w:type="dxa"/>
            <w:vAlign w:val="bottom"/>
            <w:gridSpan w:val="3"/>
          </w:tcPr>
          <w:p>
            <w:pPr>
              <w:jc w:val="right"/>
              <w:ind w:right="20"/>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shd w:val="clear" w:color="auto" w:fill="CCEEFF"/>
          </w:tcPr>
          <w:p>
            <w:pPr>
              <w:ind w:left="240"/>
              <w:spacing w:after="0" w:line="145" w:lineRule="exact"/>
              <w:rPr>
                <w:sz w:val="20"/>
                <w:szCs w:val="20"/>
                <w:color w:val="auto"/>
              </w:rPr>
            </w:pPr>
            <w:r>
              <w:rPr>
                <w:rFonts w:ascii="Arial" w:cs="Arial" w:eastAsia="Arial" w:hAnsi="Arial"/>
                <w:sz w:val="14"/>
                <w:szCs w:val="14"/>
                <w:color w:val="auto"/>
              </w:rPr>
              <w:t>Net gain on securities</w:t>
            </w:r>
          </w:p>
        </w:tc>
        <w:tc>
          <w:tcPr>
            <w:tcW w:w="11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73,630</w:t>
            </w:r>
          </w:p>
        </w:tc>
        <w:tc>
          <w:tcPr>
            <w:tcW w:w="10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(130,474)</w:t>
            </w:r>
          </w:p>
        </w:tc>
        <w:tc>
          <w:tcPr>
            <w:tcW w:w="11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(30,017)</w:t>
            </w:r>
          </w:p>
        </w:tc>
        <w:tc>
          <w:tcPr>
            <w:tcW w:w="110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-77.0%</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n.a.</w:t>
            </w:r>
          </w:p>
        </w:tc>
        <w:tc>
          <w:tcPr>
            <w:tcW w:w="11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114,189</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(118,379)</w:t>
            </w:r>
          </w:p>
        </w:tc>
        <w:tc>
          <w:tcPr>
            <w:tcW w:w="13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-203.7%</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40" w:type="dxa"/>
            <w:vAlign w:val="bottom"/>
          </w:tcPr>
          <w:p>
            <w:pPr>
              <w:ind w:left="240"/>
              <w:spacing w:after="0" w:line="126" w:lineRule="exact"/>
              <w:rPr>
                <w:sz w:val="20"/>
                <w:szCs w:val="20"/>
                <w:color w:val="auto"/>
              </w:rPr>
            </w:pPr>
            <w:r>
              <w:rPr>
                <w:rFonts w:ascii="Arial" w:cs="Arial" w:eastAsia="Arial" w:hAnsi="Arial"/>
                <w:sz w:val="14"/>
                <w:szCs w:val="14"/>
                <w:color w:val="auto"/>
              </w:rPr>
              <w:t>Net gain on derivatives held for</w:t>
            </w: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40" w:type="dxa"/>
            <w:vAlign w:val="bottom"/>
          </w:tcPr>
          <w:p>
            <w:pPr>
              <w:ind w:left="240"/>
              <w:spacing w:after="0"/>
              <w:rPr>
                <w:sz w:val="20"/>
                <w:szCs w:val="20"/>
                <w:color w:val="auto"/>
              </w:rPr>
            </w:pPr>
            <w:r>
              <w:rPr>
                <w:rFonts w:ascii="Arial" w:cs="Arial" w:eastAsia="Arial" w:hAnsi="Arial"/>
                <w:sz w:val="14"/>
                <w:szCs w:val="14"/>
                <w:color w:val="auto"/>
              </w:rPr>
              <w:t>trading</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12,502</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31,844</w:t>
            </w:r>
          </w:p>
        </w:tc>
        <w:tc>
          <w:tcPr>
            <w:tcW w:w="880" w:type="dxa"/>
            <w:vAlign w:val="bottom"/>
          </w:tcPr>
          <w:p>
            <w:pPr>
              <w:jc w:val="right"/>
              <w:spacing w:after="0"/>
              <w:rPr>
                <w:sz w:val="20"/>
                <w:szCs w:val="20"/>
                <w:color w:val="auto"/>
              </w:rPr>
            </w:pPr>
            <w:r>
              <w:rPr>
                <w:rFonts w:ascii="Arial" w:cs="Arial" w:eastAsia="Arial" w:hAnsi="Arial"/>
                <w:sz w:val="14"/>
                <w:szCs w:val="14"/>
                <w:color w:val="auto"/>
              </w:rPr>
              <w:t>462</w:t>
            </w:r>
          </w:p>
        </w:tc>
        <w:tc>
          <w:tcPr>
            <w:tcW w:w="22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-98.5%</w:t>
            </w:r>
          </w:p>
        </w:tc>
        <w:tc>
          <w:tcPr>
            <w:tcW w:w="24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-96.3%</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46,913</w:t>
            </w:r>
          </w:p>
        </w:tc>
        <w:tc>
          <w:tcPr>
            <w:tcW w:w="1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44,626</w:t>
            </w:r>
          </w:p>
        </w:tc>
        <w:tc>
          <w:tcPr>
            <w:tcW w:w="1380" w:type="dxa"/>
            <w:vAlign w:val="bottom"/>
            <w:gridSpan w:val="3"/>
          </w:tcPr>
          <w:p>
            <w:pPr>
              <w:jc w:val="right"/>
              <w:ind w:right="2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40" w:type="dxa"/>
            <w:vAlign w:val="bottom"/>
            <w:shd w:val="clear" w:color="auto" w:fill="CCEEFF"/>
          </w:tcPr>
          <w:p>
            <w:pPr>
              <w:ind w:left="240"/>
              <w:spacing w:after="0" w:line="126" w:lineRule="exact"/>
              <w:rPr>
                <w:sz w:val="20"/>
                <w:szCs w:val="20"/>
                <w:color w:val="auto"/>
              </w:rPr>
            </w:pPr>
            <w:r>
              <w:rPr>
                <w:rFonts w:ascii="Arial" w:cs="Arial" w:eastAsia="Arial" w:hAnsi="Arial"/>
                <w:sz w:val="14"/>
                <w:szCs w:val="14"/>
                <w:color w:val="auto"/>
              </w:rPr>
              <w:t>Net gain from exchange</w:t>
            </w: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differences</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1,320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56,816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11,037</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-80.6%</w:t>
            </w: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736.1%</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(9,028)</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65,032</w:t>
            </w: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tcPr>
          <w:p>
            <w:pPr>
              <w:ind w:left="240"/>
              <w:spacing w:after="0" w:line="145" w:lineRule="exact"/>
              <w:rPr>
                <w:sz w:val="20"/>
                <w:szCs w:val="20"/>
                <w:color w:val="auto"/>
              </w:rPr>
            </w:pPr>
            <w:r>
              <w:rPr>
                <w:rFonts w:ascii="Arial" w:cs="Arial" w:eastAsia="Arial" w:hAnsi="Arial"/>
                <w:sz w:val="14"/>
                <w:szCs w:val="14"/>
                <w:color w:val="auto"/>
              </w:rPr>
              <w:t>Others</w:t>
            </w:r>
          </w:p>
        </w:tc>
        <w:tc>
          <w:tcPr>
            <w:tcW w:w="110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36,309</w:t>
            </w:r>
          </w:p>
        </w:tc>
        <w:tc>
          <w:tcPr>
            <w:tcW w:w="10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41,734</w:t>
            </w:r>
          </w:p>
        </w:tc>
        <w:tc>
          <w:tcPr>
            <w:tcW w:w="110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31,437</w:t>
            </w:r>
          </w:p>
        </w:tc>
        <w:tc>
          <w:tcPr>
            <w:tcW w:w="110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-24.7%</w:t>
            </w:r>
          </w:p>
        </w:tc>
        <w:tc>
          <w:tcPr>
            <w:tcW w:w="240" w:type="dxa"/>
            <w:vAlign w:val="bottom"/>
          </w:tcPr>
          <w:p>
            <w:pPr>
              <w:spacing w:after="0"/>
              <w:rPr>
                <w:sz w:val="12"/>
                <w:szCs w:val="12"/>
                <w:color w:val="auto"/>
              </w:rPr>
            </w:pPr>
          </w:p>
        </w:tc>
        <w:tc>
          <w:tcPr>
            <w:tcW w:w="88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-13.4%</w:t>
            </w:r>
          </w:p>
        </w:tc>
        <w:tc>
          <w:tcPr>
            <w:tcW w:w="110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150,629</w:t>
            </w: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131,563</w:t>
            </w:r>
          </w:p>
        </w:tc>
        <w:tc>
          <w:tcPr>
            <w:tcW w:w="1380" w:type="dxa"/>
            <w:vAlign w:val="bottom"/>
            <w:gridSpan w:val="3"/>
          </w:tcPr>
          <w:p>
            <w:pPr>
              <w:jc w:val="right"/>
              <w:ind w:right="20"/>
              <w:spacing w:after="0" w:line="145"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shd w:val="clear" w:color="auto" w:fill="CCEEFF"/>
          </w:tcPr>
          <w:p>
            <w:pPr>
              <w:ind w:left="240"/>
              <w:spacing w:after="0" w:line="145" w:lineRule="exact"/>
              <w:rPr>
                <w:sz w:val="20"/>
                <w:szCs w:val="20"/>
                <w:color w:val="auto"/>
              </w:rPr>
            </w:pPr>
            <w:r>
              <w:rPr>
                <w:rFonts w:ascii="Arial" w:cs="Arial" w:eastAsia="Arial" w:hAnsi="Arial"/>
                <w:sz w:val="14"/>
                <w:szCs w:val="14"/>
                <w:b w:val="1"/>
                <w:bCs w:val="1"/>
                <w:color w:val="auto"/>
              </w:rPr>
              <w:t>Total other income</w:t>
            </w:r>
          </w:p>
        </w:tc>
        <w:tc>
          <w:tcPr>
            <w:tcW w:w="11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b w:val="1"/>
                <w:bCs w:val="1"/>
                <w:color w:val="auto"/>
              </w:rPr>
              <w:t>848,667</w:t>
            </w:r>
          </w:p>
        </w:tc>
        <w:tc>
          <w:tcPr>
            <w:tcW w:w="10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b w:val="1"/>
                <w:bCs w:val="1"/>
                <w:color w:val="auto"/>
              </w:rPr>
              <w:t>889,453</w:t>
            </w:r>
          </w:p>
        </w:tc>
        <w:tc>
          <w:tcPr>
            <w:tcW w:w="11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b w:val="1"/>
                <w:bCs w:val="1"/>
                <w:color w:val="auto"/>
              </w:rPr>
              <w:t>935,589</w:t>
            </w:r>
          </w:p>
        </w:tc>
        <w:tc>
          <w:tcPr>
            <w:tcW w:w="11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b w:val="1"/>
                <w:bCs w:val="1"/>
                <w:color w:val="auto"/>
              </w:rPr>
              <w:t>5.2%</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b w:val="1"/>
                <w:bCs w:val="1"/>
                <w:color w:val="auto"/>
              </w:rPr>
              <w:t>10.2%</w:t>
            </w:r>
          </w:p>
        </w:tc>
        <w:tc>
          <w:tcPr>
            <w:tcW w:w="11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b w:val="1"/>
                <w:bCs w:val="1"/>
                <w:color w:val="auto"/>
              </w:rPr>
              <w:t>2,331,439</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b w:val="1"/>
                <w:bCs w:val="1"/>
                <w:color w:val="auto"/>
              </w:rPr>
              <w:t>2,740,288</w:t>
            </w:r>
          </w:p>
        </w:tc>
        <w:tc>
          <w:tcPr>
            <w:tcW w:w="12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spacing w:after="0" w:line="145" w:lineRule="exact"/>
              <w:rPr>
                <w:sz w:val="20"/>
                <w:szCs w:val="20"/>
                <w:color w:val="auto"/>
              </w:rPr>
            </w:pPr>
            <w:r>
              <w:rPr>
                <w:rFonts w:ascii="Arial" w:cs="Arial" w:eastAsia="Arial" w:hAnsi="Arial"/>
                <w:sz w:val="14"/>
                <w:szCs w:val="14"/>
                <w:b w:val="1"/>
                <w:bCs w:val="1"/>
                <w:color w:val="auto"/>
              </w:rPr>
              <w:t>17.5%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24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Total expenses</w:t>
            </w: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tcPr>
          <w:p>
            <w:pPr>
              <w:ind w:left="240"/>
              <w:spacing w:after="0" w:line="145" w:lineRule="exact"/>
              <w:rPr>
                <w:sz w:val="20"/>
                <w:szCs w:val="20"/>
                <w:color w:val="auto"/>
              </w:rPr>
            </w:pPr>
            <w:r>
              <w:rPr>
                <w:rFonts w:ascii="Arial" w:cs="Arial" w:eastAsia="Arial" w:hAnsi="Arial"/>
                <w:sz w:val="14"/>
                <w:szCs w:val="14"/>
                <w:color w:val="auto"/>
              </w:rPr>
              <w:t>Salaries and employee benefits</w:t>
            </w:r>
          </w:p>
        </w:tc>
        <w:tc>
          <w:tcPr>
            <w:tcW w:w="11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(568,595)</w:t>
            </w:r>
          </w:p>
        </w:tc>
        <w:tc>
          <w:tcPr>
            <w:tcW w:w="10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(632,636)</w:t>
            </w:r>
          </w:p>
        </w:tc>
        <w:tc>
          <w:tcPr>
            <w:tcW w:w="11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(629,810)</w:t>
            </w:r>
          </w:p>
        </w:tc>
        <w:tc>
          <w:tcPr>
            <w:tcW w:w="110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-0.4%</w:t>
            </w:r>
          </w:p>
        </w:tc>
        <w:tc>
          <w:tcPr>
            <w:tcW w:w="240" w:type="dxa"/>
            <w:vAlign w:val="bottom"/>
          </w:tcPr>
          <w:p>
            <w:pPr>
              <w:spacing w:after="0"/>
              <w:rPr>
                <w:sz w:val="12"/>
                <w:szCs w:val="12"/>
                <w:color w:val="auto"/>
              </w:rPr>
            </w:pPr>
          </w:p>
        </w:tc>
        <w:tc>
          <w:tcPr>
            <w:tcW w:w="88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10.8%</w:t>
            </w:r>
          </w:p>
        </w:tc>
        <w:tc>
          <w:tcPr>
            <w:tcW w:w="110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(1,816,262)</w:t>
            </w: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(1,865,621)</w:t>
            </w:r>
          </w:p>
        </w:tc>
        <w:tc>
          <w:tcPr>
            <w:tcW w:w="1380" w:type="dxa"/>
            <w:vAlign w:val="bottom"/>
            <w:gridSpan w:val="3"/>
          </w:tcPr>
          <w:p>
            <w:pPr>
              <w:jc w:val="right"/>
              <w:ind w:right="20"/>
              <w:spacing w:after="0" w:line="145"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shd w:val="clear" w:color="auto" w:fill="CCEEFF"/>
          </w:tcPr>
          <w:p>
            <w:pPr>
              <w:ind w:left="240"/>
              <w:spacing w:after="0" w:line="145" w:lineRule="exact"/>
              <w:rPr>
                <w:sz w:val="20"/>
                <w:szCs w:val="20"/>
                <w:color w:val="auto"/>
              </w:rPr>
            </w:pPr>
            <w:r>
              <w:rPr>
                <w:rFonts w:ascii="Arial" w:cs="Arial" w:eastAsia="Arial" w:hAnsi="Arial"/>
                <w:sz w:val="14"/>
                <w:szCs w:val="14"/>
                <w:color w:val="auto"/>
              </w:rPr>
              <w:t>Administrative expenses</w:t>
            </w:r>
          </w:p>
        </w:tc>
        <w:tc>
          <w:tcPr>
            <w:tcW w:w="11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(452,624)</w:t>
            </w:r>
          </w:p>
        </w:tc>
        <w:tc>
          <w:tcPr>
            <w:tcW w:w="10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(516,669)</w:t>
            </w:r>
          </w:p>
        </w:tc>
        <w:tc>
          <w:tcPr>
            <w:tcW w:w="11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(634,281)</w:t>
            </w:r>
          </w:p>
        </w:tc>
        <w:tc>
          <w:tcPr>
            <w:tcW w:w="110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22.8%</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40.1%</w:t>
            </w:r>
          </w:p>
        </w:tc>
        <w:tc>
          <w:tcPr>
            <w:tcW w:w="110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(1,241,305)</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(1,584,666)</w:t>
            </w:r>
          </w:p>
        </w:tc>
        <w:tc>
          <w:tcPr>
            <w:tcW w:w="13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tcPr>
          <w:p>
            <w:pPr>
              <w:ind w:left="240"/>
              <w:spacing w:after="0" w:line="145" w:lineRule="exact"/>
              <w:rPr>
                <w:sz w:val="20"/>
                <w:szCs w:val="20"/>
                <w:color w:val="auto"/>
              </w:rPr>
            </w:pPr>
            <w:r>
              <w:rPr>
                <w:rFonts w:ascii="Arial" w:cs="Arial" w:eastAsia="Arial" w:hAnsi="Arial"/>
                <w:sz w:val="14"/>
                <w:szCs w:val="14"/>
                <w:color w:val="auto"/>
              </w:rPr>
              <w:t>Depreciation and amortization</w:t>
            </w:r>
          </w:p>
        </w:tc>
        <w:tc>
          <w:tcPr>
            <w:tcW w:w="11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(127,028)</w:t>
            </w:r>
          </w:p>
        </w:tc>
        <w:tc>
          <w:tcPr>
            <w:tcW w:w="10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(125,592)</w:t>
            </w:r>
          </w:p>
        </w:tc>
        <w:tc>
          <w:tcPr>
            <w:tcW w:w="11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(131,420)</w:t>
            </w:r>
          </w:p>
        </w:tc>
        <w:tc>
          <w:tcPr>
            <w:tcW w:w="110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4.6%</w:t>
            </w:r>
          </w:p>
        </w:tc>
        <w:tc>
          <w:tcPr>
            <w:tcW w:w="240" w:type="dxa"/>
            <w:vAlign w:val="bottom"/>
          </w:tcPr>
          <w:p>
            <w:pPr>
              <w:spacing w:after="0"/>
              <w:rPr>
                <w:sz w:val="12"/>
                <w:szCs w:val="12"/>
                <w:color w:val="auto"/>
              </w:rPr>
            </w:pPr>
          </w:p>
        </w:tc>
        <w:tc>
          <w:tcPr>
            <w:tcW w:w="88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3.5%</w:t>
            </w:r>
          </w:p>
        </w:tc>
        <w:tc>
          <w:tcPr>
            <w:tcW w:w="110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(391,175)</w:t>
            </w: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(384,590)</w:t>
            </w:r>
          </w:p>
        </w:tc>
        <w:tc>
          <w:tcPr>
            <w:tcW w:w="1380" w:type="dxa"/>
            <w:vAlign w:val="bottom"/>
            <w:gridSpan w:val="3"/>
          </w:tcPr>
          <w:p>
            <w:pPr>
              <w:jc w:val="right"/>
              <w:ind w:right="20"/>
              <w:spacing w:after="0" w:line="145"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shd w:val="clear" w:color="auto" w:fill="CCEEFF"/>
          </w:tcPr>
          <w:p>
            <w:pPr>
              <w:ind w:left="240"/>
              <w:spacing w:after="0" w:line="145" w:lineRule="exact"/>
              <w:rPr>
                <w:sz w:val="20"/>
                <w:szCs w:val="20"/>
                <w:color w:val="auto"/>
              </w:rPr>
            </w:pPr>
            <w:r>
              <w:rPr>
                <w:rFonts w:ascii="Arial" w:cs="Arial" w:eastAsia="Arial" w:hAnsi="Arial"/>
                <w:sz w:val="14"/>
                <w:szCs w:val="14"/>
                <w:color w:val="auto"/>
              </w:rPr>
              <w:t>Other expenses</w:t>
            </w:r>
          </w:p>
        </w:tc>
        <w:tc>
          <w:tcPr>
            <w:tcW w:w="11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(86,663)</w:t>
            </w:r>
          </w:p>
        </w:tc>
        <w:tc>
          <w:tcPr>
            <w:tcW w:w="10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(59,093)</w:t>
            </w:r>
          </w:p>
        </w:tc>
        <w:tc>
          <w:tcPr>
            <w:tcW w:w="11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(50,893)</w:t>
            </w:r>
          </w:p>
        </w:tc>
        <w:tc>
          <w:tcPr>
            <w:tcW w:w="110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-13.9%</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-41.3%</w:t>
            </w:r>
          </w:p>
        </w:tc>
        <w:tc>
          <w:tcPr>
            <w:tcW w:w="110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(315,412)</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(159,163)</w:t>
            </w:r>
          </w:p>
        </w:tc>
        <w:tc>
          <w:tcPr>
            <w:tcW w:w="13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tcPr>
          <w:p>
            <w:pPr>
              <w:ind w:left="240"/>
              <w:spacing w:after="0" w:line="145" w:lineRule="exact"/>
              <w:rPr>
                <w:sz w:val="20"/>
                <w:szCs w:val="20"/>
                <w:color w:val="auto"/>
              </w:rPr>
            </w:pPr>
            <w:r>
              <w:rPr>
                <w:rFonts w:ascii="Arial" w:cs="Arial" w:eastAsia="Arial" w:hAnsi="Arial"/>
                <w:sz w:val="14"/>
                <w:szCs w:val="14"/>
                <w:b w:val="1"/>
                <w:bCs w:val="1"/>
                <w:color w:val="auto"/>
              </w:rPr>
              <w:t>Total expenses</w:t>
            </w:r>
          </w:p>
        </w:tc>
        <w:tc>
          <w:tcPr>
            <w:tcW w:w="1100" w:type="dxa"/>
            <w:vAlign w:val="bottom"/>
            <w:gridSpan w:val="2"/>
          </w:tcPr>
          <w:p>
            <w:pPr>
              <w:jc w:val="right"/>
              <w:ind w:right="180"/>
              <w:spacing w:after="0" w:line="145" w:lineRule="exact"/>
              <w:rPr>
                <w:sz w:val="20"/>
                <w:szCs w:val="20"/>
                <w:color w:val="auto"/>
              </w:rPr>
            </w:pPr>
            <w:r>
              <w:rPr>
                <w:rFonts w:ascii="Arial" w:cs="Arial" w:eastAsia="Arial" w:hAnsi="Arial"/>
                <w:sz w:val="14"/>
                <w:szCs w:val="14"/>
                <w:b w:val="1"/>
                <w:bCs w:val="1"/>
                <w:color w:val="auto"/>
              </w:rPr>
              <w:t>(1,234,910)</w:t>
            </w:r>
          </w:p>
        </w:tc>
        <w:tc>
          <w:tcPr>
            <w:tcW w:w="1080" w:type="dxa"/>
            <w:vAlign w:val="bottom"/>
            <w:gridSpan w:val="2"/>
          </w:tcPr>
          <w:p>
            <w:pPr>
              <w:jc w:val="right"/>
              <w:ind w:right="160"/>
              <w:spacing w:after="0" w:line="145" w:lineRule="exact"/>
              <w:rPr>
                <w:sz w:val="20"/>
                <w:szCs w:val="20"/>
                <w:color w:val="auto"/>
              </w:rPr>
            </w:pPr>
            <w:r>
              <w:rPr>
                <w:rFonts w:ascii="Arial" w:cs="Arial" w:eastAsia="Arial" w:hAnsi="Arial"/>
                <w:sz w:val="14"/>
                <w:szCs w:val="14"/>
                <w:b w:val="1"/>
                <w:bCs w:val="1"/>
                <w:color w:val="auto"/>
              </w:rPr>
              <w:t>(1,333,990)</w:t>
            </w:r>
          </w:p>
        </w:tc>
        <w:tc>
          <w:tcPr>
            <w:tcW w:w="1100" w:type="dxa"/>
            <w:vAlign w:val="bottom"/>
            <w:gridSpan w:val="2"/>
          </w:tcPr>
          <w:p>
            <w:pPr>
              <w:jc w:val="right"/>
              <w:ind w:right="180"/>
              <w:spacing w:after="0" w:line="145" w:lineRule="exact"/>
              <w:rPr>
                <w:sz w:val="20"/>
                <w:szCs w:val="20"/>
                <w:color w:val="auto"/>
              </w:rPr>
            </w:pPr>
            <w:r>
              <w:rPr>
                <w:rFonts w:ascii="Arial" w:cs="Arial" w:eastAsia="Arial" w:hAnsi="Arial"/>
                <w:sz w:val="14"/>
                <w:szCs w:val="14"/>
                <w:b w:val="1"/>
                <w:bCs w:val="1"/>
                <w:color w:val="auto"/>
              </w:rPr>
              <w:t>(1,446,404)</w:t>
            </w:r>
          </w:p>
        </w:tc>
        <w:tc>
          <w:tcPr>
            <w:tcW w:w="1100" w:type="dxa"/>
            <w:vAlign w:val="bottom"/>
            <w:gridSpan w:val="2"/>
          </w:tcPr>
          <w:p>
            <w:pPr>
              <w:jc w:val="right"/>
              <w:ind w:right="100"/>
              <w:spacing w:after="0" w:line="145" w:lineRule="exact"/>
              <w:rPr>
                <w:sz w:val="20"/>
                <w:szCs w:val="20"/>
                <w:color w:val="auto"/>
              </w:rPr>
            </w:pPr>
            <w:r>
              <w:rPr>
                <w:rFonts w:ascii="Arial" w:cs="Arial" w:eastAsia="Arial" w:hAnsi="Arial"/>
                <w:sz w:val="14"/>
                <w:szCs w:val="14"/>
                <w:b w:val="1"/>
                <w:bCs w:val="1"/>
                <w:color w:val="auto"/>
              </w:rPr>
              <w:t>8.4%</w:t>
            </w:r>
          </w:p>
        </w:tc>
        <w:tc>
          <w:tcPr>
            <w:tcW w:w="240" w:type="dxa"/>
            <w:vAlign w:val="bottom"/>
          </w:tcPr>
          <w:p>
            <w:pPr>
              <w:spacing w:after="0"/>
              <w:rPr>
                <w:sz w:val="12"/>
                <w:szCs w:val="12"/>
                <w:color w:val="auto"/>
              </w:rPr>
            </w:pPr>
          </w:p>
        </w:tc>
        <w:tc>
          <w:tcPr>
            <w:tcW w:w="880" w:type="dxa"/>
            <w:vAlign w:val="bottom"/>
            <w:gridSpan w:val="2"/>
          </w:tcPr>
          <w:p>
            <w:pPr>
              <w:jc w:val="right"/>
              <w:ind w:right="100"/>
              <w:spacing w:after="0" w:line="145" w:lineRule="exact"/>
              <w:rPr>
                <w:sz w:val="20"/>
                <w:szCs w:val="20"/>
                <w:color w:val="auto"/>
              </w:rPr>
            </w:pPr>
            <w:r>
              <w:rPr>
                <w:rFonts w:ascii="Arial" w:cs="Arial" w:eastAsia="Arial" w:hAnsi="Arial"/>
                <w:sz w:val="14"/>
                <w:szCs w:val="14"/>
                <w:b w:val="1"/>
                <w:bCs w:val="1"/>
                <w:color w:val="auto"/>
              </w:rPr>
              <w:t>17.1%</w:t>
            </w:r>
          </w:p>
        </w:tc>
        <w:tc>
          <w:tcPr>
            <w:tcW w:w="1100" w:type="dxa"/>
            <w:vAlign w:val="bottom"/>
            <w:gridSpan w:val="2"/>
          </w:tcPr>
          <w:p>
            <w:pPr>
              <w:jc w:val="right"/>
              <w:ind w:right="160"/>
              <w:spacing w:after="0" w:line="145" w:lineRule="exact"/>
              <w:rPr>
                <w:sz w:val="20"/>
                <w:szCs w:val="20"/>
                <w:color w:val="auto"/>
              </w:rPr>
            </w:pPr>
            <w:r>
              <w:rPr>
                <w:rFonts w:ascii="Arial" w:cs="Arial" w:eastAsia="Arial" w:hAnsi="Arial"/>
                <w:sz w:val="14"/>
                <w:szCs w:val="14"/>
                <w:b w:val="1"/>
                <w:bCs w:val="1"/>
                <w:color w:val="auto"/>
              </w:rPr>
              <w:t>(3,764,154)</w:t>
            </w: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5" w:lineRule="exact"/>
              <w:rPr>
                <w:sz w:val="20"/>
                <w:szCs w:val="20"/>
                <w:color w:val="auto"/>
              </w:rPr>
            </w:pPr>
            <w:r>
              <w:rPr>
                <w:rFonts w:ascii="Arial" w:cs="Arial" w:eastAsia="Arial" w:hAnsi="Arial"/>
                <w:sz w:val="14"/>
                <w:szCs w:val="14"/>
                <w:b w:val="1"/>
                <w:bCs w:val="1"/>
                <w:color w:val="auto"/>
              </w:rPr>
              <w:t>(3,994,040)</w:t>
            </w:r>
          </w:p>
        </w:tc>
        <w:tc>
          <w:tcPr>
            <w:tcW w:w="1380" w:type="dxa"/>
            <w:vAlign w:val="bottom"/>
            <w:gridSpan w:val="3"/>
          </w:tcPr>
          <w:p>
            <w:pPr>
              <w:jc w:val="right"/>
              <w:spacing w:after="0" w:line="145" w:lineRule="exact"/>
              <w:rPr>
                <w:sz w:val="20"/>
                <w:szCs w:val="20"/>
                <w:color w:val="auto"/>
              </w:rPr>
            </w:pPr>
            <w:r>
              <w:rPr>
                <w:rFonts w:ascii="Arial" w:cs="Arial" w:eastAsia="Arial" w:hAnsi="Arial"/>
                <w:sz w:val="14"/>
                <w:szCs w:val="14"/>
                <w:b w:val="1"/>
                <w:bCs w:val="1"/>
                <w:color w:val="auto"/>
              </w:rPr>
              <w:t>6.1%</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240" w:type="dxa"/>
            <w:vAlign w:val="bottom"/>
          </w:tcPr>
          <w:p>
            <w:pPr>
              <w:spacing w:after="0" w:line="145" w:lineRule="exact"/>
              <w:rPr>
                <w:sz w:val="20"/>
                <w:szCs w:val="20"/>
                <w:color w:val="auto"/>
              </w:rPr>
            </w:pPr>
            <w:r>
              <w:rPr>
                <w:rFonts w:ascii="Arial" w:cs="Arial" w:eastAsia="Arial" w:hAnsi="Arial"/>
                <w:sz w:val="14"/>
                <w:szCs w:val="14"/>
                <w:b w:val="1"/>
                <w:bCs w:val="1"/>
                <w:color w:val="auto"/>
              </w:rPr>
              <w:t>Profit before income tax</w:t>
            </w:r>
          </w:p>
        </w:tc>
        <w:tc>
          <w:tcPr>
            <w:tcW w:w="1100" w:type="dxa"/>
            <w:vAlign w:val="bottom"/>
            <w:gridSpan w:val="2"/>
          </w:tcPr>
          <w:p>
            <w:pPr>
              <w:jc w:val="right"/>
              <w:ind w:right="220"/>
              <w:spacing w:after="0" w:line="145" w:lineRule="exact"/>
              <w:rPr>
                <w:sz w:val="20"/>
                <w:szCs w:val="20"/>
                <w:color w:val="auto"/>
              </w:rPr>
            </w:pPr>
            <w:r>
              <w:rPr>
                <w:rFonts w:ascii="Arial" w:cs="Arial" w:eastAsia="Arial" w:hAnsi="Arial"/>
                <w:sz w:val="14"/>
                <w:szCs w:val="14"/>
                <w:b w:val="1"/>
                <w:bCs w:val="1"/>
                <w:color w:val="auto"/>
              </w:rPr>
              <w:t>301,642</w:t>
            </w:r>
          </w:p>
        </w:tc>
        <w:tc>
          <w:tcPr>
            <w:tcW w:w="1080" w:type="dxa"/>
            <w:vAlign w:val="bottom"/>
            <w:gridSpan w:val="2"/>
          </w:tcPr>
          <w:p>
            <w:pPr>
              <w:jc w:val="right"/>
              <w:ind w:right="200"/>
              <w:spacing w:after="0" w:line="145" w:lineRule="exact"/>
              <w:rPr>
                <w:sz w:val="20"/>
                <w:szCs w:val="20"/>
                <w:color w:val="auto"/>
              </w:rPr>
            </w:pPr>
            <w:r>
              <w:rPr>
                <w:rFonts w:ascii="Arial" w:cs="Arial" w:eastAsia="Arial" w:hAnsi="Arial"/>
                <w:sz w:val="14"/>
                <w:szCs w:val="14"/>
                <w:b w:val="1"/>
                <w:bCs w:val="1"/>
                <w:color w:val="auto"/>
              </w:rPr>
              <w:t>1,156,158</w:t>
            </w:r>
          </w:p>
        </w:tc>
        <w:tc>
          <w:tcPr>
            <w:tcW w:w="88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1,432,196</w:t>
            </w:r>
          </w:p>
        </w:tc>
        <w:tc>
          <w:tcPr>
            <w:tcW w:w="220" w:type="dxa"/>
            <w:vAlign w:val="bottom"/>
          </w:tcPr>
          <w:p>
            <w:pPr>
              <w:spacing w:after="0"/>
              <w:rPr>
                <w:sz w:val="12"/>
                <w:szCs w:val="12"/>
                <w:color w:val="auto"/>
              </w:rPr>
            </w:pPr>
          </w:p>
        </w:tc>
        <w:tc>
          <w:tcPr>
            <w:tcW w:w="1100" w:type="dxa"/>
            <w:vAlign w:val="bottom"/>
            <w:gridSpan w:val="2"/>
          </w:tcPr>
          <w:p>
            <w:pPr>
              <w:jc w:val="right"/>
              <w:ind w:right="100"/>
              <w:spacing w:after="0" w:line="145" w:lineRule="exact"/>
              <w:rPr>
                <w:sz w:val="20"/>
                <w:szCs w:val="20"/>
                <w:color w:val="auto"/>
              </w:rPr>
            </w:pPr>
            <w:r>
              <w:rPr>
                <w:rFonts w:ascii="Arial" w:cs="Arial" w:eastAsia="Arial" w:hAnsi="Arial"/>
                <w:sz w:val="14"/>
                <w:szCs w:val="14"/>
                <w:b w:val="1"/>
                <w:bCs w:val="1"/>
                <w:color w:val="auto"/>
              </w:rPr>
              <w:t>23.9%</w:t>
            </w:r>
          </w:p>
        </w:tc>
        <w:tc>
          <w:tcPr>
            <w:tcW w:w="240" w:type="dxa"/>
            <w:vAlign w:val="bottom"/>
          </w:tcPr>
          <w:p>
            <w:pPr>
              <w:spacing w:after="0"/>
              <w:rPr>
                <w:sz w:val="12"/>
                <w:szCs w:val="12"/>
                <w:color w:val="auto"/>
              </w:rPr>
            </w:pPr>
          </w:p>
        </w:tc>
        <w:tc>
          <w:tcPr>
            <w:tcW w:w="880" w:type="dxa"/>
            <w:vAlign w:val="bottom"/>
            <w:gridSpan w:val="2"/>
          </w:tcPr>
          <w:p>
            <w:pPr>
              <w:jc w:val="right"/>
              <w:ind w:right="100"/>
              <w:spacing w:after="0" w:line="145" w:lineRule="exact"/>
              <w:rPr>
                <w:sz w:val="20"/>
                <w:szCs w:val="20"/>
                <w:color w:val="auto"/>
              </w:rPr>
            </w:pPr>
            <w:r>
              <w:rPr>
                <w:rFonts w:ascii="Arial" w:cs="Arial" w:eastAsia="Arial" w:hAnsi="Arial"/>
                <w:sz w:val="14"/>
                <w:szCs w:val="14"/>
                <w:b w:val="1"/>
                <w:bCs w:val="1"/>
                <w:color w:val="auto"/>
              </w:rPr>
              <w:t>374.8%</w:t>
            </w:r>
          </w:p>
        </w:tc>
        <w:tc>
          <w:tcPr>
            <w:tcW w:w="1100" w:type="dxa"/>
            <w:vAlign w:val="bottom"/>
            <w:gridSpan w:val="2"/>
          </w:tcPr>
          <w:p>
            <w:pPr>
              <w:jc w:val="right"/>
              <w:ind w:right="160"/>
              <w:spacing w:after="0" w:line="145" w:lineRule="exact"/>
              <w:rPr>
                <w:sz w:val="20"/>
                <w:szCs w:val="20"/>
                <w:color w:val="auto"/>
              </w:rPr>
            </w:pPr>
            <w:r>
              <w:rPr>
                <w:rFonts w:ascii="Arial" w:cs="Arial" w:eastAsia="Arial" w:hAnsi="Arial"/>
                <w:sz w:val="14"/>
                <w:szCs w:val="14"/>
                <w:b w:val="1"/>
                <w:bCs w:val="1"/>
                <w:color w:val="auto"/>
              </w:rPr>
              <w:t>(659,442)</w:t>
            </w:r>
          </w:p>
        </w:tc>
        <w:tc>
          <w:tcPr>
            <w:tcW w:w="14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3,618,782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140"/>
              <w:spacing w:after="0" w:line="145" w:lineRule="exact"/>
              <w:rPr>
                <w:sz w:val="20"/>
                <w:szCs w:val="20"/>
                <w:color w:val="auto"/>
              </w:rPr>
            </w:pPr>
            <w:r>
              <w:rPr>
                <w:rFonts w:ascii="Arial" w:cs="Arial" w:eastAsia="Arial" w:hAnsi="Arial"/>
                <w:sz w:val="14"/>
                <w:szCs w:val="14"/>
                <w:b w:val="1"/>
                <w:bCs w:val="1"/>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tcPr>
          <w:p>
            <w:pPr>
              <w:ind w:left="240"/>
              <w:spacing w:after="0" w:line="145" w:lineRule="exact"/>
              <w:rPr>
                <w:sz w:val="20"/>
                <w:szCs w:val="20"/>
                <w:color w:val="auto"/>
              </w:rPr>
            </w:pPr>
            <w:r>
              <w:rPr>
                <w:rFonts w:ascii="Arial" w:cs="Arial" w:eastAsia="Arial" w:hAnsi="Arial"/>
                <w:sz w:val="14"/>
                <w:szCs w:val="14"/>
                <w:color w:val="auto"/>
              </w:rPr>
              <w:t>Income tax</w:t>
            </w:r>
          </w:p>
        </w:tc>
        <w:tc>
          <w:tcPr>
            <w:tcW w:w="11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(32,021)</w:t>
            </w:r>
          </w:p>
        </w:tc>
        <w:tc>
          <w:tcPr>
            <w:tcW w:w="10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(356,194)</w:t>
            </w:r>
          </w:p>
        </w:tc>
        <w:tc>
          <w:tcPr>
            <w:tcW w:w="11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(371,383)</w:t>
            </w:r>
          </w:p>
        </w:tc>
        <w:tc>
          <w:tcPr>
            <w:tcW w:w="110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4.3%</w:t>
            </w:r>
          </w:p>
        </w:tc>
        <w:tc>
          <w:tcPr>
            <w:tcW w:w="240" w:type="dxa"/>
            <w:vAlign w:val="bottom"/>
          </w:tcPr>
          <w:p>
            <w:pPr>
              <w:spacing w:after="0"/>
              <w:rPr>
                <w:sz w:val="12"/>
                <w:szCs w:val="12"/>
                <w:color w:val="auto"/>
              </w:rPr>
            </w:pPr>
          </w:p>
        </w:tc>
        <w:tc>
          <w:tcPr>
            <w:tcW w:w="88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1059.8%</w:t>
            </w:r>
          </w:p>
        </w:tc>
        <w:tc>
          <w:tcPr>
            <w:tcW w:w="110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292,510</w:t>
            </w: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(1,002,375)</w:t>
            </w:r>
          </w:p>
        </w:tc>
        <w:tc>
          <w:tcPr>
            <w:tcW w:w="80" w:type="dxa"/>
            <w:vAlign w:val="bottom"/>
          </w:tcPr>
          <w:p>
            <w:pPr>
              <w:spacing w:after="0"/>
              <w:rPr>
                <w:sz w:val="12"/>
                <w:szCs w:val="12"/>
                <w:color w:val="auto"/>
              </w:rPr>
            </w:pPr>
          </w:p>
        </w:tc>
        <w:tc>
          <w:tcPr>
            <w:tcW w:w="13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Net profit</w:t>
            </w:r>
          </w:p>
        </w:tc>
        <w:tc>
          <w:tcPr>
            <w:tcW w:w="11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b w:val="1"/>
                <w:bCs w:val="1"/>
                <w:color w:val="auto"/>
              </w:rPr>
              <w:t>269,621</w:t>
            </w:r>
          </w:p>
        </w:tc>
        <w:tc>
          <w:tcPr>
            <w:tcW w:w="10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b w:val="1"/>
                <w:bCs w:val="1"/>
                <w:color w:val="auto"/>
              </w:rPr>
              <w:t>799,964</w:t>
            </w: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b w:val="1"/>
                <w:bCs w:val="1"/>
                <w:color w:val="auto"/>
              </w:rPr>
              <w:t>1,060,813</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b w:val="1"/>
                <w:bCs w:val="1"/>
                <w:color w:val="auto"/>
              </w:rPr>
              <w:t>32.6%</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b w:val="1"/>
                <w:bCs w:val="1"/>
                <w:color w:val="auto"/>
              </w:rPr>
              <w:t>293.4%</w:t>
            </w:r>
          </w:p>
        </w:tc>
        <w:tc>
          <w:tcPr>
            <w:tcW w:w="110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b w:val="1"/>
                <w:bCs w:val="1"/>
                <w:color w:val="auto"/>
              </w:rPr>
              <w:t>(366,932)</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b w:val="1"/>
                <w:bCs w:val="1"/>
                <w:color w:val="auto"/>
              </w:rPr>
              <w:t>2,616,407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b w:val="1"/>
                <w:bCs w:val="1"/>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tcPr>
          <w:p>
            <w:pPr>
              <w:spacing w:after="0" w:line="145" w:lineRule="exact"/>
              <w:rPr>
                <w:sz w:val="20"/>
                <w:szCs w:val="20"/>
                <w:color w:val="auto"/>
              </w:rPr>
            </w:pPr>
            <w:r>
              <w:rPr>
                <w:rFonts w:ascii="Arial" w:cs="Arial" w:eastAsia="Arial" w:hAnsi="Arial"/>
                <w:sz w:val="14"/>
                <w:szCs w:val="14"/>
                <w:color w:val="auto"/>
              </w:rPr>
              <w:t>Non-controlling interest</w:t>
            </w:r>
          </w:p>
        </w:tc>
        <w:tc>
          <w:tcPr>
            <w:tcW w:w="110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8,220</w:t>
            </w:r>
          </w:p>
        </w:tc>
        <w:tc>
          <w:tcPr>
            <w:tcW w:w="10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(2,742)</w:t>
            </w:r>
          </w:p>
        </w:tc>
        <w:tc>
          <w:tcPr>
            <w:tcW w:w="11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(3,838)</w:t>
            </w:r>
          </w:p>
        </w:tc>
        <w:tc>
          <w:tcPr>
            <w:tcW w:w="110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40.0%</w:t>
            </w:r>
          </w:p>
        </w:tc>
        <w:tc>
          <w:tcPr>
            <w:tcW w:w="240" w:type="dxa"/>
            <w:vAlign w:val="bottom"/>
          </w:tcPr>
          <w:p>
            <w:pPr>
              <w:spacing w:after="0"/>
              <w:rPr>
                <w:sz w:val="12"/>
                <w:szCs w:val="12"/>
                <w:color w:val="auto"/>
              </w:rPr>
            </w:pPr>
          </w:p>
        </w:tc>
        <w:tc>
          <w:tcPr>
            <w:tcW w:w="88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n.a.</w:t>
            </w:r>
          </w:p>
        </w:tc>
        <w:tc>
          <w:tcPr>
            <w:tcW w:w="110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20,952</w:t>
            </w: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(7,160)</w:t>
            </w:r>
          </w:p>
        </w:tc>
        <w:tc>
          <w:tcPr>
            <w:tcW w:w="80" w:type="dxa"/>
            <w:vAlign w:val="bottom"/>
          </w:tcPr>
          <w:p>
            <w:pPr>
              <w:spacing w:after="0"/>
              <w:rPr>
                <w:sz w:val="12"/>
                <w:szCs w:val="12"/>
                <w:color w:val="auto"/>
              </w:rPr>
            </w:pPr>
          </w:p>
        </w:tc>
        <w:tc>
          <w:tcPr>
            <w:tcW w:w="13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40" w:type="dxa"/>
            <w:vAlign w:val="bottom"/>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Net profit attributable to BCP</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277,841</w:t>
            </w:r>
          </w:p>
        </w:tc>
        <w:tc>
          <w:tcPr>
            <w:tcW w:w="10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797,222</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1,056,975</w:t>
            </w:r>
          </w:p>
        </w:tc>
        <w:tc>
          <w:tcPr>
            <w:tcW w:w="22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32.6%</w:t>
            </w:r>
          </w:p>
        </w:tc>
        <w:tc>
          <w:tcPr>
            <w:tcW w:w="2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280.4%</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(345,980)</w:t>
            </w: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2,609,247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Consolidated</w:t>
            </w:r>
          </w:p>
        </w:tc>
        <w:tc>
          <w:tcPr>
            <w:tcW w:w="11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Quarter</w:t>
            </w:r>
          </w:p>
        </w:tc>
        <w:tc>
          <w:tcPr>
            <w:tcW w:w="11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Borders>
              <w:bottom w:val="single" w:sz="8" w:color="auto"/>
            </w:tcBorders>
            <w:gridSpan w:val="3"/>
          </w:tcPr>
          <w:p>
            <w:pPr>
              <w:ind w:left="1060"/>
              <w:spacing w:after="0"/>
              <w:rPr>
                <w:sz w:val="20"/>
                <w:szCs w:val="20"/>
                <w:color w:val="auto"/>
              </w:rPr>
            </w:pPr>
            <w:r>
              <w:rPr>
                <w:rFonts w:ascii="Arial" w:cs="Arial" w:eastAsia="Arial" w:hAnsi="Arial"/>
                <w:sz w:val="18"/>
                <w:szCs w:val="18"/>
                <w:b w:val="1"/>
                <w:bCs w:val="1"/>
                <w:color w:val="auto"/>
              </w:rPr>
              <w:t>YTD</w:t>
            </w:r>
          </w:p>
        </w:tc>
        <w:tc>
          <w:tcPr>
            <w:tcW w:w="9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3Q20</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2Q21</w:t>
            </w:r>
          </w:p>
        </w:tc>
        <w:tc>
          <w:tcPr>
            <w:tcW w:w="1100" w:type="dxa"/>
            <w:vAlign w:val="bottom"/>
          </w:tcPr>
          <w:p>
            <w:pPr>
              <w:jc w:val="right"/>
              <w:ind w:right="252"/>
              <w:spacing w:after="0"/>
              <w:rPr>
                <w:sz w:val="20"/>
                <w:szCs w:val="20"/>
                <w:color w:val="auto"/>
              </w:rPr>
            </w:pPr>
            <w:r>
              <w:rPr>
                <w:rFonts w:ascii="Arial" w:cs="Arial" w:eastAsia="Arial" w:hAnsi="Arial"/>
                <w:sz w:val="18"/>
                <w:szCs w:val="18"/>
                <w:b w:val="1"/>
                <w:bCs w:val="1"/>
                <w:color w:val="auto"/>
              </w:rPr>
              <w:t>3Q21</w:t>
            </w:r>
          </w:p>
        </w:tc>
        <w:tc>
          <w:tcPr>
            <w:tcW w:w="280" w:type="dxa"/>
            <w:vAlign w:val="bottom"/>
          </w:tcPr>
          <w:p>
            <w:pPr>
              <w:spacing w:after="0"/>
              <w:rPr>
                <w:sz w:val="18"/>
                <w:szCs w:val="18"/>
                <w:color w:val="auto"/>
              </w:rPr>
            </w:pPr>
          </w:p>
        </w:tc>
        <w:tc>
          <w:tcPr>
            <w:tcW w:w="1560" w:type="dxa"/>
            <w:vAlign w:val="bottom"/>
            <w:gridSpan w:val="3"/>
          </w:tcPr>
          <w:p>
            <w:pPr>
              <w:ind w:left="300"/>
              <w:spacing w:after="0"/>
              <w:rPr>
                <w:sz w:val="20"/>
                <w:szCs w:val="20"/>
                <w:color w:val="auto"/>
              </w:rPr>
            </w:pPr>
            <w:r>
              <w:rPr>
                <w:rFonts w:ascii="Arial" w:cs="Arial" w:eastAsia="Arial" w:hAnsi="Arial"/>
                <w:sz w:val="18"/>
                <w:szCs w:val="18"/>
                <w:b w:val="1"/>
                <w:bCs w:val="1"/>
                <w:color w:val="auto"/>
              </w:rPr>
              <w:t>Sep 20</w:t>
            </w:r>
          </w:p>
        </w:tc>
        <w:tc>
          <w:tcPr>
            <w:tcW w:w="920" w:type="dxa"/>
            <w:vAlign w:val="bottom"/>
          </w:tcPr>
          <w:p>
            <w:pPr>
              <w:jc w:val="right"/>
              <w:ind w:right="212"/>
              <w:spacing w:after="0"/>
              <w:rPr>
                <w:sz w:val="20"/>
                <w:szCs w:val="20"/>
                <w:color w:val="auto"/>
              </w:rPr>
            </w:pPr>
            <w:r>
              <w:rPr>
                <w:rFonts w:ascii="Arial" w:cs="Arial" w:eastAsia="Arial" w:hAnsi="Arial"/>
                <w:sz w:val="18"/>
                <w:szCs w:val="18"/>
                <w:b w:val="1"/>
                <w:bCs w:val="1"/>
                <w:color w:val="auto"/>
              </w:rPr>
              <w:t>Sep 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Profitability</w:t>
            </w:r>
          </w:p>
        </w:tc>
        <w:tc>
          <w:tcPr>
            <w:tcW w:w="1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80" w:type="dxa"/>
            <w:vAlign w:val="bottom"/>
          </w:tcPr>
          <w:p>
            <w:pPr>
              <w:spacing w:after="0" w:line="249" w:lineRule="exact"/>
              <w:rPr>
                <w:sz w:val="20"/>
                <w:szCs w:val="20"/>
                <w:color w:val="auto"/>
              </w:rPr>
            </w:pPr>
            <w:r>
              <w:rPr>
                <w:rFonts w:ascii="Arial" w:cs="Arial" w:eastAsia="Arial" w:hAnsi="Arial"/>
                <w:sz w:val="17"/>
                <w:szCs w:val="17"/>
                <w:color w:val="auto"/>
              </w:rPr>
              <w:t xml:space="preserve">Earnings per share </w:t>
            </w:r>
            <w:r>
              <w:rPr>
                <w:rFonts w:ascii="Arial" w:cs="Arial" w:eastAsia="Arial" w:hAnsi="Arial"/>
                <w:sz w:val="28"/>
                <w:szCs w:val="28"/>
                <w:color w:val="auto"/>
                <w:vertAlign w:val="superscript"/>
              </w:rPr>
              <w:t>(1)</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0.025</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0.070</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0.093</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(0.031)</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0.231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80" w:type="dxa"/>
            <w:vAlign w:val="bottom"/>
            <w:shd w:val="clear" w:color="auto" w:fill="CCEEFF"/>
          </w:tcPr>
          <w:p>
            <w:pPr>
              <w:spacing w:after="0" w:line="249" w:lineRule="exact"/>
              <w:rPr>
                <w:sz w:val="20"/>
                <w:szCs w:val="20"/>
                <w:color w:val="auto"/>
              </w:rPr>
            </w:pPr>
            <w:r>
              <w:rPr>
                <w:rFonts w:ascii="Arial" w:cs="Arial" w:eastAsia="Arial" w:hAnsi="Arial"/>
                <w:sz w:val="28"/>
                <w:szCs w:val="28"/>
                <w:color w:val="auto"/>
                <w:vertAlign w:val="subscript"/>
              </w:rPr>
              <w:t>ROAA</w:t>
            </w:r>
            <w:r>
              <w:rPr>
                <w:rFonts w:ascii="Arial" w:cs="Arial" w:eastAsia="Arial" w:hAnsi="Arial"/>
                <w:sz w:val="13"/>
                <w:szCs w:val="13"/>
                <w:color w:val="auto"/>
              </w:rPr>
              <w:t xml:space="preserve"> (2)(3)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80" w:type="dxa"/>
            <w:vAlign w:val="bottom"/>
          </w:tcPr>
          <w:p>
            <w:pPr>
              <w:spacing w:after="0" w:line="249" w:lineRule="exact"/>
              <w:rPr>
                <w:sz w:val="20"/>
                <w:szCs w:val="20"/>
                <w:color w:val="auto"/>
              </w:rPr>
            </w:pPr>
            <w:r>
              <w:rPr>
                <w:rFonts w:ascii="Arial" w:cs="Arial" w:eastAsia="Arial" w:hAnsi="Arial"/>
                <w:sz w:val="28"/>
                <w:szCs w:val="28"/>
                <w:color w:val="auto"/>
                <w:vertAlign w:val="subscript"/>
              </w:rPr>
              <w:t>ROAE</w:t>
            </w:r>
            <w:r>
              <w:rPr>
                <w:rFonts w:ascii="Arial" w:cs="Arial" w:eastAsia="Arial" w:hAnsi="Arial"/>
                <w:sz w:val="13"/>
                <w:szCs w:val="13"/>
                <w:color w:val="auto"/>
              </w:rPr>
              <w:t xml:space="preserve"> (2)(3)</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17.2%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22.0%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80" w:type="dxa"/>
            <w:vAlign w:val="bottom"/>
            <w:shd w:val="clear" w:color="auto" w:fill="CCEEFF"/>
          </w:tcPr>
          <w:p>
            <w:pPr>
              <w:spacing w:after="0" w:line="249" w:lineRule="exact"/>
              <w:rPr>
                <w:sz w:val="20"/>
                <w:szCs w:val="20"/>
                <w:color w:val="auto"/>
              </w:rPr>
            </w:pPr>
            <w:r>
              <w:rPr>
                <w:rFonts w:ascii="Arial" w:cs="Arial" w:eastAsia="Arial" w:hAnsi="Arial"/>
                <w:sz w:val="17"/>
                <w:szCs w:val="17"/>
                <w:color w:val="auto"/>
              </w:rPr>
              <w:t xml:space="preserve">Net interest margin </w:t>
            </w:r>
            <w:r>
              <w:rPr>
                <w:rFonts w:ascii="Arial" w:cs="Arial" w:eastAsia="Arial" w:hAnsi="Arial"/>
                <w:sz w:val="28"/>
                <w:szCs w:val="28"/>
                <w:color w:val="auto"/>
                <w:vertAlign w:val="superscript"/>
              </w:rPr>
              <w:t>(2)(3)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80" w:type="dxa"/>
            <w:vAlign w:val="bottom"/>
          </w:tcPr>
          <w:p>
            <w:pPr>
              <w:spacing w:after="0" w:line="249" w:lineRule="exact"/>
              <w:rPr>
                <w:sz w:val="20"/>
                <w:szCs w:val="20"/>
                <w:color w:val="auto"/>
              </w:rPr>
            </w:pPr>
            <w:r>
              <w:rPr>
                <w:rFonts w:ascii="Arial" w:cs="Arial" w:eastAsia="Arial" w:hAnsi="Arial"/>
                <w:sz w:val="17"/>
                <w:szCs w:val="17"/>
                <w:color w:val="auto"/>
              </w:rPr>
              <w:t xml:space="preserve">Risk adjusted NIM </w:t>
            </w:r>
            <w:r>
              <w:rPr>
                <w:rFonts w:ascii="Arial" w:cs="Arial" w:eastAsia="Arial" w:hAnsi="Arial"/>
                <w:sz w:val="28"/>
                <w:szCs w:val="28"/>
                <w:color w:val="auto"/>
                <w:vertAlign w:val="superscript"/>
              </w:rPr>
              <w:t>(2)(3)</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1.52%</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3.28%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0.63%</w:t>
            </w:r>
          </w:p>
        </w:tc>
        <w:tc>
          <w:tcPr>
            <w:tcW w:w="2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80" w:type="dxa"/>
            <w:vAlign w:val="bottom"/>
            <w:shd w:val="clear" w:color="auto" w:fill="CCEEFF"/>
          </w:tcPr>
          <w:p>
            <w:pPr>
              <w:spacing w:after="0" w:line="249" w:lineRule="exact"/>
              <w:rPr>
                <w:sz w:val="20"/>
                <w:szCs w:val="20"/>
                <w:color w:val="auto"/>
              </w:rPr>
            </w:pPr>
            <w:r>
              <w:rPr>
                <w:rFonts w:ascii="Arial" w:cs="Arial" w:eastAsia="Arial" w:hAnsi="Arial"/>
                <w:sz w:val="17"/>
                <w:szCs w:val="17"/>
                <w:color w:val="auto"/>
              </w:rPr>
              <w:t xml:space="preserve">Funding Cost </w:t>
            </w:r>
            <w:r>
              <w:rPr>
                <w:rFonts w:ascii="Arial" w:cs="Arial" w:eastAsia="Arial" w:hAnsi="Arial"/>
                <w:sz w:val="28"/>
                <w:szCs w:val="28"/>
                <w:color w:val="auto"/>
                <w:vertAlign w:val="superscript"/>
              </w:rPr>
              <w:t>(2)(3)(4)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Quality of loan portfolio</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IOL ratio</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3.03%</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3.71%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3.68%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NPL ratio</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Coverage of IOLs</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214.7%</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196.1%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182.6%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214.7%</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Coverage of NPLs</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80" w:type="dxa"/>
            <w:vAlign w:val="bottom"/>
          </w:tcPr>
          <w:p>
            <w:pPr>
              <w:spacing w:after="0" w:line="249" w:lineRule="exact"/>
              <w:rPr>
                <w:sz w:val="20"/>
                <w:szCs w:val="20"/>
                <w:color w:val="auto"/>
              </w:rPr>
            </w:pPr>
            <w:r>
              <w:rPr>
                <w:rFonts w:ascii="Arial" w:cs="Arial" w:eastAsia="Arial" w:hAnsi="Arial"/>
                <w:sz w:val="17"/>
                <w:szCs w:val="17"/>
                <w:color w:val="auto"/>
              </w:rPr>
              <w:t xml:space="preserve">Cost of risk </w:t>
            </w:r>
            <w:r>
              <w:rPr>
                <w:rFonts w:ascii="Arial" w:cs="Arial" w:eastAsia="Arial" w:hAnsi="Arial"/>
                <w:sz w:val="28"/>
                <w:szCs w:val="28"/>
                <w:color w:val="auto"/>
                <w:vertAlign w:val="superscript"/>
              </w:rPr>
              <w:t>(5)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7.94%</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1.68%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c>
          <w:tcPr>
            <w:tcW w:w="2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Operating efficiency</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80" w:type="dxa"/>
            <w:vAlign w:val="bottom"/>
            <w:shd w:val="clear" w:color="auto" w:fill="CCEEFF"/>
          </w:tcPr>
          <w:p>
            <w:pPr>
              <w:spacing w:after="0" w:line="249" w:lineRule="exact"/>
              <w:rPr>
                <w:sz w:val="20"/>
                <w:szCs w:val="20"/>
                <w:color w:val="auto"/>
              </w:rPr>
            </w:pPr>
            <w:r>
              <w:rPr>
                <w:rFonts w:ascii="Arial" w:cs="Arial" w:eastAsia="Arial" w:hAnsi="Arial"/>
                <w:sz w:val="17"/>
                <w:szCs w:val="17"/>
                <w:color w:val="auto"/>
              </w:rPr>
              <w:t xml:space="preserve">Oper. expenses as a percent. of total income - reported </w:t>
            </w:r>
            <w:r>
              <w:rPr>
                <w:rFonts w:ascii="Arial" w:cs="Arial" w:eastAsia="Arial" w:hAnsi="Arial"/>
                <w:sz w:val="28"/>
                <w:szCs w:val="28"/>
                <w:color w:val="auto"/>
                <w:vertAlign w:val="superscript"/>
              </w:rPr>
              <w:t>(6)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Arial" w:cs="Arial" w:eastAsia="Arial" w:hAnsi="Arial"/>
                <w:sz w:val="18"/>
                <w:szCs w:val="18"/>
                <w:color w:val="auto"/>
                <w:w w:val="95"/>
              </w:rPr>
              <w:t>Oper. expenses as a percent. of total income - including all</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500" w:type="dxa"/>
            <w:vAlign w:val="bottom"/>
            <w:gridSpan w:val="2"/>
          </w:tcPr>
          <w:p>
            <w:pPr>
              <w:spacing w:after="0"/>
              <w:rPr>
                <w:sz w:val="20"/>
                <w:szCs w:val="20"/>
                <w:color w:val="auto"/>
              </w:rPr>
            </w:pPr>
            <w:r>
              <w:rPr>
                <w:rFonts w:ascii="Arial" w:cs="Arial" w:eastAsia="Arial" w:hAnsi="Arial"/>
                <w:sz w:val="18"/>
                <w:szCs w:val="18"/>
                <w:color w:val="auto"/>
              </w:rPr>
              <w:t>other items</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45.0%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46.0%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47.7%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46.9%</w:t>
            </w:r>
          </w:p>
        </w:tc>
        <w:tc>
          <w:tcPr>
            <w:tcW w:w="2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 xml:space="preserve">Oper. expenses as a percent. of av. tot. assets </w:t>
            </w:r>
            <w:r>
              <w:rPr>
                <w:rFonts w:ascii="Arial" w:cs="Arial" w:eastAsia="Arial" w:hAnsi="Arial"/>
                <w:sz w:val="28"/>
                <w:szCs w:val="28"/>
                <w:color w:val="auto"/>
                <w:vertAlign w:val="superscript"/>
              </w:rPr>
              <w:t>(2)(3)(6)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 Information</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 of outstanding shares (Million)</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11,317</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11,317</w:t>
            </w:r>
          </w:p>
        </w:tc>
        <w:tc>
          <w:tcPr>
            <w:tcW w:w="1100" w:type="dxa"/>
            <w:vAlign w:val="bottom"/>
          </w:tcPr>
          <w:p>
            <w:pPr>
              <w:jc w:val="right"/>
              <w:spacing w:after="0"/>
              <w:rPr>
                <w:sz w:val="20"/>
                <w:szCs w:val="20"/>
                <w:color w:val="auto"/>
              </w:rPr>
            </w:pPr>
            <w:r>
              <w:rPr>
                <w:rFonts w:ascii="Arial" w:cs="Arial" w:eastAsia="Arial" w:hAnsi="Arial"/>
                <w:sz w:val="18"/>
                <w:szCs w:val="18"/>
                <w:color w:val="auto"/>
              </w:rPr>
              <w:t>11,317</w:t>
            </w:r>
          </w:p>
        </w:tc>
        <w:tc>
          <w:tcPr>
            <w:tcW w:w="28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11,317</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260" w:hanging="255"/>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Shares outstanding of 11,317 million is used for all periods since shares have been issued only for capitalization of profits.</w:t>
      </w:r>
    </w:p>
    <w:p>
      <w:pPr>
        <w:spacing w:after="0" w:line="14" w:lineRule="exact"/>
        <w:rPr>
          <w:rFonts w:ascii="Arial" w:cs="Arial" w:eastAsia="Arial" w:hAnsi="Arial"/>
          <w:sz w:val="18"/>
          <w:szCs w:val="18"/>
          <w:color w:val="auto"/>
        </w:rPr>
      </w:pPr>
    </w:p>
    <w:p>
      <w:pPr>
        <w:ind w:left="260" w:hanging="255"/>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3" w:lineRule="exact"/>
        <w:rPr>
          <w:rFonts w:ascii="Arial" w:cs="Arial" w:eastAsia="Arial" w:hAnsi="Arial"/>
          <w:sz w:val="18"/>
          <w:szCs w:val="18"/>
          <w:color w:val="auto"/>
        </w:rPr>
      </w:pPr>
    </w:p>
    <w:p>
      <w:pPr>
        <w:ind w:left="240" w:hanging="235"/>
        <w:spacing w:after="0"/>
        <w:tabs>
          <w:tab w:leader="none" w:pos="2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3" w:lineRule="exact"/>
        <w:rPr>
          <w:rFonts w:ascii="Arial" w:cs="Arial" w:eastAsia="Arial" w:hAnsi="Arial"/>
          <w:sz w:val="18"/>
          <w:szCs w:val="18"/>
          <w:color w:val="auto"/>
        </w:rPr>
      </w:pPr>
    </w:p>
    <w:p>
      <w:pPr>
        <w:ind w:firstLine="5"/>
        <w:spacing w:after="0" w:line="274" w:lineRule="auto"/>
        <w:tabs>
          <w:tab w:leader="none" w:pos="269"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funding costs differs from previously reported due to a methodoloy change in the denominator, which no longer includes the following accounts: acceptances outstanding, reserves for property and casualty claims, reserve for unearned premiums, reinsurance payable and other liabilities.</w:t>
      </w:r>
    </w:p>
    <w:p>
      <w:pPr>
        <w:ind w:left="260" w:hanging="255"/>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Cost of risk: Annualized provision for loan losses / Total loans.</w:t>
      </w:r>
    </w:p>
    <w:p>
      <w:pPr>
        <w:spacing w:after="0" w:line="3" w:lineRule="exact"/>
        <w:rPr>
          <w:rFonts w:ascii="Arial" w:cs="Arial" w:eastAsia="Arial" w:hAnsi="Arial"/>
          <w:sz w:val="18"/>
          <w:szCs w:val="18"/>
          <w:color w:val="auto"/>
        </w:rPr>
      </w:pPr>
    </w:p>
    <w:p>
      <w:pPr>
        <w:ind w:firstLine="5"/>
        <w:spacing w:after="0" w:line="308" w:lineRule="auto"/>
        <w:tabs>
          <w:tab w:leader="none" w:pos="249" w:val="left"/>
        </w:tabs>
        <w:numPr>
          <w:ilvl w:val="0"/>
          <w:numId w:val="81"/>
        </w:numPr>
        <w:rPr>
          <w:rFonts w:ascii="Arial" w:cs="Arial" w:eastAsia="Arial" w:hAnsi="Arial"/>
          <w:sz w:val="16"/>
          <w:szCs w:val="16"/>
          <w:color w:val="auto"/>
        </w:rPr>
      </w:pPr>
      <w:r>
        <w:rPr>
          <w:rFonts w:ascii="Arial" w:cs="Arial" w:eastAsia="Arial" w:hAnsi="Arial"/>
          <w:sz w:val="16"/>
          <w:szCs w:val="16"/>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28"/>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12.4. BCP Stand-alone</w:t>
            </w: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7820" w:type="dxa"/>
            <w:vAlign w:val="bottom"/>
            <w:gridSpan w:val="6"/>
          </w:tcPr>
          <w:p>
            <w:pPr>
              <w:jc w:val="center"/>
              <w:ind w:left="3273"/>
              <w:spacing w:after="0"/>
              <w:rPr>
                <w:sz w:val="20"/>
                <w:szCs w:val="20"/>
                <w:color w:val="auto"/>
              </w:rPr>
            </w:pPr>
            <w:r>
              <w:rPr>
                <w:rFonts w:ascii="Arial" w:cs="Arial" w:eastAsia="Arial" w:hAnsi="Arial"/>
                <w:sz w:val="18"/>
                <w:szCs w:val="18"/>
                <w:b w:val="1"/>
                <w:bCs w:val="1"/>
                <w:color w:val="auto"/>
                <w:w w:val="97"/>
              </w:rPr>
              <w:t>BANCO DE CREDITO DEL PERU</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gridSpan w:val="6"/>
          </w:tcPr>
          <w:p>
            <w:pPr>
              <w:jc w:val="center"/>
              <w:ind w:left="3313"/>
              <w:spacing w:after="0"/>
              <w:rPr>
                <w:sz w:val="20"/>
                <w:szCs w:val="20"/>
                <w:color w:val="auto"/>
              </w:rPr>
            </w:pPr>
            <w:r>
              <w:rPr>
                <w:rFonts w:ascii="Arial" w:cs="Arial" w:eastAsia="Arial" w:hAnsi="Arial"/>
                <w:sz w:val="18"/>
                <w:szCs w:val="18"/>
                <w:b w:val="1"/>
                <w:bCs w:val="1"/>
                <w:color w:val="auto"/>
                <w:w w:val="99"/>
              </w:rPr>
              <w:t>STATEMENT OF FINANCIAL POSITION</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(S/ thousands, IFRS)</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As of</w:t>
            </w: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w w:val="88"/>
              </w:rPr>
              <w:t>% change</w:t>
            </w:r>
          </w:p>
        </w:tc>
        <w:tc>
          <w:tcPr>
            <w:tcW w:w="6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Sep 20</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Jun 21</w:t>
            </w:r>
          </w:p>
        </w:tc>
        <w:tc>
          <w:tcPr>
            <w:tcW w:w="980" w:type="dxa"/>
            <w:vAlign w:val="bottom"/>
          </w:tcPr>
          <w:p>
            <w:pPr>
              <w:ind w:left="240"/>
              <w:spacing w:after="0"/>
              <w:rPr>
                <w:sz w:val="20"/>
                <w:szCs w:val="20"/>
                <w:color w:val="auto"/>
              </w:rPr>
            </w:pPr>
            <w:r>
              <w:rPr>
                <w:rFonts w:ascii="Arial" w:cs="Arial" w:eastAsia="Arial" w:hAnsi="Arial"/>
                <w:sz w:val="18"/>
                <w:szCs w:val="18"/>
                <w:b w:val="1"/>
                <w:bCs w:val="1"/>
                <w:color w:val="auto"/>
              </w:rPr>
              <w:t>Sep 21</w:t>
            </w:r>
          </w:p>
        </w:tc>
        <w:tc>
          <w:tcPr>
            <w:tcW w:w="220" w:type="dxa"/>
            <w:vAlign w:val="bottom"/>
          </w:tcPr>
          <w:p>
            <w:pPr>
              <w:spacing w:after="0"/>
              <w:rPr>
                <w:sz w:val="18"/>
                <w:szCs w:val="18"/>
                <w:color w:val="auto"/>
              </w:rPr>
            </w:pPr>
          </w:p>
        </w:tc>
        <w:tc>
          <w:tcPr>
            <w:tcW w:w="1400" w:type="dxa"/>
            <w:vAlign w:val="bottom"/>
            <w:gridSpan w:val="3"/>
          </w:tcPr>
          <w:p>
            <w:pPr>
              <w:ind w:left="260"/>
              <w:spacing w:after="0"/>
              <w:rPr>
                <w:sz w:val="20"/>
                <w:szCs w:val="20"/>
                <w:color w:val="auto"/>
              </w:rPr>
            </w:pPr>
            <w:r>
              <w:rPr>
                <w:rFonts w:ascii="Arial" w:cs="Arial" w:eastAsia="Arial" w:hAnsi="Arial"/>
                <w:sz w:val="18"/>
                <w:szCs w:val="18"/>
                <w:b w:val="1"/>
                <w:bCs w:val="1"/>
                <w:color w:val="auto"/>
              </w:rPr>
              <w:t>QoQ</w:t>
            </w:r>
          </w:p>
        </w:tc>
        <w:tc>
          <w:tcPr>
            <w:tcW w:w="620" w:type="dxa"/>
            <w:vAlign w:val="bottom"/>
          </w:tcPr>
          <w:p>
            <w:pPr>
              <w:jc w:val="right"/>
              <w:ind w:right="192"/>
              <w:spacing w:after="0"/>
              <w:rPr>
                <w:sz w:val="20"/>
                <w:szCs w:val="20"/>
                <w:color w:val="auto"/>
              </w:rPr>
            </w:pPr>
            <w:r>
              <w:rPr>
                <w:rFonts w:ascii="Arial" w:cs="Arial" w:eastAsia="Arial" w:hAnsi="Arial"/>
                <w:sz w:val="18"/>
                <w:szCs w:val="18"/>
                <w:b w:val="1"/>
                <w:bCs w:val="1"/>
                <w:color w:val="auto"/>
                <w:w w:val="91"/>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ASSETS</w:t>
            </w:r>
          </w:p>
        </w:tc>
        <w:tc>
          <w:tcPr>
            <w:tcW w:w="7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Non-interest bearing</w:t>
            </w:r>
          </w:p>
        </w:tc>
        <w:tc>
          <w:tcPr>
            <w:tcW w:w="1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4,571,558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6,413,791</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5,666,863</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rPr>
              <w:t>Interest bearing</w:t>
            </w:r>
          </w:p>
        </w:tc>
        <w:tc>
          <w:tcPr>
            <w:tcW w:w="1920" w:type="dxa"/>
            <w:vAlign w:val="bottom"/>
            <w:gridSpan w:val="3"/>
          </w:tcPr>
          <w:p>
            <w:pPr>
              <w:jc w:val="right"/>
              <w:ind w:right="200"/>
              <w:spacing w:after="0"/>
              <w:rPr>
                <w:sz w:val="20"/>
                <w:szCs w:val="20"/>
                <w:color w:val="auto"/>
              </w:rPr>
            </w:pPr>
            <w:r>
              <w:rPr>
                <w:rFonts w:ascii="Arial" w:cs="Arial" w:eastAsia="Arial" w:hAnsi="Arial"/>
                <w:sz w:val="18"/>
                <w:szCs w:val="18"/>
                <w:color w:val="auto"/>
              </w:rPr>
              <w:t>25,949,154</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25,585,201</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32,819,306</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28.3%</w:t>
            </w:r>
          </w:p>
        </w:tc>
        <w:tc>
          <w:tcPr>
            <w:tcW w:w="2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cash and due from banks</w:t>
            </w:r>
          </w:p>
        </w:tc>
        <w:tc>
          <w:tcPr>
            <w:tcW w:w="1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30,520,712</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31,998,992</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38,486,169</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20.3%</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70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87"/>
              </w:rPr>
              <w:t>Cash collateral, reverse repurchase agreements and securities</w:t>
            </w:r>
          </w:p>
        </w:tc>
        <w:tc>
          <w:tcPr>
            <w:tcW w:w="7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borrowing</w:t>
            </w:r>
          </w:p>
        </w:tc>
        <w:tc>
          <w:tcPr>
            <w:tcW w:w="1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1,767,692</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544,937</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1,027,761</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88.6%</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through profit or loss investments</w:t>
            </w:r>
          </w:p>
        </w:tc>
        <w:tc>
          <w:tcPr>
            <w:tcW w:w="1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1,874,577</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2,118,559</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1,406,424</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-33.6%</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w w:val="89"/>
              </w:rPr>
              <w:t>Fair value through other comprehensive income investments</w:t>
            </w:r>
          </w:p>
        </w:tc>
        <w:tc>
          <w:tcPr>
            <w:tcW w:w="19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26,341,443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24,477,519</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16,931,666</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-30.8%</w:t>
            </w:r>
          </w:p>
        </w:tc>
        <w:tc>
          <w:tcPr>
            <w:tcW w:w="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-35.7%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Amortized cost investments</w:t>
            </w:r>
          </w:p>
        </w:tc>
        <w:tc>
          <w:tcPr>
            <w:tcW w:w="1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3,958,403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7,071,197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7,307,678</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1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113,384,719</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7"/>
              </w:rPr>
              <w:t>118,872,541</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5"/>
              </w:rPr>
              <w:t>121,459,651</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rPr>
              <w:t>Current</w:t>
            </w:r>
          </w:p>
        </w:tc>
        <w:tc>
          <w:tcPr>
            <w:tcW w:w="1920" w:type="dxa"/>
            <w:vAlign w:val="bottom"/>
            <w:gridSpan w:val="3"/>
          </w:tcPr>
          <w:p>
            <w:pPr>
              <w:jc w:val="right"/>
              <w:ind w:right="200"/>
              <w:spacing w:after="0"/>
              <w:rPr>
                <w:sz w:val="20"/>
                <w:szCs w:val="20"/>
                <w:color w:val="auto"/>
              </w:rPr>
            </w:pPr>
            <w:r>
              <w:rPr>
                <w:rFonts w:ascii="Arial" w:cs="Arial" w:eastAsia="Arial" w:hAnsi="Arial"/>
                <w:sz w:val="18"/>
                <w:szCs w:val="18"/>
                <w:color w:val="auto"/>
              </w:rPr>
              <w:t>110,133,503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115,221,323</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117,256,286</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Internal overdue loans</w:t>
            </w:r>
          </w:p>
        </w:tc>
        <w:tc>
          <w:tcPr>
            <w:tcW w:w="1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3,251,216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3,651,218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4,203,365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rPr>
              <w:t>Less - allowance for loan losses</w:t>
            </w:r>
          </w:p>
        </w:tc>
        <w:tc>
          <w:tcPr>
            <w:tcW w:w="1920" w:type="dxa"/>
            <w:vAlign w:val="bottom"/>
            <w:gridSpan w:val="3"/>
          </w:tcPr>
          <w:p>
            <w:pPr>
              <w:jc w:val="right"/>
              <w:ind w:right="140"/>
              <w:spacing w:after="0"/>
              <w:rPr>
                <w:sz w:val="20"/>
                <w:szCs w:val="20"/>
                <w:color w:val="auto"/>
              </w:rPr>
            </w:pPr>
            <w:r>
              <w:rPr>
                <w:rFonts w:ascii="Arial" w:cs="Arial" w:eastAsia="Arial" w:hAnsi="Arial"/>
                <w:sz w:val="18"/>
                <w:szCs w:val="18"/>
                <w:color w:val="auto"/>
              </w:rPr>
              <w:t>(7,255,183)</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(7,124,855)</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(6,976,762)</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 net</w:t>
            </w:r>
          </w:p>
        </w:tc>
        <w:tc>
          <w:tcPr>
            <w:tcW w:w="1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106,129,536</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7"/>
              </w:rPr>
              <w:t>111,747,686</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5"/>
              </w:rPr>
              <w:t>114,482,889</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furniture and equipment, net</w:t>
            </w:r>
          </w:p>
        </w:tc>
        <w:tc>
          <w:tcPr>
            <w:tcW w:w="1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1,431,269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1,359,061</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1,328,385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9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256,238</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558,934</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776,863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39.0%</w:t>
            </w:r>
          </w:p>
        </w:tc>
        <w:tc>
          <w:tcPr>
            <w:tcW w:w="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in associates</w:t>
            </w:r>
          </w:p>
        </w:tc>
        <w:tc>
          <w:tcPr>
            <w:tcW w:w="1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1,691,592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2,142,791</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2,214,558</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700" w:type="dxa"/>
            <w:vAlign w:val="bottom"/>
          </w:tcPr>
          <w:p>
            <w:pPr>
              <w:spacing w:after="0" w:line="249" w:lineRule="exact"/>
              <w:rPr>
                <w:sz w:val="20"/>
                <w:szCs w:val="20"/>
                <w:color w:val="auto"/>
              </w:rPr>
            </w:pPr>
            <w:r>
              <w:rPr>
                <w:rFonts w:ascii="Arial" w:cs="Arial" w:eastAsia="Arial" w:hAnsi="Arial"/>
                <w:sz w:val="17"/>
                <w:szCs w:val="17"/>
                <w:b w:val="1"/>
                <w:bCs w:val="1"/>
                <w:color w:val="auto"/>
              </w:rPr>
              <w:t xml:space="preserve">Other assets </w:t>
            </w:r>
            <w:r>
              <w:rPr>
                <w:rFonts w:ascii="Arial" w:cs="Arial" w:eastAsia="Arial" w:hAnsi="Arial"/>
                <w:sz w:val="28"/>
                <w:szCs w:val="28"/>
                <w:b w:val="1"/>
                <w:bCs w:val="1"/>
                <w:color w:val="auto"/>
                <w:vertAlign w:val="superscript"/>
              </w:rPr>
              <w:t>(1)</w:t>
            </w:r>
          </w:p>
        </w:tc>
        <w:tc>
          <w:tcPr>
            <w:tcW w:w="19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5,617,808</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5,836,135</w:t>
            </w:r>
          </w:p>
        </w:tc>
        <w:tc>
          <w:tcPr>
            <w:tcW w:w="2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6,576,750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12.7%</w:t>
            </w:r>
          </w:p>
        </w:tc>
        <w:tc>
          <w:tcPr>
            <w:tcW w:w="2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17.1%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jc w:val="center"/>
              <w:ind w:left="533"/>
              <w:spacing w:after="0"/>
              <w:rPr>
                <w:sz w:val="20"/>
                <w:szCs w:val="20"/>
                <w:color w:val="auto"/>
              </w:rPr>
            </w:pPr>
            <w:r>
              <w:rPr>
                <w:rFonts w:ascii="Arial" w:cs="Arial" w:eastAsia="Arial" w:hAnsi="Arial"/>
                <w:sz w:val="18"/>
                <w:szCs w:val="18"/>
                <w:b w:val="1"/>
                <w:bCs w:val="1"/>
                <w:color w:val="auto"/>
                <w:w w:val="82"/>
              </w:rPr>
              <w:t>Total Assets</w:t>
            </w:r>
          </w:p>
        </w:tc>
        <w:tc>
          <w:tcPr>
            <w:tcW w:w="19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179,589,270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187,855,811</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190,539,143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w:t>
            </w:r>
          </w:p>
        </w:tc>
        <w:tc>
          <w:tcPr>
            <w:tcW w:w="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Non-interest bearing</w:t>
            </w:r>
          </w:p>
        </w:tc>
        <w:tc>
          <w:tcPr>
            <w:tcW w:w="1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49,107,276</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45,880,454</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47,272,754</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rPr>
              <w:t>Interest bearing</w:t>
            </w:r>
          </w:p>
        </w:tc>
        <w:tc>
          <w:tcPr>
            <w:tcW w:w="1920" w:type="dxa"/>
            <w:vAlign w:val="bottom"/>
            <w:gridSpan w:val="3"/>
          </w:tcPr>
          <w:p>
            <w:pPr>
              <w:jc w:val="right"/>
              <w:ind w:right="200"/>
              <w:spacing w:after="0"/>
              <w:rPr>
                <w:sz w:val="20"/>
                <w:szCs w:val="20"/>
                <w:color w:val="auto"/>
              </w:rPr>
            </w:pPr>
            <w:r>
              <w:rPr>
                <w:rFonts w:ascii="Arial" w:cs="Arial" w:eastAsia="Arial" w:hAnsi="Arial"/>
                <w:sz w:val="18"/>
                <w:szCs w:val="18"/>
                <w:color w:val="auto"/>
              </w:rPr>
              <w:t>65,263,615</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78,320,355</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77,851,798</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deposits and obligations</w:t>
            </w:r>
          </w:p>
        </w:tc>
        <w:tc>
          <w:tcPr>
            <w:tcW w:w="1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114,370,891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124,200,809</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5"/>
              </w:rPr>
              <w:t>125,124,552</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0.7%</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Payables from repurchase agreements and securities lending</w:t>
            </w:r>
          </w:p>
        </w:tc>
        <w:tc>
          <w:tcPr>
            <w:tcW w:w="1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24,169,302</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21,394,306</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19,109,582</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-10.7%</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rPr>
              <w:t>BCRP instruments</w:t>
            </w:r>
          </w:p>
        </w:tc>
        <w:tc>
          <w:tcPr>
            <w:tcW w:w="1920" w:type="dxa"/>
            <w:vAlign w:val="bottom"/>
            <w:gridSpan w:val="3"/>
          </w:tcPr>
          <w:p>
            <w:pPr>
              <w:jc w:val="right"/>
              <w:ind w:right="200"/>
              <w:spacing w:after="0"/>
              <w:rPr>
                <w:sz w:val="20"/>
                <w:szCs w:val="20"/>
                <w:color w:val="auto"/>
              </w:rPr>
            </w:pPr>
            <w:r>
              <w:rPr>
                <w:rFonts w:ascii="Arial" w:cs="Arial" w:eastAsia="Arial" w:hAnsi="Arial"/>
                <w:sz w:val="18"/>
                <w:szCs w:val="18"/>
                <w:color w:val="auto"/>
              </w:rPr>
              <w:t>23,644,352</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20,845,181</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18,547,001</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Repurchase agreements with third parties</w:t>
            </w:r>
          </w:p>
        </w:tc>
        <w:tc>
          <w:tcPr>
            <w:tcW w:w="1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524,950</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549,125</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562,581</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9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5,349,981</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4,830,856</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6,191,543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28.2%</w:t>
            </w:r>
          </w:p>
        </w:tc>
        <w:tc>
          <w:tcPr>
            <w:tcW w:w="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Bonds and notes issued</w:t>
            </w:r>
          </w:p>
        </w:tc>
        <w:tc>
          <w:tcPr>
            <w:tcW w:w="1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13,946,887</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14,179,541</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14,652,059</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Banker’s acceptances outstanding</w:t>
            </w:r>
          </w:p>
        </w:tc>
        <w:tc>
          <w:tcPr>
            <w:tcW w:w="19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256,238</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558,934</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776,863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39.0%</w:t>
            </w:r>
          </w:p>
        </w:tc>
        <w:tc>
          <w:tcPr>
            <w:tcW w:w="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 at fair value through profit or loss</w:t>
            </w:r>
          </w:p>
        </w:tc>
        <w:tc>
          <w:tcPr>
            <w:tcW w:w="1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116,523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84,071</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484,531</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476.3%</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315.8%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700" w:type="dxa"/>
            <w:vAlign w:val="bottom"/>
          </w:tcPr>
          <w:p>
            <w:pPr>
              <w:spacing w:after="0" w:line="249" w:lineRule="exact"/>
              <w:rPr>
                <w:sz w:val="20"/>
                <w:szCs w:val="20"/>
                <w:color w:val="auto"/>
              </w:rPr>
            </w:pPr>
            <w:r>
              <w:rPr>
                <w:rFonts w:ascii="Arial" w:cs="Arial" w:eastAsia="Arial" w:hAnsi="Arial"/>
                <w:sz w:val="17"/>
                <w:szCs w:val="17"/>
                <w:b w:val="1"/>
                <w:bCs w:val="1"/>
                <w:color w:val="auto"/>
              </w:rPr>
              <w:t xml:space="preserve">Other liabilities </w:t>
            </w:r>
            <w:r>
              <w:rPr>
                <w:rFonts w:ascii="Arial" w:cs="Arial" w:eastAsia="Arial" w:hAnsi="Arial"/>
                <w:sz w:val="28"/>
                <w:szCs w:val="28"/>
                <w:b w:val="1"/>
                <w:bCs w:val="1"/>
                <w:color w:val="auto"/>
                <w:vertAlign w:val="superscript"/>
              </w:rPr>
              <w:t>(2)</w:t>
            </w:r>
          </w:p>
        </w:tc>
        <w:tc>
          <w:tcPr>
            <w:tcW w:w="19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4,138,755</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3,695,174</w:t>
            </w:r>
          </w:p>
        </w:tc>
        <w:tc>
          <w:tcPr>
            <w:tcW w:w="2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4,690,015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26.9%</w:t>
            </w:r>
          </w:p>
        </w:tc>
        <w:tc>
          <w:tcPr>
            <w:tcW w:w="2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jc w:val="center"/>
              <w:ind w:left="513"/>
              <w:spacing w:after="0"/>
              <w:rPr>
                <w:sz w:val="20"/>
                <w:szCs w:val="20"/>
                <w:color w:val="auto"/>
              </w:rPr>
            </w:pPr>
            <w:r>
              <w:rPr>
                <w:rFonts w:ascii="Arial" w:cs="Arial" w:eastAsia="Arial" w:hAnsi="Arial"/>
                <w:sz w:val="18"/>
                <w:szCs w:val="18"/>
                <w:b w:val="1"/>
                <w:bCs w:val="1"/>
                <w:color w:val="auto"/>
                <w:w w:val="90"/>
              </w:rPr>
              <w:t>Total Liabilities</w:t>
            </w:r>
          </w:p>
        </w:tc>
        <w:tc>
          <w:tcPr>
            <w:tcW w:w="19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162,348,577</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7"/>
              </w:rPr>
              <w:t>168,943,691</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171,029,145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w:t>
            </w:r>
          </w:p>
        </w:tc>
        <w:tc>
          <w:tcPr>
            <w:tcW w:w="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Net equity</w:t>
            </w:r>
          </w:p>
        </w:tc>
        <w:tc>
          <w:tcPr>
            <w:tcW w:w="19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17,240,693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18,912,120</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19,509,998</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3.2%</w:t>
            </w:r>
          </w:p>
        </w:tc>
        <w:tc>
          <w:tcPr>
            <w:tcW w:w="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stock</w:t>
            </w:r>
          </w:p>
        </w:tc>
        <w:tc>
          <w:tcPr>
            <w:tcW w:w="1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10,774,006</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11,024,006</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11,024,006</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rPr>
              <w:t>Reserves</w:t>
            </w:r>
          </w:p>
        </w:tc>
        <w:tc>
          <w:tcPr>
            <w:tcW w:w="1920" w:type="dxa"/>
            <w:vAlign w:val="bottom"/>
            <w:gridSpan w:val="3"/>
          </w:tcPr>
          <w:p>
            <w:pPr>
              <w:jc w:val="right"/>
              <w:ind w:right="200"/>
              <w:spacing w:after="0"/>
              <w:rPr>
                <w:sz w:val="20"/>
                <w:szCs w:val="20"/>
                <w:color w:val="auto"/>
              </w:rPr>
            </w:pPr>
            <w:r>
              <w:rPr>
                <w:rFonts w:ascii="Arial" w:cs="Arial" w:eastAsia="Arial" w:hAnsi="Arial"/>
                <w:sz w:val="18"/>
                <w:szCs w:val="18"/>
                <w:color w:val="auto"/>
              </w:rPr>
              <w:t>5,945,313</w:t>
            </w:r>
          </w:p>
        </w:tc>
        <w:tc>
          <w:tcPr>
            <w:tcW w:w="1000" w:type="dxa"/>
            <w:vAlign w:val="bottom"/>
          </w:tcPr>
          <w:p>
            <w:pPr>
              <w:jc w:val="right"/>
              <w:spacing w:after="0"/>
              <w:rPr>
                <w:sz w:val="20"/>
                <w:szCs w:val="20"/>
                <w:color w:val="auto"/>
              </w:rPr>
            </w:pPr>
            <w:r>
              <w:rPr>
                <w:rFonts w:ascii="Arial" w:cs="Arial" w:eastAsia="Arial" w:hAnsi="Arial"/>
                <w:sz w:val="18"/>
                <w:szCs w:val="18"/>
                <w:color w:val="auto"/>
              </w:rPr>
              <w:t>6,488,969</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6,488,968</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gains and losses</w:t>
            </w:r>
          </w:p>
        </w:tc>
        <w:tc>
          <w:tcPr>
            <w:tcW w:w="1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330,977</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(123,542)</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(583,178)</w:t>
            </w:r>
          </w:p>
        </w:tc>
        <w:tc>
          <w:tcPr>
            <w:tcW w:w="1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1920" w:type="dxa"/>
            <w:vAlign w:val="bottom"/>
            <w:gridSpan w:val="3"/>
          </w:tcPr>
          <w:p>
            <w:pPr>
              <w:jc w:val="right"/>
              <w:ind w:right="200"/>
              <w:spacing w:after="0"/>
              <w:rPr>
                <w:sz w:val="20"/>
                <w:szCs w:val="20"/>
                <w:color w:val="auto"/>
              </w:rPr>
            </w:pPr>
            <w:r>
              <w:rPr>
                <w:rFonts w:ascii="Arial" w:cs="Arial" w:eastAsia="Arial" w:hAnsi="Arial"/>
                <w:sz w:val="18"/>
                <w:szCs w:val="18"/>
                <w:color w:val="auto"/>
              </w:rPr>
              <w:t>190,397</w:t>
            </w:r>
          </w:p>
        </w:tc>
        <w:tc>
          <w:tcPr>
            <w:tcW w:w="1000" w:type="dxa"/>
            <w:vAlign w:val="bottom"/>
          </w:tcPr>
          <w:p>
            <w:pPr>
              <w:jc w:val="right"/>
              <w:spacing w:after="0"/>
              <w:rPr>
                <w:sz w:val="20"/>
                <w:szCs w:val="20"/>
                <w:color w:val="auto"/>
              </w:rPr>
            </w:pPr>
            <w:r>
              <w:rPr>
                <w:rFonts w:ascii="Arial" w:cs="Arial" w:eastAsia="Arial" w:hAnsi="Arial"/>
                <w:sz w:val="18"/>
                <w:szCs w:val="18"/>
                <w:color w:val="auto"/>
              </w:rPr>
              <w:t>1,522,687</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2,580,202</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69.5%</w:t>
            </w:r>
          </w:p>
        </w:tc>
        <w:tc>
          <w:tcPr>
            <w:tcW w:w="2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1255.2%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jc w:val="center"/>
              <w:ind w:left="533"/>
              <w:spacing w:after="0"/>
              <w:rPr>
                <w:sz w:val="20"/>
                <w:szCs w:val="20"/>
                <w:color w:val="auto"/>
              </w:rPr>
            </w:pPr>
            <w:r>
              <w:rPr>
                <w:rFonts w:ascii="Arial" w:cs="Arial" w:eastAsia="Arial" w:hAnsi="Arial"/>
                <w:sz w:val="18"/>
                <w:szCs w:val="18"/>
                <w:b w:val="1"/>
                <w:bCs w:val="1"/>
                <w:color w:val="auto"/>
                <w:w w:val="90"/>
              </w:rPr>
              <w:t>Total Net Equity</w:t>
            </w:r>
          </w:p>
        </w:tc>
        <w:tc>
          <w:tcPr>
            <w:tcW w:w="1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17,240,693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18,912,120</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19,509,998</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1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179,589,270</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7"/>
              </w:rPr>
              <w:t>187,855,811</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5"/>
              </w:rPr>
              <w:t>190,539,143</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Off-balance sheet</w:t>
            </w:r>
          </w:p>
        </w:tc>
        <w:tc>
          <w:tcPr>
            <w:tcW w:w="1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112,924,725</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7"/>
              </w:rPr>
              <w:t>119,457,875</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5"/>
              </w:rPr>
              <w:t>135,953,567</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13.8%</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Total performance bonds, stand-by and L/Cs.</w:t>
            </w:r>
          </w:p>
        </w:tc>
        <w:tc>
          <w:tcPr>
            <w:tcW w:w="1920" w:type="dxa"/>
            <w:vAlign w:val="bottom"/>
            <w:gridSpan w:val="3"/>
          </w:tcPr>
          <w:p>
            <w:pPr>
              <w:jc w:val="right"/>
              <w:ind w:right="200"/>
              <w:spacing w:after="0"/>
              <w:rPr>
                <w:sz w:val="20"/>
                <w:szCs w:val="20"/>
                <w:color w:val="auto"/>
              </w:rPr>
            </w:pPr>
            <w:r>
              <w:rPr>
                <w:rFonts w:ascii="Arial" w:cs="Arial" w:eastAsia="Arial" w:hAnsi="Arial"/>
                <w:sz w:val="18"/>
                <w:szCs w:val="18"/>
                <w:color w:val="auto"/>
              </w:rPr>
              <w:t>16,978,003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21,229,047</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20,762,191</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Undrawn credit lines, advised but not committed</w:t>
            </w:r>
          </w:p>
        </w:tc>
        <w:tc>
          <w:tcPr>
            <w:tcW w:w="1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68,568,756</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75,613,731</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79,357,524</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Total derivatives (notional) and others</w:t>
            </w:r>
          </w:p>
        </w:tc>
        <w:tc>
          <w:tcPr>
            <w:tcW w:w="1920" w:type="dxa"/>
            <w:vAlign w:val="bottom"/>
            <w:gridSpan w:val="3"/>
          </w:tcPr>
          <w:p>
            <w:pPr>
              <w:jc w:val="right"/>
              <w:ind w:right="200"/>
              <w:spacing w:after="0"/>
              <w:rPr>
                <w:sz w:val="20"/>
                <w:szCs w:val="20"/>
                <w:color w:val="auto"/>
              </w:rPr>
            </w:pPr>
            <w:r>
              <w:rPr>
                <w:rFonts w:ascii="Arial" w:cs="Arial" w:eastAsia="Arial" w:hAnsi="Arial"/>
                <w:sz w:val="18"/>
                <w:szCs w:val="18"/>
                <w:color w:val="auto"/>
              </w:rPr>
              <w:t>27,377,966</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22,615,097</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35,833,852</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58.5%</w:t>
            </w:r>
          </w:p>
        </w:tc>
        <w:tc>
          <w:tcPr>
            <w:tcW w:w="2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260" w:hanging="255"/>
        <w:spacing w:after="0"/>
        <w:tabs>
          <w:tab w:leader="none" w:pos="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Mainly includes intangible assets, other receivable accounts and tax credit.</w:t>
      </w:r>
    </w:p>
    <w:p>
      <w:pPr>
        <w:spacing w:after="0" w:line="14" w:lineRule="exact"/>
        <w:rPr>
          <w:rFonts w:ascii="Arial" w:cs="Arial" w:eastAsia="Arial" w:hAnsi="Arial"/>
          <w:sz w:val="18"/>
          <w:szCs w:val="18"/>
          <w:color w:val="auto"/>
        </w:rPr>
      </w:pPr>
    </w:p>
    <w:p>
      <w:pPr>
        <w:ind w:left="260" w:hanging="255"/>
        <w:spacing w:after="0"/>
        <w:tabs>
          <w:tab w:leader="none" w:pos="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Mainly includes other payable accounts.</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3" w:right="339" w:bottom="763" w:gutter="0" w:footer="0" w:header="0"/>
        </w:sectPr>
      </w:pPr>
    </w:p>
    <w:bookmarkStart w:id="73" w:name="page74"/>
    <w:bookmarkEnd w:id="73"/>
    <w:p>
      <w:pPr>
        <w:ind w:left="4260"/>
        <w:spacing w:after="0"/>
        <w:rPr>
          <w:sz w:val="20"/>
          <w:szCs w:val="20"/>
          <w:color w:val="auto"/>
        </w:rPr>
      </w:pPr>
      <w:r>
        <w:rPr>
          <w:rFonts w:ascii="Arial" w:cs="Arial" w:eastAsia="Arial" w:hAnsi="Arial"/>
          <w:sz w:val="18"/>
          <w:szCs w:val="18"/>
          <w:b w:val="1"/>
          <w:bCs w:val="1"/>
          <w:color w:val="auto"/>
        </w:rPr>
        <w:t>BANCO DE CREDITO DEL PERU</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STATEMENT OF INCOME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thousands, IFRS)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Quarter</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ind w:left="460"/>
              <w:spacing w:after="0"/>
              <w:rPr>
                <w:sz w:val="20"/>
                <w:szCs w:val="20"/>
                <w:color w:val="auto"/>
              </w:rPr>
            </w:pPr>
            <w:r>
              <w:rPr>
                <w:rFonts w:ascii="Arial" w:cs="Arial" w:eastAsia="Arial" w:hAnsi="Arial"/>
                <w:sz w:val="14"/>
                <w:szCs w:val="14"/>
                <w:b w:val="1"/>
                <w:bCs w:val="1"/>
                <w:color w:val="auto"/>
                <w:w w:val="91"/>
              </w:rPr>
              <w:t>% change</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3"/>
          </w:tcPr>
          <w:p>
            <w:pPr>
              <w:ind w:left="680"/>
              <w:spacing w:after="0"/>
              <w:rPr>
                <w:sz w:val="20"/>
                <w:szCs w:val="20"/>
                <w:color w:val="auto"/>
              </w:rPr>
            </w:pPr>
            <w:r>
              <w:rPr>
                <w:rFonts w:ascii="Arial" w:cs="Arial" w:eastAsia="Arial" w:hAnsi="Arial"/>
                <w:sz w:val="14"/>
                <w:szCs w:val="14"/>
                <w:b w:val="1"/>
                <w:bCs w:val="1"/>
                <w:color w:val="auto"/>
              </w:rPr>
              <w:t>YTD</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880" w:type="dxa"/>
            <w:vAlign w:val="bottom"/>
            <w:tcBorders>
              <w:top w:val="single" w:sz="8" w:color="auto"/>
            </w:tcBorders>
            <w:gridSpan w:val="2"/>
          </w:tcPr>
          <w:p>
            <w:pPr>
              <w:jc w:val="right"/>
              <w:ind w:right="340"/>
              <w:spacing w:after="0" w:line="151" w:lineRule="exact"/>
              <w:rPr>
                <w:sz w:val="20"/>
                <w:szCs w:val="20"/>
                <w:color w:val="auto"/>
              </w:rPr>
            </w:pPr>
            <w:r>
              <w:rPr>
                <w:rFonts w:ascii="Arial" w:cs="Arial" w:eastAsia="Arial" w:hAnsi="Arial"/>
                <w:sz w:val="14"/>
                <w:szCs w:val="14"/>
                <w:b w:val="1"/>
                <w:bCs w:val="1"/>
                <w:color w:val="auto"/>
              </w:rPr>
              <w:t>3Q20</w:t>
            </w:r>
          </w:p>
        </w:tc>
        <w:tc>
          <w:tcPr>
            <w:tcW w:w="920" w:type="dxa"/>
            <w:vAlign w:val="bottom"/>
            <w:tcBorders>
              <w:top w:val="single" w:sz="8" w:color="auto"/>
            </w:tcBorders>
            <w:gridSpan w:val="2"/>
          </w:tcPr>
          <w:p>
            <w:pPr>
              <w:jc w:val="right"/>
              <w:ind w:right="340"/>
              <w:spacing w:after="0" w:line="151" w:lineRule="exact"/>
              <w:rPr>
                <w:sz w:val="20"/>
                <w:szCs w:val="20"/>
                <w:color w:val="auto"/>
              </w:rPr>
            </w:pPr>
            <w:r>
              <w:rPr>
                <w:rFonts w:ascii="Arial" w:cs="Arial" w:eastAsia="Arial" w:hAnsi="Arial"/>
                <w:sz w:val="14"/>
                <w:szCs w:val="14"/>
                <w:b w:val="1"/>
                <w:bCs w:val="1"/>
                <w:color w:val="auto"/>
              </w:rPr>
              <w:t>2Q21</w:t>
            </w:r>
          </w:p>
        </w:tc>
        <w:tc>
          <w:tcPr>
            <w:tcW w:w="740" w:type="dxa"/>
            <w:vAlign w:val="bottom"/>
            <w:tcBorders>
              <w:top w:val="single" w:sz="8" w:color="auto"/>
            </w:tcBorders>
          </w:tcPr>
          <w:p>
            <w:pPr>
              <w:jc w:val="right"/>
              <w:ind w:right="90"/>
              <w:spacing w:after="0" w:line="151" w:lineRule="exact"/>
              <w:rPr>
                <w:sz w:val="20"/>
                <w:szCs w:val="20"/>
                <w:color w:val="auto"/>
              </w:rPr>
            </w:pPr>
            <w:r>
              <w:rPr>
                <w:rFonts w:ascii="Arial" w:cs="Arial" w:eastAsia="Arial" w:hAnsi="Arial"/>
                <w:sz w:val="14"/>
                <w:szCs w:val="14"/>
                <w:b w:val="1"/>
                <w:bCs w:val="1"/>
                <w:color w:val="auto"/>
              </w:rPr>
              <w:t>3Q21</w:t>
            </w:r>
          </w:p>
        </w:tc>
        <w:tc>
          <w:tcPr>
            <w:tcW w:w="200" w:type="dxa"/>
            <w:vAlign w:val="bottom"/>
          </w:tcPr>
          <w:p>
            <w:pPr>
              <w:spacing w:after="0"/>
              <w:rPr>
                <w:sz w:val="13"/>
                <w:szCs w:val="13"/>
                <w:color w:val="auto"/>
              </w:rPr>
            </w:pPr>
          </w:p>
        </w:tc>
        <w:tc>
          <w:tcPr>
            <w:tcW w:w="1080" w:type="dxa"/>
            <w:vAlign w:val="bottom"/>
            <w:tcBorders>
              <w:top w:val="single" w:sz="8" w:color="auto"/>
            </w:tcBorders>
            <w:gridSpan w:val="3"/>
          </w:tcPr>
          <w:p>
            <w:pPr>
              <w:ind w:left="220"/>
              <w:spacing w:after="0" w:line="151" w:lineRule="exact"/>
              <w:rPr>
                <w:sz w:val="20"/>
                <w:szCs w:val="20"/>
                <w:color w:val="auto"/>
              </w:rPr>
            </w:pPr>
            <w:r>
              <w:rPr>
                <w:rFonts w:ascii="Arial" w:cs="Arial" w:eastAsia="Arial" w:hAnsi="Arial"/>
                <w:sz w:val="14"/>
                <w:szCs w:val="14"/>
                <w:b w:val="1"/>
                <w:bCs w:val="1"/>
                <w:color w:val="auto"/>
              </w:rPr>
              <w:t>QoQ</w:t>
            </w:r>
          </w:p>
        </w:tc>
        <w:tc>
          <w:tcPr>
            <w:tcW w:w="440" w:type="dxa"/>
            <w:vAlign w:val="bottom"/>
            <w:tcBorders>
              <w:top w:val="single" w:sz="8" w:color="auto"/>
            </w:tcBorders>
          </w:tcPr>
          <w:p>
            <w:pPr>
              <w:jc w:val="right"/>
              <w:ind w:right="70"/>
              <w:spacing w:after="0" w:line="151" w:lineRule="exact"/>
              <w:rPr>
                <w:sz w:val="20"/>
                <w:szCs w:val="20"/>
                <w:color w:val="auto"/>
              </w:rPr>
            </w:pPr>
            <w:r>
              <w:rPr>
                <w:rFonts w:ascii="Arial" w:cs="Arial" w:eastAsia="Arial" w:hAnsi="Arial"/>
                <w:sz w:val="14"/>
                <w:szCs w:val="14"/>
                <w:b w:val="1"/>
                <w:bCs w:val="1"/>
                <w:color w:val="auto"/>
              </w:rPr>
              <w:t>YoY</w:t>
            </w:r>
          </w:p>
        </w:tc>
        <w:tc>
          <w:tcPr>
            <w:tcW w:w="240" w:type="dxa"/>
            <w:vAlign w:val="bottom"/>
          </w:tcPr>
          <w:p>
            <w:pPr>
              <w:spacing w:after="0"/>
              <w:rPr>
                <w:sz w:val="13"/>
                <w:szCs w:val="13"/>
                <w:color w:val="auto"/>
              </w:rPr>
            </w:pPr>
          </w:p>
        </w:tc>
        <w:tc>
          <w:tcPr>
            <w:tcW w:w="1020" w:type="dxa"/>
            <w:vAlign w:val="bottom"/>
            <w:tcBorders>
              <w:top w:val="single" w:sz="8" w:color="auto"/>
            </w:tcBorders>
            <w:gridSpan w:val="3"/>
          </w:tcPr>
          <w:p>
            <w:pPr>
              <w:ind w:left="220"/>
              <w:spacing w:after="0" w:line="151" w:lineRule="exact"/>
              <w:rPr>
                <w:sz w:val="20"/>
                <w:szCs w:val="20"/>
                <w:color w:val="auto"/>
              </w:rPr>
            </w:pPr>
            <w:r>
              <w:rPr>
                <w:rFonts w:ascii="Arial" w:cs="Arial" w:eastAsia="Arial" w:hAnsi="Arial"/>
                <w:sz w:val="14"/>
                <w:szCs w:val="14"/>
                <w:b w:val="1"/>
                <w:bCs w:val="1"/>
                <w:color w:val="auto"/>
              </w:rPr>
              <w:t>Sep 20</w:t>
            </w:r>
          </w:p>
        </w:tc>
        <w:tc>
          <w:tcPr>
            <w:tcW w:w="640" w:type="dxa"/>
            <w:vAlign w:val="bottom"/>
            <w:tcBorders>
              <w:top w:val="single" w:sz="8" w:color="auto"/>
            </w:tcBorders>
          </w:tcPr>
          <w:p>
            <w:pPr>
              <w:jc w:val="right"/>
              <w:ind w:right="50"/>
              <w:spacing w:after="0" w:line="151" w:lineRule="exact"/>
              <w:rPr>
                <w:sz w:val="20"/>
                <w:szCs w:val="20"/>
                <w:color w:val="auto"/>
              </w:rPr>
            </w:pPr>
            <w:r>
              <w:rPr>
                <w:rFonts w:ascii="Arial" w:cs="Arial" w:eastAsia="Arial" w:hAnsi="Arial"/>
                <w:sz w:val="14"/>
                <w:szCs w:val="14"/>
                <w:b w:val="1"/>
                <w:bCs w:val="1"/>
                <w:color w:val="auto"/>
              </w:rPr>
              <w:t>Sep 21</w:t>
            </w:r>
          </w:p>
        </w:tc>
        <w:tc>
          <w:tcPr>
            <w:tcW w:w="200" w:type="dxa"/>
            <w:vAlign w:val="bottom"/>
          </w:tcPr>
          <w:p>
            <w:pPr>
              <w:spacing w:after="0"/>
              <w:rPr>
                <w:sz w:val="13"/>
                <w:szCs w:val="13"/>
                <w:color w:val="auto"/>
              </w:rPr>
            </w:pPr>
          </w:p>
        </w:tc>
        <w:tc>
          <w:tcPr>
            <w:tcW w:w="128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9M-2021 / 9M-2020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4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Interest income and expense</w:t>
            </w:r>
          </w:p>
        </w:tc>
        <w:tc>
          <w:tcPr>
            <w:tcW w:w="6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40" w:type="dxa"/>
            <w:vAlign w:val="bottom"/>
          </w:tcPr>
          <w:p>
            <w:pPr>
              <w:ind w:left="120"/>
              <w:spacing w:after="0" w:line="145" w:lineRule="exact"/>
              <w:rPr>
                <w:sz w:val="20"/>
                <w:szCs w:val="20"/>
                <w:color w:val="auto"/>
              </w:rPr>
            </w:pPr>
            <w:r>
              <w:rPr>
                <w:rFonts w:ascii="Arial" w:cs="Arial" w:eastAsia="Arial" w:hAnsi="Arial"/>
                <w:sz w:val="14"/>
                <w:szCs w:val="14"/>
                <w:color w:val="auto"/>
              </w:rPr>
              <w:t>Interest and dividend income</w:t>
            </w:r>
          </w:p>
        </w:tc>
        <w:tc>
          <w:tcPr>
            <w:tcW w:w="88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2,055,845</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1,930,221</w:t>
            </w:r>
          </w:p>
        </w:tc>
        <w:tc>
          <w:tcPr>
            <w:tcW w:w="9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1,996,856</w:t>
            </w:r>
          </w:p>
        </w:tc>
        <w:tc>
          <w:tcPr>
            <w:tcW w:w="8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3.5%</w:t>
            </w:r>
          </w:p>
        </w:tc>
        <w:tc>
          <w:tcPr>
            <w:tcW w:w="200" w:type="dxa"/>
            <w:vAlign w:val="bottom"/>
          </w:tcPr>
          <w:p>
            <w:pPr>
              <w:spacing w:after="0"/>
              <w:rPr>
                <w:sz w:val="12"/>
                <w:szCs w:val="12"/>
                <w:color w:val="auto"/>
              </w:rPr>
            </w:pPr>
          </w:p>
        </w:tc>
        <w:tc>
          <w:tcPr>
            <w:tcW w:w="6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-2.9%</w:t>
            </w:r>
          </w:p>
        </w:tc>
        <w:tc>
          <w:tcPr>
            <w:tcW w:w="9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6,203,562</w:t>
            </w:r>
          </w:p>
        </w:tc>
        <w:tc>
          <w:tcPr>
            <w:tcW w:w="8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w w:val="99"/>
              </w:rPr>
              <w:t>5,866,826</w:t>
            </w:r>
          </w:p>
        </w:tc>
        <w:tc>
          <w:tcPr>
            <w:tcW w:w="200" w:type="dxa"/>
            <w:vAlign w:val="bottom"/>
          </w:tcPr>
          <w:p>
            <w:pPr>
              <w:spacing w:after="0"/>
              <w:rPr>
                <w:sz w:val="12"/>
                <w:szCs w:val="12"/>
                <w:color w:val="auto"/>
              </w:rPr>
            </w:pPr>
          </w:p>
        </w:tc>
        <w:tc>
          <w:tcPr>
            <w:tcW w:w="1420" w:type="dxa"/>
            <w:vAlign w:val="bottom"/>
            <w:gridSpan w:val="2"/>
          </w:tcPr>
          <w:p>
            <w:pPr>
              <w:jc w:val="right"/>
              <w:ind w:right="20"/>
              <w:spacing w:after="0" w:line="145"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440" w:type="dxa"/>
            <w:vAlign w:val="bottom"/>
            <w:shd w:val="clear" w:color="auto" w:fill="CCEEFF"/>
          </w:tcPr>
          <w:p>
            <w:pPr>
              <w:ind w:left="120"/>
              <w:spacing w:after="0" w:line="184" w:lineRule="exact"/>
              <w:rPr>
                <w:sz w:val="20"/>
                <w:szCs w:val="20"/>
                <w:color w:val="auto"/>
              </w:rPr>
            </w:pPr>
            <w:r>
              <w:rPr>
                <w:rFonts w:ascii="Arial" w:cs="Arial" w:eastAsia="Arial" w:hAnsi="Arial"/>
                <w:sz w:val="13"/>
                <w:szCs w:val="13"/>
                <w:color w:val="auto"/>
              </w:rPr>
              <w:t xml:space="preserve">Interest expense </w:t>
            </w:r>
            <w:r>
              <w:rPr>
                <w:rFonts w:ascii="Arial" w:cs="Arial" w:eastAsia="Arial" w:hAnsi="Arial"/>
                <w:sz w:val="21"/>
                <w:szCs w:val="21"/>
                <w:color w:val="auto"/>
                <w:vertAlign w:val="superscript"/>
              </w:rPr>
              <w:t>(1)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(572,738)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(382,994)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(393,036)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w:t>
            </w:r>
          </w:p>
        </w:tc>
        <w:tc>
          <w:tcPr>
            <w:tcW w:w="2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-31.4%</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(1,681,851)</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2"/>
              </w:rPr>
              <w:t>(1,268,129)</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40" w:type="dxa"/>
            <w:vAlign w:val="bottom"/>
          </w:tcPr>
          <w:p>
            <w:pPr>
              <w:ind w:left="120"/>
              <w:spacing w:after="0" w:line="145" w:lineRule="exact"/>
              <w:rPr>
                <w:sz w:val="20"/>
                <w:szCs w:val="20"/>
                <w:color w:val="auto"/>
              </w:rPr>
            </w:pPr>
            <w:r>
              <w:rPr>
                <w:rFonts w:ascii="Arial" w:cs="Arial" w:eastAsia="Arial" w:hAnsi="Arial"/>
                <w:sz w:val="14"/>
                <w:szCs w:val="14"/>
                <w:b w:val="1"/>
                <w:bCs w:val="1"/>
                <w:color w:val="auto"/>
              </w:rPr>
              <w:t>Net interest income</w:t>
            </w:r>
          </w:p>
        </w:tc>
        <w:tc>
          <w:tcPr>
            <w:tcW w:w="880" w:type="dxa"/>
            <w:vAlign w:val="bottom"/>
            <w:gridSpan w:val="2"/>
          </w:tcPr>
          <w:p>
            <w:pPr>
              <w:jc w:val="right"/>
              <w:ind w:right="220"/>
              <w:spacing w:after="0" w:line="145" w:lineRule="exact"/>
              <w:rPr>
                <w:sz w:val="20"/>
                <w:szCs w:val="20"/>
                <w:color w:val="auto"/>
              </w:rPr>
            </w:pPr>
            <w:r>
              <w:rPr>
                <w:rFonts w:ascii="Arial" w:cs="Arial" w:eastAsia="Arial" w:hAnsi="Arial"/>
                <w:sz w:val="14"/>
                <w:szCs w:val="14"/>
                <w:b w:val="1"/>
                <w:bCs w:val="1"/>
                <w:color w:val="auto"/>
              </w:rPr>
              <w:t>1,483,107</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b w:val="1"/>
                <w:bCs w:val="1"/>
                <w:color w:val="auto"/>
              </w:rPr>
              <w:t>1,547,227</w:t>
            </w:r>
          </w:p>
        </w:tc>
        <w:tc>
          <w:tcPr>
            <w:tcW w:w="940" w:type="dxa"/>
            <w:vAlign w:val="bottom"/>
            <w:gridSpan w:val="2"/>
          </w:tcPr>
          <w:p>
            <w:pPr>
              <w:jc w:val="right"/>
              <w:ind w:right="200"/>
              <w:spacing w:after="0" w:line="145" w:lineRule="exact"/>
              <w:rPr>
                <w:sz w:val="20"/>
                <w:szCs w:val="20"/>
                <w:color w:val="auto"/>
              </w:rPr>
            </w:pPr>
            <w:r>
              <w:rPr>
                <w:rFonts w:ascii="Arial" w:cs="Arial" w:eastAsia="Arial" w:hAnsi="Arial"/>
                <w:sz w:val="14"/>
                <w:szCs w:val="14"/>
                <w:b w:val="1"/>
                <w:bCs w:val="1"/>
                <w:color w:val="auto"/>
              </w:rPr>
              <w:t>1,603,820</w:t>
            </w:r>
          </w:p>
        </w:tc>
        <w:tc>
          <w:tcPr>
            <w:tcW w:w="880" w:type="dxa"/>
            <w:vAlign w:val="bottom"/>
            <w:gridSpan w:val="2"/>
          </w:tcPr>
          <w:p>
            <w:pPr>
              <w:jc w:val="right"/>
              <w:ind w:right="100"/>
              <w:spacing w:after="0" w:line="145" w:lineRule="exact"/>
              <w:rPr>
                <w:sz w:val="20"/>
                <w:szCs w:val="20"/>
                <w:color w:val="auto"/>
              </w:rPr>
            </w:pPr>
            <w:r>
              <w:rPr>
                <w:rFonts w:ascii="Arial" w:cs="Arial" w:eastAsia="Arial" w:hAnsi="Arial"/>
                <w:sz w:val="14"/>
                <w:szCs w:val="14"/>
                <w:b w:val="1"/>
                <w:bCs w:val="1"/>
                <w:color w:val="auto"/>
              </w:rPr>
              <w:t>3.7%</w:t>
            </w:r>
          </w:p>
        </w:tc>
        <w:tc>
          <w:tcPr>
            <w:tcW w:w="200" w:type="dxa"/>
            <w:vAlign w:val="bottom"/>
          </w:tcPr>
          <w:p>
            <w:pPr>
              <w:spacing w:after="0"/>
              <w:rPr>
                <w:sz w:val="12"/>
                <w:szCs w:val="12"/>
                <w:color w:val="auto"/>
              </w:rPr>
            </w:pPr>
          </w:p>
        </w:tc>
        <w:tc>
          <w:tcPr>
            <w:tcW w:w="680" w:type="dxa"/>
            <w:vAlign w:val="bottom"/>
            <w:gridSpan w:val="2"/>
          </w:tcPr>
          <w:p>
            <w:pPr>
              <w:jc w:val="right"/>
              <w:ind w:right="100"/>
              <w:spacing w:after="0" w:line="145" w:lineRule="exact"/>
              <w:rPr>
                <w:sz w:val="20"/>
                <w:szCs w:val="20"/>
                <w:color w:val="auto"/>
              </w:rPr>
            </w:pPr>
            <w:r>
              <w:rPr>
                <w:rFonts w:ascii="Arial" w:cs="Arial" w:eastAsia="Arial" w:hAnsi="Arial"/>
                <w:sz w:val="14"/>
                <w:szCs w:val="14"/>
                <w:b w:val="1"/>
                <w:bCs w:val="1"/>
                <w:color w:val="auto"/>
              </w:rPr>
              <w:t>8.1%</w:t>
            </w:r>
          </w:p>
        </w:tc>
        <w:tc>
          <w:tcPr>
            <w:tcW w:w="940" w:type="dxa"/>
            <w:vAlign w:val="bottom"/>
            <w:gridSpan w:val="2"/>
          </w:tcPr>
          <w:p>
            <w:pPr>
              <w:jc w:val="right"/>
              <w:ind w:right="220"/>
              <w:spacing w:after="0" w:line="145" w:lineRule="exact"/>
              <w:rPr>
                <w:sz w:val="20"/>
                <w:szCs w:val="20"/>
                <w:color w:val="auto"/>
              </w:rPr>
            </w:pPr>
            <w:r>
              <w:rPr>
                <w:rFonts w:ascii="Arial" w:cs="Arial" w:eastAsia="Arial" w:hAnsi="Arial"/>
                <w:sz w:val="14"/>
                <w:szCs w:val="14"/>
                <w:b w:val="1"/>
                <w:bCs w:val="1"/>
                <w:color w:val="auto"/>
              </w:rPr>
              <w:t>4,521,711</w:t>
            </w:r>
          </w:p>
        </w:tc>
        <w:tc>
          <w:tcPr>
            <w:tcW w:w="8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b w:val="1"/>
                <w:bCs w:val="1"/>
                <w:color w:val="auto"/>
                <w:w w:val="99"/>
              </w:rPr>
              <w:t>4,598,697</w:t>
            </w:r>
          </w:p>
        </w:tc>
        <w:tc>
          <w:tcPr>
            <w:tcW w:w="200" w:type="dxa"/>
            <w:vAlign w:val="bottom"/>
          </w:tcPr>
          <w:p>
            <w:pPr>
              <w:spacing w:after="0"/>
              <w:rPr>
                <w:sz w:val="12"/>
                <w:szCs w:val="12"/>
                <w:color w:val="auto"/>
              </w:rPr>
            </w:pPr>
          </w:p>
        </w:tc>
        <w:tc>
          <w:tcPr>
            <w:tcW w:w="1420" w:type="dxa"/>
            <w:vAlign w:val="bottom"/>
            <w:gridSpan w:val="2"/>
          </w:tcPr>
          <w:p>
            <w:pPr>
              <w:jc w:val="right"/>
              <w:spacing w:after="0" w:line="145" w:lineRule="exact"/>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40" w:type="dxa"/>
            <w:vAlign w:val="bottom"/>
          </w:tcPr>
          <w:p>
            <w:pPr>
              <w:spacing w:after="0" w:line="145" w:lineRule="exact"/>
              <w:rPr>
                <w:sz w:val="20"/>
                <w:szCs w:val="20"/>
                <w:color w:val="auto"/>
              </w:rPr>
            </w:pPr>
            <w:r>
              <w:rPr>
                <w:rFonts w:ascii="Arial" w:cs="Arial" w:eastAsia="Arial" w:hAnsi="Arial"/>
                <w:sz w:val="14"/>
                <w:szCs w:val="14"/>
                <w:color w:val="auto"/>
              </w:rPr>
              <w:t>Provision for credit losses on loan portfolio</w:t>
            </w:r>
          </w:p>
        </w:tc>
        <w:tc>
          <w:tcPr>
            <w:tcW w:w="8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(853,111)</w:t>
            </w:r>
          </w:p>
        </w:tc>
        <w:tc>
          <w:tcPr>
            <w:tcW w:w="9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(337,668)</w:t>
            </w:r>
          </w:p>
        </w:tc>
        <w:tc>
          <w:tcPr>
            <w:tcW w:w="9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(103,385)</w:t>
            </w:r>
          </w:p>
        </w:tc>
        <w:tc>
          <w:tcPr>
            <w:tcW w:w="8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-69.4%</w:t>
            </w:r>
          </w:p>
        </w:tc>
        <w:tc>
          <w:tcPr>
            <w:tcW w:w="200" w:type="dxa"/>
            <w:vAlign w:val="bottom"/>
          </w:tcPr>
          <w:p>
            <w:pPr>
              <w:spacing w:after="0"/>
              <w:rPr>
                <w:sz w:val="12"/>
                <w:szCs w:val="12"/>
                <w:color w:val="auto"/>
              </w:rPr>
            </w:pPr>
          </w:p>
        </w:tc>
        <w:tc>
          <w:tcPr>
            <w:tcW w:w="6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-87.9%</w:t>
            </w:r>
          </w:p>
        </w:tc>
        <w:tc>
          <w:tcPr>
            <w:tcW w:w="9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(4,021,827)</w:t>
            </w:r>
          </w:p>
        </w:tc>
        <w:tc>
          <w:tcPr>
            <w:tcW w:w="80" w:type="dxa"/>
            <w:vAlign w:val="bottom"/>
          </w:tcPr>
          <w:p>
            <w:pPr>
              <w:spacing w:after="0"/>
              <w:rPr>
                <w:sz w:val="12"/>
                <w:szCs w:val="12"/>
                <w:color w:val="auto"/>
              </w:rPr>
            </w:pPr>
          </w:p>
        </w:tc>
        <w:tc>
          <w:tcPr>
            <w:tcW w:w="8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(876,431)</w:t>
            </w:r>
          </w:p>
        </w:tc>
        <w:tc>
          <w:tcPr>
            <w:tcW w:w="1420" w:type="dxa"/>
            <w:vAlign w:val="bottom"/>
            <w:gridSpan w:val="2"/>
          </w:tcPr>
          <w:p>
            <w:pPr>
              <w:jc w:val="right"/>
              <w:ind w:right="20"/>
              <w:spacing w:after="0" w:line="145" w:lineRule="exact"/>
              <w:rPr>
                <w:sz w:val="20"/>
                <w:szCs w:val="20"/>
                <w:color w:val="auto"/>
              </w:rPr>
            </w:pPr>
            <w:r>
              <w:rPr>
                <w:rFonts w:ascii="Arial" w:cs="Arial" w:eastAsia="Arial" w:hAnsi="Arial"/>
                <w:sz w:val="14"/>
                <w:szCs w:val="14"/>
                <w:color w:val="auto"/>
              </w:rPr>
              <w:t>-78.2%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Recoveries of written-off loans</w:t>
            </w:r>
          </w:p>
        </w:tc>
        <w:tc>
          <w:tcPr>
            <w:tcW w:w="8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33,342</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55,807</w:t>
            </w:r>
          </w:p>
        </w:tc>
        <w:tc>
          <w:tcPr>
            <w:tcW w:w="9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70,441</w:t>
            </w:r>
          </w:p>
        </w:tc>
        <w:tc>
          <w:tcPr>
            <w:tcW w:w="8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26.2%</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111.3%</w:t>
            </w:r>
          </w:p>
        </w:tc>
        <w:tc>
          <w:tcPr>
            <w:tcW w:w="94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81,853</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176,274</w:t>
            </w:r>
          </w:p>
        </w:tc>
        <w:tc>
          <w:tcPr>
            <w:tcW w:w="142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115.4%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40" w:type="dxa"/>
            <w:vAlign w:val="bottom"/>
          </w:tcPr>
          <w:p>
            <w:pPr>
              <w:spacing w:after="0" w:line="122" w:lineRule="exact"/>
              <w:rPr>
                <w:sz w:val="20"/>
                <w:szCs w:val="20"/>
                <w:color w:val="auto"/>
              </w:rPr>
            </w:pPr>
            <w:r>
              <w:rPr>
                <w:rFonts w:ascii="Arial" w:cs="Arial" w:eastAsia="Arial" w:hAnsi="Arial"/>
                <w:sz w:val="14"/>
                <w:szCs w:val="14"/>
                <w:b w:val="1"/>
                <w:bCs w:val="1"/>
                <w:color w:val="auto"/>
              </w:rPr>
              <w:t>Provision for credit losses on loan portfolio, net of</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(819,769)</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(281,861)</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(32,944)</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-88.3%</w:t>
            </w:r>
          </w:p>
        </w:tc>
        <w:tc>
          <w:tcPr>
            <w:tcW w:w="20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-96.0%</w:t>
            </w: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(3,939,974)</w:t>
            </w:r>
          </w:p>
        </w:tc>
        <w:tc>
          <w:tcPr>
            <w:tcW w:w="8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(700,157)</w:t>
            </w:r>
          </w:p>
        </w:tc>
        <w:tc>
          <w:tcPr>
            <w:tcW w:w="1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-82.2%</w:t>
            </w:r>
          </w:p>
        </w:tc>
        <w:tc>
          <w:tcPr>
            <w:tcW w:w="0" w:type="dxa"/>
            <w:vAlign w:val="bottom"/>
          </w:tcPr>
          <w:p>
            <w:pPr>
              <w:spacing w:after="0"/>
              <w:rPr>
                <w:sz w:val="1"/>
                <w:szCs w:val="1"/>
                <w:color w:val="auto"/>
              </w:rPr>
            </w:pPr>
          </w:p>
        </w:tc>
      </w:tr>
      <w:tr>
        <w:trPr>
          <w:trHeight w:val="167"/>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recoveries</w:t>
            </w:r>
          </w:p>
        </w:tc>
        <w:tc>
          <w:tcPr>
            <w:tcW w:w="8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40" w:type="dxa"/>
            <w:vAlign w:val="bottom"/>
          </w:tcPr>
          <w:p>
            <w:pPr>
              <w:spacing w:after="0" w:line="145" w:lineRule="exact"/>
              <w:rPr>
                <w:sz w:val="20"/>
                <w:szCs w:val="20"/>
                <w:color w:val="auto"/>
              </w:rPr>
            </w:pPr>
            <w:r>
              <w:rPr>
                <w:rFonts w:ascii="Arial" w:cs="Arial" w:eastAsia="Arial" w:hAnsi="Arial"/>
                <w:sz w:val="14"/>
                <w:szCs w:val="14"/>
                <w:b w:val="1"/>
                <w:bCs w:val="1"/>
                <w:color w:val="auto"/>
              </w:rPr>
              <w:t>Risk-adjusted net interest income</w:t>
            </w:r>
          </w:p>
        </w:tc>
        <w:tc>
          <w:tcPr>
            <w:tcW w:w="880" w:type="dxa"/>
            <w:vAlign w:val="bottom"/>
            <w:gridSpan w:val="2"/>
          </w:tcPr>
          <w:p>
            <w:pPr>
              <w:jc w:val="right"/>
              <w:ind w:right="220"/>
              <w:spacing w:after="0" w:line="145" w:lineRule="exact"/>
              <w:rPr>
                <w:sz w:val="20"/>
                <w:szCs w:val="20"/>
                <w:color w:val="auto"/>
              </w:rPr>
            </w:pPr>
            <w:r>
              <w:rPr>
                <w:rFonts w:ascii="Arial" w:cs="Arial" w:eastAsia="Arial" w:hAnsi="Arial"/>
                <w:sz w:val="14"/>
                <w:szCs w:val="14"/>
                <w:b w:val="1"/>
                <w:bCs w:val="1"/>
                <w:color w:val="auto"/>
              </w:rPr>
              <w:t>663,338</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b w:val="1"/>
                <w:bCs w:val="1"/>
                <w:color w:val="auto"/>
              </w:rPr>
              <w:t>1,265,366</w:t>
            </w:r>
          </w:p>
        </w:tc>
        <w:tc>
          <w:tcPr>
            <w:tcW w:w="940" w:type="dxa"/>
            <w:vAlign w:val="bottom"/>
            <w:gridSpan w:val="2"/>
          </w:tcPr>
          <w:p>
            <w:pPr>
              <w:jc w:val="right"/>
              <w:ind w:right="200"/>
              <w:spacing w:after="0" w:line="145" w:lineRule="exact"/>
              <w:rPr>
                <w:sz w:val="20"/>
                <w:szCs w:val="20"/>
                <w:color w:val="auto"/>
              </w:rPr>
            </w:pPr>
            <w:r>
              <w:rPr>
                <w:rFonts w:ascii="Arial" w:cs="Arial" w:eastAsia="Arial" w:hAnsi="Arial"/>
                <w:sz w:val="14"/>
                <w:szCs w:val="14"/>
                <w:b w:val="1"/>
                <w:bCs w:val="1"/>
                <w:color w:val="auto"/>
              </w:rPr>
              <w:t>1,570,876</w:t>
            </w:r>
          </w:p>
        </w:tc>
        <w:tc>
          <w:tcPr>
            <w:tcW w:w="880" w:type="dxa"/>
            <w:vAlign w:val="bottom"/>
            <w:gridSpan w:val="2"/>
          </w:tcPr>
          <w:p>
            <w:pPr>
              <w:jc w:val="right"/>
              <w:ind w:right="100"/>
              <w:spacing w:after="0" w:line="145" w:lineRule="exact"/>
              <w:rPr>
                <w:sz w:val="20"/>
                <w:szCs w:val="20"/>
                <w:color w:val="auto"/>
              </w:rPr>
            </w:pPr>
            <w:r>
              <w:rPr>
                <w:rFonts w:ascii="Arial" w:cs="Arial" w:eastAsia="Arial" w:hAnsi="Arial"/>
                <w:sz w:val="14"/>
                <w:szCs w:val="14"/>
                <w:b w:val="1"/>
                <w:bCs w:val="1"/>
                <w:color w:val="auto"/>
              </w:rPr>
              <w:t>24.1%</w:t>
            </w:r>
          </w:p>
        </w:tc>
        <w:tc>
          <w:tcPr>
            <w:tcW w:w="200" w:type="dxa"/>
            <w:vAlign w:val="bottom"/>
          </w:tcPr>
          <w:p>
            <w:pPr>
              <w:spacing w:after="0"/>
              <w:rPr>
                <w:sz w:val="12"/>
                <w:szCs w:val="12"/>
                <w:color w:val="auto"/>
              </w:rPr>
            </w:pPr>
          </w:p>
        </w:tc>
        <w:tc>
          <w:tcPr>
            <w:tcW w:w="680" w:type="dxa"/>
            <w:vAlign w:val="bottom"/>
            <w:gridSpan w:val="2"/>
          </w:tcPr>
          <w:p>
            <w:pPr>
              <w:jc w:val="right"/>
              <w:ind w:right="100"/>
              <w:spacing w:after="0" w:line="145" w:lineRule="exact"/>
              <w:rPr>
                <w:sz w:val="20"/>
                <w:szCs w:val="20"/>
                <w:color w:val="auto"/>
              </w:rPr>
            </w:pPr>
            <w:r>
              <w:rPr>
                <w:rFonts w:ascii="Arial" w:cs="Arial" w:eastAsia="Arial" w:hAnsi="Arial"/>
                <w:sz w:val="14"/>
                <w:szCs w:val="14"/>
                <w:b w:val="1"/>
                <w:bCs w:val="1"/>
                <w:color w:val="auto"/>
              </w:rPr>
              <w:t>136.8%</w:t>
            </w:r>
          </w:p>
        </w:tc>
        <w:tc>
          <w:tcPr>
            <w:tcW w:w="940" w:type="dxa"/>
            <w:vAlign w:val="bottom"/>
            <w:gridSpan w:val="2"/>
          </w:tcPr>
          <w:p>
            <w:pPr>
              <w:jc w:val="right"/>
              <w:ind w:right="220"/>
              <w:spacing w:after="0" w:line="145" w:lineRule="exact"/>
              <w:rPr>
                <w:sz w:val="20"/>
                <w:szCs w:val="20"/>
                <w:color w:val="auto"/>
              </w:rPr>
            </w:pPr>
            <w:r>
              <w:rPr>
                <w:rFonts w:ascii="Arial" w:cs="Arial" w:eastAsia="Arial" w:hAnsi="Arial"/>
                <w:sz w:val="14"/>
                <w:szCs w:val="14"/>
                <w:b w:val="1"/>
                <w:bCs w:val="1"/>
                <w:color w:val="auto"/>
              </w:rPr>
              <w:t>581,737</w:t>
            </w:r>
          </w:p>
        </w:tc>
        <w:tc>
          <w:tcPr>
            <w:tcW w:w="8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b w:val="1"/>
                <w:bCs w:val="1"/>
                <w:color w:val="auto"/>
                <w:w w:val="99"/>
              </w:rPr>
              <w:t>3,898,540</w:t>
            </w:r>
          </w:p>
        </w:tc>
        <w:tc>
          <w:tcPr>
            <w:tcW w:w="200" w:type="dxa"/>
            <w:vAlign w:val="bottom"/>
          </w:tcPr>
          <w:p>
            <w:pPr>
              <w:spacing w:after="0"/>
              <w:rPr>
                <w:sz w:val="12"/>
                <w:szCs w:val="12"/>
                <w:color w:val="auto"/>
              </w:rPr>
            </w:pPr>
          </w:p>
        </w:tc>
        <w:tc>
          <w:tcPr>
            <w:tcW w:w="1420" w:type="dxa"/>
            <w:vAlign w:val="bottom"/>
            <w:gridSpan w:val="2"/>
          </w:tcPr>
          <w:p>
            <w:pPr>
              <w:jc w:val="right"/>
              <w:spacing w:after="0" w:line="145" w:lineRule="exact"/>
              <w:rPr>
                <w:sz w:val="20"/>
                <w:szCs w:val="20"/>
                <w:color w:val="auto"/>
              </w:rPr>
            </w:pPr>
            <w:r>
              <w:rPr>
                <w:rFonts w:ascii="Arial" w:cs="Arial" w:eastAsia="Arial" w:hAnsi="Arial"/>
                <w:sz w:val="14"/>
                <w:szCs w:val="14"/>
                <w:b w:val="1"/>
                <w:bCs w:val="1"/>
                <w:color w:val="auto"/>
              </w:rPr>
              <w:t>570.2%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40" w:type="dxa"/>
            <w:vAlign w:val="bottom"/>
          </w:tcPr>
          <w:p>
            <w:pPr>
              <w:spacing w:after="0" w:line="145" w:lineRule="exact"/>
              <w:rPr>
                <w:sz w:val="20"/>
                <w:szCs w:val="20"/>
                <w:color w:val="auto"/>
              </w:rPr>
            </w:pPr>
            <w:r>
              <w:rPr>
                <w:rFonts w:ascii="Arial" w:cs="Arial" w:eastAsia="Arial" w:hAnsi="Arial"/>
                <w:sz w:val="14"/>
                <w:szCs w:val="14"/>
                <w:b w:val="1"/>
                <w:bCs w:val="1"/>
                <w:color w:val="auto"/>
              </w:rPr>
              <w:t>Other income</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40" w:type="dxa"/>
            <w:vAlign w:val="bottom"/>
            <w:shd w:val="clear" w:color="auto" w:fill="CCEEFF"/>
          </w:tcPr>
          <w:p>
            <w:pPr>
              <w:ind w:left="120"/>
              <w:spacing w:after="0" w:line="145" w:lineRule="exact"/>
              <w:rPr>
                <w:sz w:val="20"/>
                <w:szCs w:val="20"/>
                <w:color w:val="auto"/>
              </w:rPr>
            </w:pPr>
            <w:r>
              <w:rPr>
                <w:rFonts w:ascii="Arial" w:cs="Arial" w:eastAsia="Arial" w:hAnsi="Arial"/>
                <w:sz w:val="14"/>
                <w:szCs w:val="14"/>
                <w:color w:val="auto"/>
              </w:rPr>
              <w:t>Fee income</w:t>
            </w:r>
          </w:p>
        </w:tc>
        <w:tc>
          <w:tcPr>
            <w:tcW w:w="8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568,394</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637,821</w:t>
            </w:r>
          </w:p>
        </w:tc>
        <w:tc>
          <w:tcPr>
            <w:tcW w:w="9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669,583</w:t>
            </w:r>
          </w:p>
        </w:tc>
        <w:tc>
          <w:tcPr>
            <w:tcW w:w="8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5.0%</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17.8%</w:t>
            </w:r>
          </w:p>
        </w:tc>
        <w:tc>
          <w:tcPr>
            <w:tcW w:w="94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1,526,026</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9"/>
              </w:rPr>
              <w:t>1,921,827</w:t>
            </w:r>
          </w:p>
        </w:tc>
        <w:tc>
          <w:tcPr>
            <w:tcW w:w="2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40" w:type="dxa"/>
            <w:vAlign w:val="bottom"/>
          </w:tcPr>
          <w:p>
            <w:pPr>
              <w:ind w:left="120"/>
              <w:spacing w:after="0" w:line="145" w:lineRule="exact"/>
              <w:rPr>
                <w:sz w:val="20"/>
                <w:szCs w:val="20"/>
                <w:color w:val="auto"/>
              </w:rPr>
            </w:pPr>
            <w:r>
              <w:rPr>
                <w:rFonts w:ascii="Arial" w:cs="Arial" w:eastAsia="Arial" w:hAnsi="Arial"/>
                <w:sz w:val="14"/>
                <w:szCs w:val="14"/>
                <w:color w:val="auto"/>
              </w:rPr>
              <w:t>Net gain on foreign exchange transactions</w:t>
            </w:r>
          </w:p>
        </w:tc>
        <w:tc>
          <w:tcPr>
            <w:tcW w:w="88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151,694</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238,775</w:t>
            </w:r>
          </w:p>
        </w:tc>
        <w:tc>
          <w:tcPr>
            <w:tcW w:w="9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231,547</w:t>
            </w:r>
          </w:p>
        </w:tc>
        <w:tc>
          <w:tcPr>
            <w:tcW w:w="8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-3.0%</w:t>
            </w:r>
          </w:p>
        </w:tc>
        <w:tc>
          <w:tcPr>
            <w:tcW w:w="200" w:type="dxa"/>
            <w:vAlign w:val="bottom"/>
          </w:tcPr>
          <w:p>
            <w:pPr>
              <w:spacing w:after="0"/>
              <w:rPr>
                <w:sz w:val="12"/>
                <w:szCs w:val="12"/>
                <w:color w:val="auto"/>
              </w:rPr>
            </w:pPr>
          </w:p>
        </w:tc>
        <w:tc>
          <w:tcPr>
            <w:tcW w:w="6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52.6%</w:t>
            </w:r>
          </w:p>
        </w:tc>
        <w:tc>
          <w:tcPr>
            <w:tcW w:w="9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468,691</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642,810</w:t>
            </w:r>
          </w:p>
        </w:tc>
        <w:tc>
          <w:tcPr>
            <w:tcW w:w="1420" w:type="dxa"/>
            <w:vAlign w:val="bottom"/>
            <w:gridSpan w:val="2"/>
          </w:tcPr>
          <w:p>
            <w:pPr>
              <w:jc w:val="right"/>
              <w:ind w:right="20"/>
              <w:spacing w:after="0" w:line="145" w:lineRule="exact"/>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40" w:type="dxa"/>
            <w:vAlign w:val="bottom"/>
            <w:shd w:val="clear" w:color="auto" w:fill="CCEEFF"/>
          </w:tcPr>
          <w:p>
            <w:pPr>
              <w:ind w:left="120"/>
              <w:spacing w:after="0" w:line="145" w:lineRule="exact"/>
              <w:rPr>
                <w:sz w:val="20"/>
                <w:szCs w:val="20"/>
                <w:color w:val="auto"/>
              </w:rPr>
            </w:pPr>
            <w:r>
              <w:rPr>
                <w:rFonts w:ascii="Arial" w:cs="Arial" w:eastAsia="Arial" w:hAnsi="Arial"/>
                <w:sz w:val="14"/>
                <w:szCs w:val="14"/>
                <w:color w:val="auto"/>
              </w:rPr>
              <w:t>Net gain on securities</w:t>
            </w:r>
          </w:p>
        </w:tc>
        <w:tc>
          <w:tcPr>
            <w:tcW w:w="8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174,600</w:t>
            </w:r>
          </w:p>
        </w:tc>
        <w:tc>
          <w:tcPr>
            <w:tcW w:w="92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(130,488)</w:t>
            </w:r>
          </w:p>
        </w:tc>
        <w:tc>
          <w:tcPr>
            <w:tcW w:w="9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(30,044)</w:t>
            </w:r>
          </w:p>
        </w:tc>
        <w:tc>
          <w:tcPr>
            <w:tcW w:w="8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-77.0%</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w w:val="99"/>
              </w:rPr>
              <w:t>-117.2%</w:t>
            </w:r>
          </w:p>
        </w:tc>
        <w:tc>
          <w:tcPr>
            <w:tcW w:w="94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120,627</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(118,568)</w:t>
            </w:r>
          </w:p>
        </w:tc>
        <w:tc>
          <w:tcPr>
            <w:tcW w:w="142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-198.3%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40" w:type="dxa"/>
            <w:vAlign w:val="bottom"/>
          </w:tcPr>
          <w:p>
            <w:pPr>
              <w:ind w:left="120"/>
              <w:spacing w:after="0" w:line="145" w:lineRule="exact"/>
              <w:rPr>
                <w:sz w:val="20"/>
                <w:szCs w:val="20"/>
                <w:color w:val="auto"/>
              </w:rPr>
            </w:pPr>
            <w:r>
              <w:rPr>
                <w:rFonts w:ascii="Arial" w:cs="Arial" w:eastAsia="Arial" w:hAnsi="Arial"/>
                <w:sz w:val="14"/>
                <w:szCs w:val="14"/>
                <w:color w:val="auto"/>
              </w:rPr>
              <w:t>Net gain from associates</w:t>
            </w:r>
          </w:p>
        </w:tc>
        <w:tc>
          <w:tcPr>
            <w:tcW w:w="8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(254,578)</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52,809</w:t>
            </w:r>
          </w:p>
        </w:tc>
        <w:tc>
          <w:tcPr>
            <w:tcW w:w="9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73,843</w:t>
            </w:r>
          </w:p>
        </w:tc>
        <w:tc>
          <w:tcPr>
            <w:tcW w:w="8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39.8%</w:t>
            </w:r>
          </w:p>
        </w:tc>
        <w:tc>
          <w:tcPr>
            <w:tcW w:w="200" w:type="dxa"/>
            <w:vAlign w:val="bottom"/>
          </w:tcPr>
          <w:p>
            <w:pPr>
              <w:spacing w:after="0"/>
              <w:rPr>
                <w:sz w:val="12"/>
                <w:szCs w:val="12"/>
                <w:color w:val="auto"/>
              </w:rPr>
            </w:pPr>
          </w:p>
        </w:tc>
        <w:tc>
          <w:tcPr>
            <w:tcW w:w="68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n.a.</w:t>
            </w:r>
          </w:p>
        </w:tc>
        <w:tc>
          <w:tcPr>
            <w:tcW w:w="9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(386,729)</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140,762</w:t>
            </w:r>
          </w:p>
        </w:tc>
        <w:tc>
          <w:tcPr>
            <w:tcW w:w="14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40" w:type="dxa"/>
            <w:vAlign w:val="bottom"/>
            <w:shd w:val="clear" w:color="auto" w:fill="CCEEFF"/>
          </w:tcPr>
          <w:p>
            <w:pPr>
              <w:ind w:left="120"/>
              <w:spacing w:after="0" w:line="145" w:lineRule="exact"/>
              <w:rPr>
                <w:sz w:val="20"/>
                <w:szCs w:val="20"/>
                <w:color w:val="auto"/>
              </w:rPr>
            </w:pPr>
            <w:r>
              <w:rPr>
                <w:rFonts w:ascii="Arial" w:cs="Arial" w:eastAsia="Arial" w:hAnsi="Arial"/>
                <w:sz w:val="14"/>
                <w:szCs w:val="14"/>
                <w:color w:val="auto"/>
              </w:rPr>
              <w:t>Net gain on derivatives held for trading</w:t>
            </w:r>
          </w:p>
        </w:tc>
        <w:tc>
          <w:tcPr>
            <w:tcW w:w="8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11,496</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31,076</w:t>
            </w:r>
          </w:p>
        </w:tc>
        <w:tc>
          <w:tcPr>
            <w:tcW w:w="9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4,260</w:t>
            </w:r>
          </w:p>
        </w:tc>
        <w:tc>
          <w:tcPr>
            <w:tcW w:w="8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-86.3%</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-62.9%</w:t>
            </w:r>
          </w:p>
        </w:tc>
        <w:tc>
          <w:tcPr>
            <w:tcW w:w="94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44,624</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47,164</w:t>
            </w:r>
          </w:p>
        </w:tc>
        <w:tc>
          <w:tcPr>
            <w:tcW w:w="142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40" w:type="dxa"/>
            <w:vAlign w:val="bottom"/>
          </w:tcPr>
          <w:p>
            <w:pPr>
              <w:ind w:left="120"/>
              <w:spacing w:after="0" w:line="145" w:lineRule="exact"/>
              <w:rPr>
                <w:sz w:val="20"/>
                <w:szCs w:val="20"/>
                <w:color w:val="auto"/>
              </w:rPr>
            </w:pPr>
            <w:r>
              <w:rPr>
                <w:rFonts w:ascii="Arial" w:cs="Arial" w:eastAsia="Arial" w:hAnsi="Arial"/>
                <w:sz w:val="14"/>
                <w:szCs w:val="14"/>
                <w:color w:val="auto"/>
              </w:rPr>
              <w:t>Net gain from exchange differences</w:t>
            </w:r>
          </w:p>
        </w:tc>
        <w:tc>
          <w:tcPr>
            <w:tcW w:w="88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2,806</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55,219</w:t>
            </w:r>
          </w:p>
        </w:tc>
        <w:tc>
          <w:tcPr>
            <w:tcW w:w="9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7,277</w:t>
            </w:r>
          </w:p>
        </w:tc>
        <w:tc>
          <w:tcPr>
            <w:tcW w:w="8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-86.8%</w:t>
            </w:r>
          </w:p>
        </w:tc>
        <w:tc>
          <w:tcPr>
            <w:tcW w:w="200" w:type="dxa"/>
            <w:vAlign w:val="bottom"/>
          </w:tcPr>
          <w:p>
            <w:pPr>
              <w:spacing w:after="0"/>
              <w:rPr>
                <w:sz w:val="12"/>
                <w:szCs w:val="12"/>
                <w:color w:val="auto"/>
              </w:rPr>
            </w:pPr>
          </w:p>
        </w:tc>
        <w:tc>
          <w:tcPr>
            <w:tcW w:w="6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159.3%</w:t>
            </w:r>
          </w:p>
        </w:tc>
        <w:tc>
          <w:tcPr>
            <w:tcW w:w="9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1,261</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59,444</w:t>
            </w:r>
          </w:p>
        </w:tc>
        <w:tc>
          <w:tcPr>
            <w:tcW w:w="1420" w:type="dxa"/>
            <w:vAlign w:val="bottom"/>
            <w:gridSpan w:val="2"/>
          </w:tcPr>
          <w:p>
            <w:pPr>
              <w:jc w:val="right"/>
              <w:ind w:right="20"/>
              <w:spacing w:after="0" w:line="145" w:lineRule="exact"/>
              <w:rPr>
                <w:sz w:val="20"/>
                <w:szCs w:val="20"/>
                <w:color w:val="auto"/>
              </w:rPr>
            </w:pPr>
            <w:r>
              <w:rPr>
                <w:rFonts w:ascii="Arial" w:cs="Arial" w:eastAsia="Arial" w:hAnsi="Arial"/>
                <w:sz w:val="14"/>
                <w:szCs w:val="14"/>
                <w:color w:val="auto"/>
              </w:rPr>
              <w:t>4614.0%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40" w:type="dxa"/>
            <w:vAlign w:val="bottom"/>
            <w:shd w:val="clear" w:color="auto" w:fill="CCEEFF"/>
          </w:tcPr>
          <w:p>
            <w:pPr>
              <w:ind w:left="120"/>
              <w:spacing w:after="0" w:line="145" w:lineRule="exact"/>
              <w:rPr>
                <w:sz w:val="20"/>
                <w:szCs w:val="20"/>
                <w:color w:val="auto"/>
              </w:rPr>
            </w:pPr>
            <w:r>
              <w:rPr>
                <w:rFonts w:ascii="Arial" w:cs="Arial" w:eastAsia="Arial" w:hAnsi="Arial"/>
                <w:sz w:val="14"/>
                <w:szCs w:val="14"/>
                <w:color w:val="auto"/>
              </w:rPr>
              <w:t>Others</w:t>
            </w:r>
          </w:p>
        </w:tc>
        <w:tc>
          <w:tcPr>
            <w:tcW w:w="8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36,864</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41,144</w:t>
            </w:r>
          </w:p>
        </w:tc>
        <w:tc>
          <w:tcPr>
            <w:tcW w:w="9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32,642</w:t>
            </w:r>
          </w:p>
        </w:tc>
        <w:tc>
          <w:tcPr>
            <w:tcW w:w="8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-20.7%</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-11.5%</w:t>
            </w:r>
          </w:p>
        </w:tc>
        <w:tc>
          <w:tcPr>
            <w:tcW w:w="94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128,930</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123,716</w:t>
            </w:r>
          </w:p>
        </w:tc>
        <w:tc>
          <w:tcPr>
            <w:tcW w:w="142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40" w:type="dxa"/>
            <w:vAlign w:val="bottom"/>
          </w:tcPr>
          <w:p>
            <w:pPr>
              <w:ind w:left="120"/>
              <w:spacing w:after="0" w:line="145" w:lineRule="exact"/>
              <w:rPr>
                <w:sz w:val="20"/>
                <w:szCs w:val="20"/>
                <w:color w:val="auto"/>
              </w:rPr>
            </w:pPr>
            <w:r>
              <w:rPr>
                <w:rFonts w:ascii="Arial" w:cs="Arial" w:eastAsia="Arial" w:hAnsi="Arial"/>
                <w:sz w:val="14"/>
                <w:szCs w:val="14"/>
                <w:b w:val="1"/>
                <w:bCs w:val="1"/>
                <w:color w:val="auto"/>
              </w:rPr>
              <w:t>Total other income</w:t>
            </w:r>
          </w:p>
        </w:tc>
        <w:tc>
          <w:tcPr>
            <w:tcW w:w="880" w:type="dxa"/>
            <w:vAlign w:val="bottom"/>
            <w:gridSpan w:val="2"/>
          </w:tcPr>
          <w:p>
            <w:pPr>
              <w:jc w:val="right"/>
              <w:ind w:right="220"/>
              <w:spacing w:after="0" w:line="145" w:lineRule="exact"/>
              <w:rPr>
                <w:sz w:val="20"/>
                <w:szCs w:val="20"/>
                <w:color w:val="auto"/>
              </w:rPr>
            </w:pPr>
            <w:r>
              <w:rPr>
                <w:rFonts w:ascii="Arial" w:cs="Arial" w:eastAsia="Arial" w:hAnsi="Arial"/>
                <w:sz w:val="14"/>
                <w:szCs w:val="14"/>
                <w:b w:val="1"/>
                <w:bCs w:val="1"/>
                <w:color w:val="auto"/>
              </w:rPr>
              <w:t>691,276</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b w:val="1"/>
                <w:bCs w:val="1"/>
                <w:color w:val="auto"/>
              </w:rPr>
              <w:t>926,356</w:t>
            </w:r>
          </w:p>
        </w:tc>
        <w:tc>
          <w:tcPr>
            <w:tcW w:w="940" w:type="dxa"/>
            <w:vAlign w:val="bottom"/>
            <w:gridSpan w:val="2"/>
          </w:tcPr>
          <w:p>
            <w:pPr>
              <w:jc w:val="right"/>
              <w:ind w:right="200"/>
              <w:spacing w:after="0" w:line="145" w:lineRule="exact"/>
              <w:rPr>
                <w:sz w:val="20"/>
                <w:szCs w:val="20"/>
                <w:color w:val="auto"/>
              </w:rPr>
            </w:pPr>
            <w:r>
              <w:rPr>
                <w:rFonts w:ascii="Arial" w:cs="Arial" w:eastAsia="Arial" w:hAnsi="Arial"/>
                <w:sz w:val="14"/>
                <w:szCs w:val="14"/>
                <w:b w:val="1"/>
                <w:bCs w:val="1"/>
                <w:color w:val="auto"/>
              </w:rPr>
              <w:t>989,108</w:t>
            </w:r>
          </w:p>
        </w:tc>
        <w:tc>
          <w:tcPr>
            <w:tcW w:w="880" w:type="dxa"/>
            <w:vAlign w:val="bottom"/>
            <w:gridSpan w:val="2"/>
          </w:tcPr>
          <w:p>
            <w:pPr>
              <w:jc w:val="right"/>
              <w:ind w:right="100"/>
              <w:spacing w:after="0" w:line="145" w:lineRule="exact"/>
              <w:rPr>
                <w:sz w:val="20"/>
                <w:szCs w:val="20"/>
                <w:color w:val="auto"/>
              </w:rPr>
            </w:pPr>
            <w:r>
              <w:rPr>
                <w:rFonts w:ascii="Arial" w:cs="Arial" w:eastAsia="Arial" w:hAnsi="Arial"/>
                <w:sz w:val="14"/>
                <w:szCs w:val="14"/>
                <w:b w:val="1"/>
                <w:bCs w:val="1"/>
                <w:color w:val="auto"/>
              </w:rPr>
              <w:t>6.8%</w:t>
            </w:r>
          </w:p>
        </w:tc>
        <w:tc>
          <w:tcPr>
            <w:tcW w:w="200" w:type="dxa"/>
            <w:vAlign w:val="bottom"/>
          </w:tcPr>
          <w:p>
            <w:pPr>
              <w:spacing w:after="0"/>
              <w:rPr>
                <w:sz w:val="12"/>
                <w:szCs w:val="12"/>
                <w:color w:val="auto"/>
              </w:rPr>
            </w:pPr>
          </w:p>
        </w:tc>
        <w:tc>
          <w:tcPr>
            <w:tcW w:w="680" w:type="dxa"/>
            <w:vAlign w:val="bottom"/>
            <w:gridSpan w:val="2"/>
          </w:tcPr>
          <w:p>
            <w:pPr>
              <w:jc w:val="right"/>
              <w:ind w:right="100"/>
              <w:spacing w:after="0" w:line="145" w:lineRule="exact"/>
              <w:rPr>
                <w:sz w:val="20"/>
                <w:szCs w:val="20"/>
                <w:color w:val="auto"/>
              </w:rPr>
            </w:pPr>
            <w:r>
              <w:rPr>
                <w:rFonts w:ascii="Arial" w:cs="Arial" w:eastAsia="Arial" w:hAnsi="Arial"/>
                <w:sz w:val="14"/>
                <w:szCs w:val="14"/>
                <w:b w:val="1"/>
                <w:bCs w:val="1"/>
                <w:color w:val="auto"/>
              </w:rPr>
              <w:t>43.1%</w:t>
            </w:r>
          </w:p>
        </w:tc>
        <w:tc>
          <w:tcPr>
            <w:tcW w:w="940" w:type="dxa"/>
            <w:vAlign w:val="bottom"/>
            <w:gridSpan w:val="2"/>
          </w:tcPr>
          <w:p>
            <w:pPr>
              <w:jc w:val="right"/>
              <w:ind w:right="220"/>
              <w:spacing w:after="0" w:line="145" w:lineRule="exact"/>
              <w:rPr>
                <w:sz w:val="20"/>
                <w:szCs w:val="20"/>
                <w:color w:val="auto"/>
              </w:rPr>
            </w:pPr>
            <w:r>
              <w:rPr>
                <w:rFonts w:ascii="Arial" w:cs="Arial" w:eastAsia="Arial" w:hAnsi="Arial"/>
                <w:sz w:val="14"/>
                <w:szCs w:val="14"/>
                <w:b w:val="1"/>
                <w:bCs w:val="1"/>
                <w:color w:val="auto"/>
              </w:rPr>
              <w:t>1,903,430</w:t>
            </w:r>
          </w:p>
        </w:tc>
        <w:tc>
          <w:tcPr>
            <w:tcW w:w="8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b w:val="1"/>
                <w:bCs w:val="1"/>
                <w:color w:val="auto"/>
                <w:w w:val="99"/>
              </w:rPr>
              <w:t>2,817,155</w:t>
            </w:r>
          </w:p>
        </w:tc>
        <w:tc>
          <w:tcPr>
            <w:tcW w:w="200" w:type="dxa"/>
            <w:vAlign w:val="bottom"/>
          </w:tcPr>
          <w:p>
            <w:pPr>
              <w:spacing w:after="0"/>
              <w:rPr>
                <w:sz w:val="12"/>
                <w:szCs w:val="12"/>
                <w:color w:val="auto"/>
              </w:rPr>
            </w:pPr>
          </w:p>
        </w:tc>
        <w:tc>
          <w:tcPr>
            <w:tcW w:w="1420" w:type="dxa"/>
            <w:vAlign w:val="bottom"/>
            <w:gridSpan w:val="2"/>
          </w:tcPr>
          <w:p>
            <w:pPr>
              <w:jc w:val="right"/>
              <w:spacing w:after="0" w:line="145" w:lineRule="exact"/>
              <w:rPr>
                <w:sz w:val="20"/>
                <w:szCs w:val="20"/>
                <w:color w:val="auto"/>
              </w:rPr>
            </w:pPr>
            <w:r>
              <w:rPr>
                <w:rFonts w:ascii="Arial" w:cs="Arial" w:eastAsia="Arial" w:hAnsi="Arial"/>
                <w:sz w:val="14"/>
                <w:szCs w:val="14"/>
                <w:b w:val="1"/>
                <w:bCs w:val="1"/>
                <w:color w:val="auto"/>
              </w:rPr>
              <w:t>48.0%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40" w:type="dxa"/>
            <w:vAlign w:val="bottom"/>
          </w:tcPr>
          <w:p>
            <w:pPr>
              <w:spacing w:after="0" w:line="145" w:lineRule="exact"/>
              <w:rPr>
                <w:sz w:val="20"/>
                <w:szCs w:val="20"/>
                <w:color w:val="auto"/>
              </w:rPr>
            </w:pPr>
            <w:r>
              <w:rPr>
                <w:rFonts w:ascii="Arial" w:cs="Arial" w:eastAsia="Arial" w:hAnsi="Arial"/>
                <w:sz w:val="14"/>
                <w:szCs w:val="14"/>
                <w:b w:val="1"/>
                <w:bCs w:val="1"/>
                <w:color w:val="auto"/>
              </w:rPr>
              <w:t>Total expenses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40" w:type="dxa"/>
            <w:vAlign w:val="bottom"/>
            <w:shd w:val="clear" w:color="auto" w:fill="CCEEFF"/>
          </w:tcPr>
          <w:p>
            <w:pPr>
              <w:ind w:left="120"/>
              <w:spacing w:after="0" w:line="145" w:lineRule="exact"/>
              <w:rPr>
                <w:sz w:val="20"/>
                <w:szCs w:val="20"/>
                <w:color w:val="auto"/>
              </w:rPr>
            </w:pPr>
            <w:r>
              <w:rPr>
                <w:rFonts w:ascii="Arial" w:cs="Arial" w:eastAsia="Arial" w:hAnsi="Arial"/>
                <w:sz w:val="14"/>
                <w:szCs w:val="14"/>
                <w:color w:val="auto"/>
              </w:rPr>
              <w:t>Salaries and employee benefits</w:t>
            </w:r>
          </w:p>
        </w:tc>
        <w:tc>
          <w:tcPr>
            <w:tcW w:w="8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(386,520)</w:t>
            </w:r>
          </w:p>
        </w:tc>
        <w:tc>
          <w:tcPr>
            <w:tcW w:w="92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(444,586)</w:t>
            </w:r>
          </w:p>
        </w:tc>
        <w:tc>
          <w:tcPr>
            <w:tcW w:w="9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(449,094)</w:t>
            </w:r>
          </w:p>
        </w:tc>
        <w:tc>
          <w:tcPr>
            <w:tcW w:w="8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16.2%</w:t>
            </w:r>
          </w:p>
        </w:tc>
        <w:tc>
          <w:tcPr>
            <w:tcW w:w="9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(1,235,296)</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w w:val="92"/>
              </w:rPr>
              <w:t>(1,312,078)</w:t>
            </w:r>
          </w:p>
        </w:tc>
        <w:tc>
          <w:tcPr>
            <w:tcW w:w="142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40" w:type="dxa"/>
            <w:vAlign w:val="bottom"/>
          </w:tcPr>
          <w:p>
            <w:pPr>
              <w:ind w:left="120"/>
              <w:spacing w:after="0" w:line="145" w:lineRule="exact"/>
              <w:rPr>
                <w:sz w:val="20"/>
                <w:szCs w:val="20"/>
                <w:color w:val="auto"/>
              </w:rPr>
            </w:pPr>
            <w:r>
              <w:rPr>
                <w:rFonts w:ascii="Arial" w:cs="Arial" w:eastAsia="Arial" w:hAnsi="Arial"/>
                <w:sz w:val="14"/>
                <w:szCs w:val="14"/>
                <w:color w:val="auto"/>
              </w:rPr>
              <w:t>Administrative expenses</w:t>
            </w:r>
          </w:p>
        </w:tc>
        <w:tc>
          <w:tcPr>
            <w:tcW w:w="8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(413,568)</w:t>
            </w:r>
          </w:p>
        </w:tc>
        <w:tc>
          <w:tcPr>
            <w:tcW w:w="9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(461,867)</w:t>
            </w:r>
          </w:p>
        </w:tc>
        <w:tc>
          <w:tcPr>
            <w:tcW w:w="9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(580,194)</w:t>
            </w:r>
          </w:p>
        </w:tc>
        <w:tc>
          <w:tcPr>
            <w:tcW w:w="8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25.6%</w:t>
            </w:r>
          </w:p>
        </w:tc>
        <w:tc>
          <w:tcPr>
            <w:tcW w:w="200" w:type="dxa"/>
            <w:vAlign w:val="bottom"/>
          </w:tcPr>
          <w:p>
            <w:pPr>
              <w:spacing w:after="0"/>
              <w:rPr>
                <w:sz w:val="12"/>
                <w:szCs w:val="12"/>
                <w:color w:val="auto"/>
              </w:rPr>
            </w:pPr>
          </w:p>
        </w:tc>
        <w:tc>
          <w:tcPr>
            <w:tcW w:w="6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40.3%</w:t>
            </w:r>
          </w:p>
        </w:tc>
        <w:tc>
          <w:tcPr>
            <w:tcW w:w="9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(1,118,675)</w:t>
            </w:r>
          </w:p>
        </w:tc>
        <w:tc>
          <w:tcPr>
            <w:tcW w:w="80" w:type="dxa"/>
            <w:vAlign w:val="bottom"/>
          </w:tcPr>
          <w:p>
            <w:pPr>
              <w:spacing w:after="0"/>
              <w:rPr>
                <w:sz w:val="12"/>
                <w:szCs w:val="12"/>
                <w:color w:val="auto"/>
              </w:rPr>
            </w:pPr>
          </w:p>
        </w:tc>
        <w:tc>
          <w:tcPr>
            <w:tcW w:w="8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w w:val="92"/>
              </w:rPr>
              <w:t>(1,421,692)</w:t>
            </w:r>
          </w:p>
        </w:tc>
        <w:tc>
          <w:tcPr>
            <w:tcW w:w="1420" w:type="dxa"/>
            <w:vAlign w:val="bottom"/>
            <w:gridSpan w:val="2"/>
          </w:tcPr>
          <w:p>
            <w:pPr>
              <w:jc w:val="right"/>
              <w:ind w:right="20"/>
              <w:spacing w:after="0" w:line="145" w:lineRule="exact"/>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440" w:type="dxa"/>
            <w:vAlign w:val="bottom"/>
            <w:shd w:val="clear" w:color="auto" w:fill="CCEEFF"/>
          </w:tcPr>
          <w:p>
            <w:pPr>
              <w:ind w:left="120"/>
              <w:spacing w:after="0" w:line="184"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21"/>
                <w:szCs w:val="21"/>
                <w:color w:val="auto"/>
                <w:vertAlign w:val="superscript"/>
              </w:rPr>
              <w:t>(2)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(103,615)</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(104,592)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(111,360)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6.5%</w:t>
            </w:r>
          </w:p>
        </w:tc>
        <w:tc>
          <w:tcPr>
            <w:tcW w:w="2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7.5%</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(318,722)</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(319,816)</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40" w:type="dxa"/>
            <w:vAlign w:val="bottom"/>
          </w:tcPr>
          <w:p>
            <w:pPr>
              <w:ind w:left="120"/>
              <w:spacing w:after="0" w:line="145" w:lineRule="exact"/>
              <w:rPr>
                <w:sz w:val="20"/>
                <w:szCs w:val="20"/>
                <w:color w:val="auto"/>
              </w:rPr>
            </w:pPr>
            <w:r>
              <w:rPr>
                <w:rFonts w:ascii="Arial" w:cs="Arial" w:eastAsia="Arial" w:hAnsi="Arial"/>
                <w:sz w:val="14"/>
                <w:szCs w:val="14"/>
                <w:color w:val="auto"/>
              </w:rPr>
              <w:t>Other expenses</w:t>
            </w:r>
          </w:p>
        </w:tc>
        <w:tc>
          <w:tcPr>
            <w:tcW w:w="8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(73,863)</w:t>
            </w:r>
          </w:p>
        </w:tc>
        <w:tc>
          <w:tcPr>
            <w:tcW w:w="9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(50,765)</w:t>
            </w:r>
          </w:p>
        </w:tc>
        <w:tc>
          <w:tcPr>
            <w:tcW w:w="9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(37,124)</w:t>
            </w:r>
          </w:p>
        </w:tc>
        <w:tc>
          <w:tcPr>
            <w:tcW w:w="8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-26.9%</w:t>
            </w:r>
          </w:p>
        </w:tc>
        <w:tc>
          <w:tcPr>
            <w:tcW w:w="200" w:type="dxa"/>
            <w:vAlign w:val="bottom"/>
          </w:tcPr>
          <w:p>
            <w:pPr>
              <w:spacing w:after="0"/>
              <w:rPr>
                <w:sz w:val="12"/>
                <w:szCs w:val="12"/>
                <w:color w:val="auto"/>
              </w:rPr>
            </w:pPr>
          </w:p>
        </w:tc>
        <w:tc>
          <w:tcPr>
            <w:tcW w:w="6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-49.7%</w:t>
            </w:r>
          </w:p>
        </w:tc>
        <w:tc>
          <w:tcPr>
            <w:tcW w:w="9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(279,520)</w:t>
            </w:r>
          </w:p>
        </w:tc>
        <w:tc>
          <w:tcPr>
            <w:tcW w:w="80" w:type="dxa"/>
            <w:vAlign w:val="bottom"/>
          </w:tcPr>
          <w:p>
            <w:pPr>
              <w:spacing w:after="0"/>
              <w:rPr>
                <w:sz w:val="12"/>
                <w:szCs w:val="12"/>
                <w:color w:val="auto"/>
              </w:rPr>
            </w:pPr>
          </w:p>
        </w:tc>
        <w:tc>
          <w:tcPr>
            <w:tcW w:w="8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(130,081)</w:t>
            </w:r>
          </w:p>
        </w:tc>
        <w:tc>
          <w:tcPr>
            <w:tcW w:w="1420" w:type="dxa"/>
            <w:vAlign w:val="bottom"/>
            <w:gridSpan w:val="2"/>
          </w:tcPr>
          <w:p>
            <w:pPr>
              <w:jc w:val="right"/>
              <w:ind w:right="20"/>
              <w:spacing w:after="0" w:line="145" w:lineRule="exact"/>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40" w:type="dxa"/>
            <w:vAlign w:val="bottom"/>
            <w:shd w:val="clear" w:color="auto" w:fill="CCEEFF"/>
          </w:tcPr>
          <w:p>
            <w:pPr>
              <w:ind w:left="120"/>
              <w:spacing w:after="0" w:line="145" w:lineRule="exact"/>
              <w:rPr>
                <w:sz w:val="20"/>
                <w:szCs w:val="20"/>
                <w:color w:val="auto"/>
              </w:rPr>
            </w:pPr>
            <w:r>
              <w:rPr>
                <w:rFonts w:ascii="Arial" w:cs="Arial" w:eastAsia="Arial" w:hAnsi="Arial"/>
                <w:sz w:val="14"/>
                <w:szCs w:val="14"/>
                <w:b w:val="1"/>
                <w:bCs w:val="1"/>
                <w:color w:val="auto"/>
              </w:rPr>
              <w:t>Total expenses</w:t>
            </w:r>
          </w:p>
        </w:tc>
        <w:tc>
          <w:tcPr>
            <w:tcW w:w="8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b w:val="1"/>
                <w:bCs w:val="1"/>
                <w:color w:val="auto"/>
              </w:rPr>
              <w:t>(977,566)</w:t>
            </w:r>
          </w:p>
        </w:tc>
        <w:tc>
          <w:tcPr>
            <w:tcW w:w="92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b w:val="1"/>
                <w:bCs w:val="1"/>
                <w:color w:val="auto"/>
              </w:rPr>
              <w:t>(1,061,810)</w:t>
            </w:r>
          </w:p>
        </w:tc>
        <w:tc>
          <w:tcPr>
            <w:tcW w:w="9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b w:val="1"/>
                <w:bCs w:val="1"/>
                <w:color w:val="auto"/>
              </w:rPr>
              <w:t>(1,177,772)</w:t>
            </w:r>
          </w:p>
        </w:tc>
        <w:tc>
          <w:tcPr>
            <w:tcW w:w="8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b w:val="1"/>
                <w:bCs w:val="1"/>
                <w:color w:val="auto"/>
              </w:rPr>
              <w:t>10.9%</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b w:val="1"/>
                <w:bCs w:val="1"/>
                <w:color w:val="auto"/>
              </w:rPr>
              <w:t>20.5%</w:t>
            </w:r>
          </w:p>
        </w:tc>
        <w:tc>
          <w:tcPr>
            <w:tcW w:w="9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b w:val="1"/>
                <w:bCs w:val="1"/>
                <w:color w:val="auto"/>
              </w:rPr>
              <w:t>(2,952,213)</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b w:val="1"/>
                <w:bCs w:val="1"/>
                <w:color w:val="auto"/>
                <w:w w:val="92"/>
              </w:rPr>
              <w:t>(3,183,667)</w:t>
            </w:r>
          </w:p>
        </w:tc>
        <w:tc>
          <w:tcPr>
            <w:tcW w:w="14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b w:val="1"/>
                <w:bCs w:val="1"/>
                <w:color w:val="auto"/>
              </w:rPr>
              <w:t>7.8%</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4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Profit before income tax</w:t>
            </w:r>
          </w:p>
        </w:tc>
        <w:tc>
          <w:tcPr>
            <w:tcW w:w="8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b w:val="1"/>
                <w:bCs w:val="1"/>
                <w:color w:val="auto"/>
              </w:rPr>
              <w:t>377,048</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b w:val="1"/>
                <w:bCs w:val="1"/>
                <w:color w:val="auto"/>
              </w:rPr>
              <w:t>1,129,912</w:t>
            </w:r>
          </w:p>
        </w:tc>
        <w:tc>
          <w:tcPr>
            <w:tcW w:w="9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b w:val="1"/>
                <w:bCs w:val="1"/>
                <w:color w:val="auto"/>
              </w:rPr>
              <w:t>1,382,212</w:t>
            </w:r>
          </w:p>
        </w:tc>
        <w:tc>
          <w:tcPr>
            <w:tcW w:w="8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b w:val="1"/>
                <w:bCs w:val="1"/>
                <w:color w:val="auto"/>
              </w:rPr>
              <w:t>22.3%</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b w:val="1"/>
                <w:bCs w:val="1"/>
                <w:color w:val="auto"/>
              </w:rPr>
              <w:t>266.6%</w:t>
            </w:r>
          </w:p>
        </w:tc>
        <w:tc>
          <w:tcPr>
            <w:tcW w:w="9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b w:val="1"/>
                <w:bCs w:val="1"/>
                <w:color w:val="auto"/>
              </w:rPr>
              <w:t>(467,046)</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b w:val="1"/>
                <w:bCs w:val="1"/>
                <w:color w:val="auto"/>
                <w:w w:val="99"/>
              </w:rPr>
              <w:t>3,532,028</w:t>
            </w:r>
          </w:p>
        </w:tc>
        <w:tc>
          <w:tcPr>
            <w:tcW w:w="2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b w:val="1"/>
                <w:bCs w:val="1"/>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40" w:type="dxa"/>
            <w:vAlign w:val="bottom"/>
            <w:shd w:val="clear" w:color="auto" w:fill="CCEEFF"/>
          </w:tcPr>
          <w:p>
            <w:pPr>
              <w:ind w:left="120"/>
              <w:spacing w:after="0" w:line="145" w:lineRule="exact"/>
              <w:rPr>
                <w:sz w:val="20"/>
                <w:szCs w:val="20"/>
                <w:color w:val="auto"/>
              </w:rPr>
            </w:pPr>
            <w:r>
              <w:rPr>
                <w:rFonts w:ascii="Arial" w:cs="Arial" w:eastAsia="Arial" w:hAnsi="Arial"/>
                <w:sz w:val="14"/>
                <w:szCs w:val="14"/>
                <w:color w:val="auto"/>
              </w:rPr>
              <w:t>Income tax</w:t>
            </w:r>
          </w:p>
        </w:tc>
        <w:tc>
          <w:tcPr>
            <w:tcW w:w="8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(98,775)</w:t>
            </w:r>
          </w:p>
        </w:tc>
        <w:tc>
          <w:tcPr>
            <w:tcW w:w="92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(332,151)</w:t>
            </w:r>
          </w:p>
        </w:tc>
        <w:tc>
          <w:tcPr>
            <w:tcW w:w="9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(324,697)</w:t>
            </w:r>
          </w:p>
        </w:tc>
        <w:tc>
          <w:tcPr>
            <w:tcW w:w="8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-2.2%</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228.7%</w:t>
            </w:r>
          </w:p>
        </w:tc>
        <w:tc>
          <w:tcPr>
            <w:tcW w:w="94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122,825</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(921,234)</w:t>
            </w:r>
          </w:p>
        </w:tc>
        <w:tc>
          <w:tcPr>
            <w:tcW w:w="14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40" w:type="dxa"/>
            <w:vAlign w:val="bottom"/>
          </w:tcPr>
          <w:p>
            <w:pPr>
              <w:spacing w:after="0"/>
              <w:rPr>
                <w:sz w:val="20"/>
                <w:szCs w:val="20"/>
                <w:color w:val="auto"/>
              </w:rPr>
            </w:pPr>
            <w:r>
              <w:rPr>
                <w:rFonts w:ascii="Arial" w:cs="Arial" w:eastAsia="Arial" w:hAnsi="Arial"/>
                <w:sz w:val="14"/>
                <w:szCs w:val="14"/>
                <w:b w:val="1"/>
                <w:bCs w:val="1"/>
                <w:color w:val="auto"/>
              </w:rPr>
              <w:t>Net profit attributable to BCP Stand-alone</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278,273</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797,761</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1,057,515</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32.6%</w:t>
            </w:r>
          </w:p>
        </w:tc>
        <w:tc>
          <w:tcPr>
            <w:tcW w:w="20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280.0%</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(344,221)</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9"/>
              </w:rPr>
              <w:t>2,610,794</w:t>
            </w:r>
          </w:p>
        </w:tc>
        <w:tc>
          <w:tcPr>
            <w:tcW w:w="20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n.a.</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240" w:hanging="235"/>
        <w:spacing w:after="0"/>
        <w:tabs>
          <w:tab w:leader="none" w:pos="2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As of 2019, financing expenses related to lease agreements is included according to the application of IFRS 16.</w:t>
      </w:r>
    </w:p>
    <w:p>
      <w:pPr>
        <w:spacing w:after="0" w:line="14" w:lineRule="exact"/>
        <w:rPr>
          <w:rFonts w:ascii="Arial" w:cs="Arial" w:eastAsia="Arial" w:hAnsi="Arial"/>
          <w:sz w:val="18"/>
          <w:szCs w:val="18"/>
          <w:color w:val="auto"/>
        </w:rPr>
      </w:pPr>
    </w:p>
    <w:p>
      <w:pPr>
        <w:ind w:right="140" w:firstLine="5"/>
        <w:spacing w:after="0" w:line="308" w:lineRule="auto"/>
        <w:tabs>
          <w:tab w:leader="none" w:pos="248" w:val="left"/>
        </w:tabs>
        <w:numPr>
          <w:ilvl w:val="0"/>
          <w:numId w:val="83"/>
        </w:numPr>
        <w:rPr>
          <w:rFonts w:ascii="Arial" w:cs="Arial" w:eastAsia="Arial" w:hAnsi="Arial"/>
          <w:sz w:val="16"/>
          <w:szCs w:val="16"/>
          <w:color w:val="auto"/>
        </w:rPr>
      </w:pPr>
      <w:r>
        <w:rPr>
          <w:rFonts w:ascii="Arial" w:cs="Arial" w:eastAsia="Arial" w:hAnsi="Arial"/>
          <w:sz w:val="16"/>
          <w:szCs w:val="16"/>
          <w:color w:val="auto"/>
        </w:rPr>
        <w:t>From this quarter, the effect is being incorporated by the application of IFRS 16, which corresponds to a greater depreciation for the asset for right-of-use". Likewise, the expenses related to the depreciation of improvements in building for rent is being reclassified to the item "Other expenses".</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74" w:name="page75"/>
    <w:bookmarkEnd w:id="74"/>
    <w:p>
      <w:pPr>
        <w:ind w:left="4260"/>
        <w:spacing w:after="0"/>
        <w:rPr>
          <w:sz w:val="20"/>
          <w:szCs w:val="20"/>
          <w:color w:val="auto"/>
        </w:rPr>
      </w:pPr>
      <w:r>
        <w:rPr>
          <w:rFonts w:ascii="Arial" w:cs="Arial" w:eastAsia="Arial" w:hAnsi="Arial"/>
          <w:sz w:val="18"/>
          <w:szCs w:val="18"/>
          <w:b w:val="1"/>
          <w:bCs w:val="1"/>
          <w:color w:val="auto"/>
        </w:rPr>
        <w:t>BANCO DE CREDITO DEL PERU</w:t>
      </w:r>
    </w:p>
    <w:p>
      <w:pPr>
        <w:spacing w:after="0" w:line="2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SELECTED FINANCIAL INDICATORS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92"/>
              </w:rPr>
              <w:t>Quarter</w:t>
            </w:r>
          </w:p>
        </w:tc>
        <w:tc>
          <w:tcPr>
            <w:tcW w:w="6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rPr>
              <w:t>YTD</w:t>
            </w:r>
          </w:p>
        </w:tc>
        <w:tc>
          <w:tcPr>
            <w:tcW w:w="5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3Q20</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2Q21</w:t>
            </w:r>
          </w:p>
        </w:tc>
        <w:tc>
          <w:tcPr>
            <w:tcW w:w="640" w:type="dxa"/>
            <w:vAlign w:val="bottom"/>
          </w:tcPr>
          <w:p>
            <w:pPr>
              <w:ind w:left="180"/>
              <w:spacing w:after="0"/>
              <w:rPr>
                <w:sz w:val="20"/>
                <w:szCs w:val="20"/>
                <w:color w:val="auto"/>
              </w:rPr>
            </w:pPr>
            <w:r>
              <w:rPr>
                <w:rFonts w:ascii="Arial" w:cs="Arial" w:eastAsia="Arial" w:hAnsi="Arial"/>
                <w:sz w:val="18"/>
                <w:szCs w:val="18"/>
                <w:b w:val="1"/>
                <w:bCs w:val="1"/>
                <w:color w:val="auto"/>
                <w:w w:val="99"/>
              </w:rPr>
              <w:t>3Q21</w:t>
            </w:r>
          </w:p>
        </w:tc>
        <w:tc>
          <w:tcPr>
            <w:tcW w:w="280" w:type="dxa"/>
            <w:vAlign w:val="bottom"/>
          </w:tcPr>
          <w:p>
            <w:pPr>
              <w:spacing w:after="0"/>
              <w:rPr>
                <w:sz w:val="18"/>
                <w:szCs w:val="18"/>
                <w:color w:val="auto"/>
              </w:rPr>
            </w:pPr>
          </w:p>
        </w:tc>
        <w:tc>
          <w:tcPr>
            <w:tcW w:w="1000" w:type="dxa"/>
            <w:vAlign w:val="bottom"/>
            <w:gridSpan w:val="3"/>
          </w:tcPr>
          <w:p>
            <w:pPr>
              <w:ind w:left="120"/>
              <w:spacing w:after="0"/>
              <w:rPr>
                <w:sz w:val="20"/>
                <w:szCs w:val="20"/>
                <w:color w:val="auto"/>
              </w:rPr>
            </w:pPr>
            <w:r>
              <w:rPr>
                <w:rFonts w:ascii="Arial" w:cs="Arial" w:eastAsia="Arial" w:hAnsi="Arial"/>
                <w:sz w:val="18"/>
                <w:szCs w:val="18"/>
                <w:b w:val="1"/>
                <w:bCs w:val="1"/>
                <w:color w:val="auto"/>
              </w:rPr>
              <w:t>Sep 20</w:t>
            </w:r>
          </w:p>
        </w:tc>
        <w:tc>
          <w:tcPr>
            <w:tcW w:w="560" w:type="dxa"/>
            <w:vAlign w:val="bottom"/>
          </w:tcPr>
          <w:p>
            <w:pPr>
              <w:ind w:left="40"/>
              <w:spacing w:after="0"/>
              <w:rPr>
                <w:sz w:val="20"/>
                <w:szCs w:val="20"/>
                <w:color w:val="auto"/>
              </w:rPr>
            </w:pPr>
            <w:r>
              <w:rPr>
                <w:rFonts w:ascii="Arial" w:cs="Arial" w:eastAsia="Arial" w:hAnsi="Arial"/>
                <w:sz w:val="18"/>
                <w:szCs w:val="18"/>
                <w:b w:val="1"/>
                <w:bCs w:val="1"/>
                <w:color w:val="auto"/>
                <w:w w:val="86"/>
              </w:rPr>
              <w:t>Sep 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Profitability</w:t>
            </w: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ROAA (2)(3)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ROAE (2)(3)</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740" w:type="dxa"/>
            <w:vAlign w:val="bottom"/>
          </w:tcPr>
          <w:p>
            <w:pPr>
              <w:spacing w:after="0" w:line="249" w:lineRule="exact"/>
              <w:rPr>
                <w:sz w:val="20"/>
                <w:szCs w:val="20"/>
                <w:color w:val="auto"/>
              </w:rPr>
            </w:pPr>
            <w:r>
              <w:rPr>
                <w:rFonts w:ascii="Arial" w:cs="Arial" w:eastAsia="Arial" w:hAnsi="Arial"/>
                <w:sz w:val="17"/>
                <w:szCs w:val="17"/>
                <w:color w:val="auto"/>
              </w:rPr>
              <w:t xml:space="preserve">Net interest margin </w:t>
            </w:r>
            <w:r>
              <w:rPr>
                <w:rFonts w:ascii="Arial" w:cs="Arial" w:eastAsia="Arial" w:hAnsi="Arial"/>
                <w:sz w:val="28"/>
                <w:szCs w:val="28"/>
                <w:color w:val="auto"/>
                <w:vertAlign w:val="superscript"/>
              </w:rPr>
              <w:t>(1)(2)</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3.53%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3.43%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3.57%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740" w:type="dxa"/>
            <w:vAlign w:val="bottom"/>
            <w:shd w:val="clear" w:color="auto" w:fill="CCEEFF"/>
          </w:tcPr>
          <w:p>
            <w:pPr>
              <w:spacing w:after="0" w:line="249" w:lineRule="exact"/>
              <w:rPr>
                <w:sz w:val="20"/>
                <w:szCs w:val="20"/>
                <w:color w:val="auto"/>
              </w:rPr>
            </w:pPr>
            <w:r>
              <w:rPr>
                <w:rFonts w:ascii="Arial" w:cs="Arial" w:eastAsia="Arial" w:hAnsi="Arial"/>
                <w:sz w:val="17"/>
                <w:szCs w:val="17"/>
                <w:color w:val="auto"/>
              </w:rPr>
              <w:t xml:space="preserve">Risk adjusted NIM </w:t>
            </w:r>
            <w:r>
              <w:rPr>
                <w:rFonts w:ascii="Arial" w:cs="Arial" w:eastAsia="Arial" w:hAnsi="Arial"/>
                <w:sz w:val="28"/>
                <w:szCs w:val="28"/>
                <w:color w:val="auto"/>
                <w:vertAlign w:val="superscript"/>
              </w:rPr>
              <w:t>(1)(2)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740" w:type="dxa"/>
            <w:vAlign w:val="bottom"/>
          </w:tcPr>
          <w:p>
            <w:pPr>
              <w:spacing w:after="0" w:line="249" w:lineRule="exact"/>
              <w:rPr>
                <w:sz w:val="20"/>
                <w:szCs w:val="20"/>
                <w:color w:val="auto"/>
              </w:rPr>
            </w:pPr>
            <w:r>
              <w:rPr>
                <w:rFonts w:ascii="Arial" w:cs="Arial" w:eastAsia="Arial" w:hAnsi="Arial"/>
                <w:sz w:val="17"/>
                <w:szCs w:val="17"/>
                <w:color w:val="auto"/>
              </w:rPr>
              <w:t xml:space="preserve">Funding Cost </w:t>
            </w:r>
            <w:r>
              <w:rPr>
                <w:rFonts w:ascii="Arial" w:cs="Arial" w:eastAsia="Arial" w:hAnsi="Arial"/>
                <w:sz w:val="28"/>
                <w:szCs w:val="28"/>
                <w:color w:val="auto"/>
                <w:vertAlign w:val="superscript"/>
              </w:rPr>
              <w:t>(1)(2)</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0.93%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0.95%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IOL ratio</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NPL ratio</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4.07%</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4.50%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4.86%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Coverage of IOLs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Coverage of NPLs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157.0%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133.1%</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118.3%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740" w:type="dxa"/>
            <w:vAlign w:val="bottom"/>
            <w:shd w:val="clear" w:color="auto" w:fill="CCEEFF"/>
          </w:tcPr>
          <w:p>
            <w:pPr>
              <w:spacing w:after="0" w:line="249" w:lineRule="exact"/>
              <w:rPr>
                <w:sz w:val="20"/>
                <w:szCs w:val="20"/>
                <w:color w:val="auto"/>
              </w:rPr>
            </w:pPr>
            <w:r>
              <w:rPr>
                <w:rFonts w:ascii="Arial" w:cs="Arial" w:eastAsia="Arial" w:hAnsi="Arial"/>
                <w:sz w:val="17"/>
                <w:szCs w:val="17"/>
                <w:color w:val="auto"/>
              </w:rPr>
              <w:t xml:space="preserve">Cost of risk </w:t>
            </w:r>
            <w:r>
              <w:rPr>
                <w:rFonts w:ascii="Arial" w:cs="Arial" w:eastAsia="Arial" w:hAnsi="Arial"/>
                <w:sz w:val="28"/>
                <w:szCs w:val="28"/>
                <w:color w:val="auto"/>
                <w:vertAlign w:val="superscript"/>
              </w:rPr>
              <w:t>(3)</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efficiency</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740" w:type="dxa"/>
            <w:vAlign w:val="bottom"/>
          </w:tcPr>
          <w:p>
            <w:pPr>
              <w:spacing w:after="0" w:line="249" w:lineRule="exact"/>
              <w:rPr>
                <w:sz w:val="20"/>
                <w:szCs w:val="20"/>
                <w:color w:val="auto"/>
              </w:rPr>
            </w:pPr>
            <w:r>
              <w:rPr>
                <w:rFonts w:ascii="Arial" w:cs="Arial" w:eastAsia="Arial" w:hAnsi="Arial"/>
                <w:sz w:val="17"/>
                <w:szCs w:val="17"/>
                <w:color w:val="auto"/>
              </w:rPr>
              <w:t xml:space="preserve">Oper. expenses as a percent. of total income - reported </w:t>
            </w:r>
            <w:r>
              <w:rPr>
                <w:rFonts w:ascii="Arial" w:cs="Arial" w:eastAsia="Arial" w:hAnsi="Arial"/>
                <w:sz w:val="28"/>
                <w:szCs w:val="28"/>
                <w:color w:val="auto"/>
                <w:vertAlign w:val="superscript"/>
              </w:rPr>
              <w:t>(4)</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40.8%</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40.3%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45.3%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Oper. expenses as a percent. of total income - including all other items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 xml:space="preserve">Oper. expenses as a percent. of av. tot. assets </w:t>
            </w:r>
            <w:r>
              <w:rPr>
                <w:rFonts w:ascii="Arial" w:cs="Arial" w:eastAsia="Arial" w:hAnsi="Arial"/>
                <w:sz w:val="29"/>
                <w:szCs w:val="29"/>
                <w:color w:val="auto"/>
                <w:vertAlign w:val="superscript"/>
              </w:rPr>
              <w:t>(1)(2)</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260" w:hanging="255"/>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14" w:lineRule="exact"/>
        <w:rPr>
          <w:rFonts w:ascii="Arial" w:cs="Arial" w:eastAsia="Arial" w:hAnsi="Arial"/>
          <w:sz w:val="18"/>
          <w:szCs w:val="18"/>
          <w:color w:val="auto"/>
        </w:rPr>
      </w:pPr>
    </w:p>
    <w:p>
      <w:pPr>
        <w:ind w:left="240" w:hanging="235"/>
        <w:spacing w:after="0"/>
        <w:tabs>
          <w:tab w:leader="none" w:pos="2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3" w:lineRule="exact"/>
        <w:rPr>
          <w:rFonts w:ascii="Arial" w:cs="Arial" w:eastAsia="Arial" w:hAnsi="Arial"/>
          <w:sz w:val="18"/>
          <w:szCs w:val="18"/>
          <w:color w:val="auto"/>
        </w:rPr>
      </w:pPr>
    </w:p>
    <w:p>
      <w:pPr>
        <w:ind w:left="260" w:hanging="255"/>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Cost of risk: Annualized provision for loan losses / Total loans.</w:t>
      </w:r>
    </w:p>
    <w:p>
      <w:pPr>
        <w:spacing w:after="0" w:line="3" w:lineRule="exact"/>
        <w:rPr>
          <w:rFonts w:ascii="Arial" w:cs="Arial" w:eastAsia="Arial" w:hAnsi="Arial"/>
          <w:sz w:val="18"/>
          <w:szCs w:val="18"/>
          <w:color w:val="auto"/>
        </w:rPr>
      </w:pPr>
    </w:p>
    <w:p>
      <w:pPr>
        <w:ind w:firstLine="5"/>
        <w:spacing w:after="0" w:line="308" w:lineRule="auto"/>
        <w:tabs>
          <w:tab w:leader="none" w:pos="249" w:val="left"/>
        </w:tabs>
        <w:numPr>
          <w:ilvl w:val="0"/>
          <w:numId w:val="84"/>
        </w:numPr>
        <w:rPr>
          <w:rFonts w:ascii="Arial" w:cs="Arial" w:eastAsia="Arial" w:hAnsi="Arial"/>
          <w:sz w:val="16"/>
          <w:szCs w:val="16"/>
          <w:color w:val="auto"/>
        </w:rPr>
      </w:pPr>
      <w:r>
        <w:rPr>
          <w:rFonts w:ascii="Arial" w:cs="Arial" w:eastAsia="Arial" w:hAnsi="Arial"/>
          <w:sz w:val="16"/>
          <w:szCs w:val="16"/>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Regulatory Capital and Capital Adequacy Ratios at BCP Stand-alone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thousands, Peru GAAP)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Regulatory Capital and Capital Adequacy Ratios - SBS</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As of</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7"/>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S/ 000</w:t>
            </w:r>
          </w:p>
        </w:tc>
        <w:tc>
          <w:tcPr>
            <w:tcW w:w="126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Sep 20</w:t>
            </w:r>
          </w:p>
        </w:tc>
        <w:tc>
          <w:tcPr>
            <w:tcW w:w="124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Jun 21</w:t>
            </w:r>
          </w:p>
        </w:tc>
        <w:tc>
          <w:tcPr>
            <w:tcW w:w="98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Sep 21</w:t>
            </w:r>
          </w:p>
        </w:tc>
        <w:tc>
          <w:tcPr>
            <w:tcW w:w="260" w:type="dxa"/>
            <w:vAlign w:val="bottom"/>
          </w:tcPr>
          <w:p>
            <w:pPr>
              <w:spacing w:after="0"/>
              <w:rPr>
                <w:sz w:val="18"/>
                <w:szCs w:val="18"/>
                <w:color w:val="auto"/>
              </w:rPr>
            </w:pPr>
          </w:p>
        </w:tc>
        <w:tc>
          <w:tcPr>
            <w:tcW w:w="100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QoQ</w:t>
            </w:r>
          </w:p>
        </w:tc>
        <w:tc>
          <w:tcPr>
            <w:tcW w:w="64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YoY</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Capital Stock</w:t>
            </w:r>
          </w:p>
        </w:tc>
        <w:tc>
          <w:tcPr>
            <w:tcW w:w="100" w:type="dxa"/>
            <w:vAlign w:val="bottom"/>
            <w:vMerge w:val="continue"/>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11,067,387</w:t>
            </w:r>
          </w:p>
        </w:tc>
        <w:tc>
          <w:tcPr>
            <w:tcW w:w="280" w:type="dxa"/>
            <w:vAlign w:val="bottom"/>
            <w:vMerge w:val="continue"/>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11,317,387</w:t>
            </w:r>
          </w:p>
        </w:tc>
        <w:tc>
          <w:tcPr>
            <w:tcW w:w="260" w:type="dxa"/>
            <w:vAlign w:val="bottom"/>
            <w:vMerge w:val="continue"/>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11,317,387</w:t>
            </w:r>
          </w:p>
        </w:tc>
        <w:tc>
          <w:tcPr>
            <w:tcW w:w="260" w:type="dxa"/>
            <w:vAlign w:val="bottom"/>
            <w:vMerge w:val="continue"/>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0.0%</w:t>
            </w:r>
          </w:p>
        </w:tc>
        <w:tc>
          <w:tcPr>
            <w:tcW w:w="8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Legal and Other capital reserves</w:t>
            </w:r>
          </w:p>
        </w:tc>
        <w:tc>
          <w:tcPr>
            <w:tcW w:w="980" w:type="dxa"/>
            <w:vAlign w:val="bottom"/>
          </w:tcPr>
          <w:p>
            <w:pPr>
              <w:jc w:val="right"/>
              <w:spacing w:after="0"/>
              <w:rPr>
                <w:sz w:val="20"/>
                <w:szCs w:val="20"/>
                <w:color w:val="auto"/>
              </w:rPr>
            </w:pPr>
            <w:r>
              <w:rPr>
                <w:rFonts w:ascii="Arial" w:cs="Arial" w:eastAsia="Arial" w:hAnsi="Arial"/>
                <w:sz w:val="18"/>
                <w:szCs w:val="18"/>
                <w:color w:val="auto"/>
              </w:rPr>
              <w:t>6,164,175</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6,707,831</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6,707,831</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earnings with capitalization agreement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600" w:type="dxa"/>
            <w:vAlign w:val="bottom"/>
            <w:gridSpan w:val="2"/>
          </w:tcPr>
          <w:p>
            <w:pPr>
              <w:spacing w:after="0" w:line="249" w:lineRule="exact"/>
              <w:rPr>
                <w:sz w:val="20"/>
                <w:szCs w:val="20"/>
                <w:color w:val="auto"/>
              </w:rPr>
            </w:pPr>
            <w:r>
              <w:rPr>
                <w:rFonts w:ascii="Arial" w:cs="Arial" w:eastAsia="Arial" w:hAnsi="Arial"/>
                <w:sz w:val="17"/>
                <w:szCs w:val="17"/>
                <w:color w:val="auto"/>
              </w:rPr>
              <w:t xml:space="preserve">Loan loss reserves </w:t>
            </w:r>
            <w:r>
              <w:rPr>
                <w:rFonts w:ascii="Arial" w:cs="Arial" w:eastAsia="Arial" w:hAnsi="Arial"/>
                <w:sz w:val="28"/>
                <w:szCs w:val="28"/>
                <w:color w:val="auto"/>
                <w:vertAlign w:val="superscript"/>
              </w:rPr>
              <w:t>(1)</w:t>
            </w:r>
          </w:p>
        </w:tc>
        <w:tc>
          <w:tcPr>
            <w:tcW w:w="980" w:type="dxa"/>
            <w:vAlign w:val="bottom"/>
          </w:tcPr>
          <w:p>
            <w:pPr>
              <w:jc w:val="right"/>
              <w:spacing w:after="0"/>
              <w:rPr>
                <w:sz w:val="20"/>
                <w:szCs w:val="20"/>
                <w:color w:val="auto"/>
              </w:rPr>
            </w:pPr>
            <w:r>
              <w:rPr>
                <w:rFonts w:ascii="Arial" w:cs="Arial" w:eastAsia="Arial" w:hAnsi="Arial"/>
                <w:sz w:val="18"/>
                <w:szCs w:val="18"/>
                <w:color w:val="auto"/>
              </w:rPr>
              <w:t>1,565,704</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1,676,768</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1,720,951</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980" w:type="dxa"/>
            <w:vAlign w:val="bottom"/>
          </w:tcPr>
          <w:p>
            <w:pPr>
              <w:jc w:val="right"/>
              <w:spacing w:after="0"/>
              <w:rPr>
                <w:sz w:val="20"/>
                <w:szCs w:val="20"/>
                <w:color w:val="auto"/>
              </w:rPr>
            </w:pPr>
            <w:r>
              <w:rPr>
                <w:rFonts w:ascii="Arial" w:cs="Arial" w:eastAsia="Arial" w:hAnsi="Arial"/>
                <w:sz w:val="18"/>
                <w:szCs w:val="18"/>
                <w:color w:val="auto"/>
              </w:rPr>
              <w:t>4,787,489</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5,223,300</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5,595,900</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Investment in subsidiaries and others, net of unrealized profit and net income</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(1,934,790)</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(2,263,859)</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(2,263,805)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ind w:left="300"/>
              <w:spacing w:after="0"/>
              <w:rPr>
                <w:sz w:val="20"/>
                <w:szCs w:val="20"/>
                <w:color w:val="auto"/>
              </w:rPr>
            </w:pPr>
            <w:r>
              <w:rPr>
                <w:rFonts w:ascii="Arial" w:cs="Arial" w:eastAsia="Arial" w:hAnsi="Arial"/>
                <w:sz w:val="18"/>
                <w:szCs w:val="18"/>
                <w:color w:val="auto"/>
              </w:rPr>
              <w:t>Investment in subsidiaries and others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(2,018,037)</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(2,326,241)</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(2,377,058)</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Unrealized profit and net income in subsidiaries</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83,247</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62,381</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113,253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(122,083)</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(122,083)</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(122,083)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Regulatory Capital - SBS</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21,527,881</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22,539,343</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22,956,180</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1.8%</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Off-balance sheet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85,546,759</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96,842,778</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100,119,715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6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 xml:space="preserve">Regulatory Tier 1 Capital </w:t>
            </w:r>
            <w:r>
              <w:rPr>
                <w:rFonts w:ascii="Arial" w:cs="Arial" w:eastAsia="Arial" w:hAnsi="Arial"/>
                <w:sz w:val="28"/>
                <w:szCs w:val="28"/>
                <w:color w:val="auto"/>
                <w:vertAlign w:val="superscript"/>
              </w:rPr>
              <w:t>(2)</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14,971,384</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15,142,961</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15,142,988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600" w:type="dxa"/>
            <w:vAlign w:val="bottom"/>
            <w:gridSpan w:val="2"/>
          </w:tcPr>
          <w:p>
            <w:pPr>
              <w:spacing w:after="0" w:line="249" w:lineRule="exact"/>
              <w:rPr>
                <w:sz w:val="20"/>
                <w:szCs w:val="20"/>
                <w:color w:val="auto"/>
              </w:rPr>
            </w:pPr>
            <w:r>
              <w:rPr>
                <w:rFonts w:ascii="Arial" w:cs="Arial" w:eastAsia="Arial" w:hAnsi="Arial"/>
                <w:sz w:val="17"/>
                <w:szCs w:val="17"/>
                <w:color w:val="auto"/>
              </w:rPr>
              <w:t xml:space="preserve">Requlatory Tier 2 Capital </w:t>
            </w:r>
            <w:r>
              <w:rPr>
                <w:rFonts w:ascii="Arial" w:cs="Arial" w:eastAsia="Arial" w:hAnsi="Arial"/>
                <w:sz w:val="28"/>
                <w:szCs w:val="28"/>
                <w:color w:val="auto"/>
                <w:vertAlign w:val="superscript"/>
              </w:rPr>
              <w:t>(3)</w:t>
            </w:r>
          </w:p>
        </w:tc>
        <w:tc>
          <w:tcPr>
            <w:tcW w:w="980" w:type="dxa"/>
            <w:vAlign w:val="bottom"/>
          </w:tcPr>
          <w:p>
            <w:pPr>
              <w:jc w:val="right"/>
              <w:spacing w:after="0"/>
              <w:rPr>
                <w:sz w:val="20"/>
                <w:szCs w:val="20"/>
                <w:color w:val="auto"/>
              </w:rPr>
            </w:pPr>
            <w:r>
              <w:rPr>
                <w:rFonts w:ascii="Arial" w:cs="Arial" w:eastAsia="Arial" w:hAnsi="Arial"/>
                <w:sz w:val="18"/>
                <w:szCs w:val="18"/>
                <w:color w:val="auto"/>
              </w:rPr>
              <w:t>6,556,497</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7,396,382</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7,813,192</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6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b w:val="1"/>
                <w:bCs w:val="1"/>
                <w:color w:val="auto"/>
              </w:rPr>
              <w:t xml:space="preserve">Total risk-weighted assets - SBS </w:t>
            </w:r>
            <w:r>
              <w:rPr>
                <w:rFonts w:ascii="Arial" w:cs="Arial" w:eastAsia="Arial" w:hAnsi="Arial"/>
                <w:sz w:val="28"/>
                <w:szCs w:val="28"/>
                <w:b w:val="1"/>
                <w:bCs w:val="1"/>
                <w:color w:val="auto"/>
                <w:vertAlign w:val="superscript"/>
              </w:rPr>
              <w:t>(4)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139,910,769</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146,936,014</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151,415,294</w:t>
            </w: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Credit risk-weighted assets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95"/>
              </w:rPr>
              <w:t>125,256,288</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95"/>
              </w:rPr>
              <w:t>132,013,903</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95"/>
              </w:rPr>
              <w:t>135,576,214</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6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 xml:space="preserve">Market risk-weighted assets </w:t>
            </w:r>
            <w:r>
              <w:rPr>
                <w:rFonts w:ascii="Arial" w:cs="Arial" w:eastAsia="Arial" w:hAnsi="Arial"/>
                <w:sz w:val="28"/>
                <w:szCs w:val="28"/>
                <w:color w:val="auto"/>
                <w:vertAlign w:val="superscript"/>
              </w:rPr>
              <w:t>(5)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4,701,577</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3,127,460</w:t>
            </w:r>
          </w:p>
        </w:tc>
        <w:tc>
          <w:tcPr>
            <w:tcW w:w="2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3,792,119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Operational risk-weighted assets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9,952,904</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11,794,652</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12,046,961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capital requirement -SBS</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15,355,747</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13,925,638</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14,356,117</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Credit risk capital requirement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12,525,629</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10,561,112</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10,846,097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risk capital requirement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470,158</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312,746</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379,212</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Operational risk capital requirement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995,290</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1,179,465</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1,204,696</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capital requirements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1,364,670</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1,872,315</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1,926,112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600" w:type="dxa"/>
            <w:vAlign w:val="bottom"/>
            <w:gridSpan w:val="2"/>
          </w:tcPr>
          <w:p>
            <w:pPr>
              <w:spacing w:after="0" w:line="249" w:lineRule="exact"/>
              <w:rPr>
                <w:sz w:val="20"/>
                <w:szCs w:val="20"/>
                <w:color w:val="auto"/>
              </w:rPr>
            </w:pPr>
            <w:r>
              <w:rPr>
                <w:rFonts w:ascii="Arial" w:cs="Arial" w:eastAsia="Arial" w:hAnsi="Arial"/>
                <w:sz w:val="17"/>
                <w:szCs w:val="17"/>
                <w:b w:val="1"/>
                <w:bCs w:val="1"/>
                <w:color w:val="auto"/>
              </w:rPr>
              <w:t xml:space="preserve">Common Equity Tier 1 - Basel </w:t>
            </w:r>
            <w:r>
              <w:rPr>
                <w:rFonts w:ascii="Arial" w:cs="Arial" w:eastAsia="Arial" w:hAnsi="Arial"/>
                <w:sz w:val="28"/>
                <w:szCs w:val="28"/>
                <w:b w:val="1"/>
                <w:bCs w:val="1"/>
                <w:color w:val="auto"/>
                <w:vertAlign w:val="superscript"/>
              </w:rPr>
              <w:t>(6)</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15,256,858</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15,531,636</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15,871,353</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2.2%</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and reserves</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17,231,562</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18,025,217</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18,025,217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980" w:type="dxa"/>
            <w:vAlign w:val="bottom"/>
          </w:tcPr>
          <w:p>
            <w:pPr>
              <w:jc w:val="right"/>
              <w:spacing w:after="0"/>
              <w:rPr>
                <w:sz w:val="20"/>
                <w:szCs w:val="20"/>
                <w:color w:val="auto"/>
              </w:rPr>
            </w:pPr>
            <w:r>
              <w:rPr>
                <w:rFonts w:ascii="Arial" w:cs="Arial" w:eastAsia="Arial" w:hAnsi="Arial"/>
                <w:sz w:val="18"/>
                <w:szCs w:val="18"/>
                <w:color w:val="auto"/>
              </w:rPr>
              <w:t>785,734</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1,159,776</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2,006,514</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73.0%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gains (losses)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326,616</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(130,864)</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(584,466)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Goodwill and intangibles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(1,069,018)</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(1,196,253)</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(1,196,454)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subsidiaries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(2,018,037)</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(2,326,241)</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(2,379,458)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600" w:type="dxa"/>
            <w:vAlign w:val="bottom"/>
            <w:gridSpan w:val="2"/>
          </w:tcPr>
          <w:p>
            <w:pPr>
              <w:spacing w:after="0" w:line="249" w:lineRule="exact"/>
              <w:rPr>
                <w:sz w:val="20"/>
                <w:szCs w:val="20"/>
                <w:color w:val="auto"/>
              </w:rPr>
            </w:pPr>
            <w:r>
              <w:rPr>
                <w:rFonts w:ascii="Arial" w:cs="Arial" w:eastAsia="Arial" w:hAnsi="Arial"/>
                <w:sz w:val="17"/>
                <w:szCs w:val="17"/>
                <w:b w:val="1"/>
                <w:bCs w:val="1"/>
                <w:color w:val="auto"/>
              </w:rPr>
              <w:t xml:space="preserve">Adjusted Risk-Weighted Assets - Basel </w:t>
            </w:r>
            <w:r>
              <w:rPr>
                <w:rFonts w:ascii="Arial" w:cs="Arial" w:eastAsia="Arial" w:hAnsi="Arial"/>
                <w:sz w:val="28"/>
                <w:szCs w:val="28"/>
                <w:b w:val="1"/>
                <w:bCs w:val="1"/>
                <w:color w:val="auto"/>
                <w:vertAlign w:val="superscript"/>
              </w:rPr>
              <w:t>(7)</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95"/>
              </w:rPr>
              <w:t>133,285,120</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95"/>
              </w:rPr>
              <w:t>138,305,356</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95"/>
              </w:rPr>
              <w:t>142,930,956</w:t>
            </w:r>
          </w:p>
        </w:tc>
        <w:tc>
          <w:tcPr>
            <w:tcW w:w="26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3.3%</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risk-weighted assets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139,910,769</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146,936,014</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151,415,294</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ind w:left="120"/>
              <w:spacing w:after="0"/>
              <w:rPr>
                <w:sz w:val="20"/>
                <w:szCs w:val="20"/>
                <w:color w:val="auto"/>
              </w:rPr>
            </w:pPr>
            <w:r>
              <w:rPr>
                <w:rFonts w:ascii="Arial" w:cs="Arial" w:eastAsia="Arial" w:hAnsi="Arial"/>
                <w:sz w:val="18"/>
                <w:szCs w:val="18"/>
                <w:color w:val="auto"/>
              </w:rPr>
              <w:t>(-) RWA Intangible assets, excluding goodwill.</w:t>
            </w:r>
          </w:p>
        </w:tc>
        <w:tc>
          <w:tcPr>
            <w:tcW w:w="980" w:type="dxa"/>
            <w:vAlign w:val="bottom"/>
          </w:tcPr>
          <w:p>
            <w:pPr>
              <w:jc w:val="right"/>
              <w:spacing w:after="0"/>
              <w:rPr>
                <w:sz w:val="20"/>
                <w:szCs w:val="20"/>
                <w:color w:val="auto"/>
              </w:rPr>
            </w:pPr>
            <w:r>
              <w:rPr>
                <w:rFonts w:ascii="Arial" w:cs="Arial" w:eastAsia="Arial" w:hAnsi="Arial"/>
                <w:sz w:val="18"/>
                <w:szCs w:val="18"/>
                <w:color w:val="auto"/>
              </w:rPr>
              <w:t>7,924,480</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9,951,130</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9,837,459</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00" w:type="dxa"/>
            <w:vAlign w:val="bottom"/>
            <w:gridSpan w:val="2"/>
            <w:shd w:val="clear" w:color="auto" w:fill="CCEEFF"/>
          </w:tcPr>
          <w:p>
            <w:pPr>
              <w:ind w:left="120"/>
              <w:spacing w:after="0" w:line="198" w:lineRule="exact"/>
              <w:rPr>
                <w:sz w:val="20"/>
                <w:szCs w:val="20"/>
                <w:color w:val="auto"/>
              </w:rPr>
            </w:pPr>
            <w:r>
              <w:rPr>
                <w:rFonts w:ascii="Arial" w:cs="Arial" w:eastAsia="Arial" w:hAnsi="Arial"/>
                <w:sz w:val="18"/>
                <w:szCs w:val="18"/>
                <w:color w:val="auto"/>
                <w:w w:val="90"/>
              </w:rPr>
              <w:t>(+) RWA Deferred tax assets generated as a result of temporary differences</w:t>
            </w: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 income tax, in excess of 10% of CET1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1,298,830</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1,320,471</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1,353,120</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ind w:left="140"/>
              <w:spacing w:after="0"/>
              <w:rPr>
                <w:sz w:val="20"/>
                <w:szCs w:val="20"/>
                <w:color w:val="auto"/>
              </w:rPr>
            </w:pPr>
            <w:r>
              <w:rPr>
                <w:rFonts w:ascii="Arial" w:cs="Arial" w:eastAsia="Arial" w:hAnsi="Arial"/>
                <w:sz w:val="18"/>
                <w:szCs w:val="18"/>
                <w:color w:val="auto"/>
              </w:rPr>
              <w:t>(+) RWA Deferred tax assets generated as a result of past losses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Capital ratios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6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 xml:space="preserve">Regulatory Tier 1 ratio </w:t>
            </w:r>
            <w:r>
              <w:rPr>
                <w:rFonts w:ascii="Arial" w:cs="Arial" w:eastAsia="Arial" w:hAnsi="Arial"/>
                <w:sz w:val="28"/>
                <w:szCs w:val="28"/>
                <w:color w:val="auto"/>
                <w:vertAlign w:val="superscript"/>
              </w:rPr>
              <w:t>(8)</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10.31%</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-31bps</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3"/>
              </w:rPr>
              <w:t>-70bps</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600" w:type="dxa"/>
            <w:vAlign w:val="bottom"/>
            <w:gridSpan w:val="2"/>
          </w:tcPr>
          <w:p>
            <w:pPr>
              <w:spacing w:after="0" w:line="249" w:lineRule="exact"/>
              <w:rPr>
                <w:sz w:val="20"/>
                <w:szCs w:val="20"/>
                <w:color w:val="auto"/>
              </w:rPr>
            </w:pPr>
            <w:r>
              <w:rPr>
                <w:rFonts w:ascii="Arial" w:cs="Arial" w:eastAsia="Arial" w:hAnsi="Arial"/>
                <w:sz w:val="17"/>
                <w:szCs w:val="17"/>
                <w:color w:val="auto"/>
              </w:rPr>
              <w:t xml:space="preserve">Common Equity Tier 1 ratio </w:t>
            </w:r>
            <w:r>
              <w:rPr>
                <w:rFonts w:ascii="Arial" w:cs="Arial" w:eastAsia="Arial" w:hAnsi="Arial"/>
                <w:sz w:val="28"/>
                <w:szCs w:val="28"/>
                <w:color w:val="auto"/>
                <w:vertAlign w:val="superscript"/>
              </w:rPr>
              <w:t>(9)</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11.45%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11.23%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11.10%</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-13bps</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w w:val="83"/>
              </w:rPr>
              <w:t>-35bps</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6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 xml:space="preserve">BIS ratio </w:t>
            </w:r>
            <w:r>
              <w:rPr>
                <w:rFonts w:ascii="Arial" w:cs="Arial" w:eastAsia="Arial" w:hAnsi="Arial"/>
                <w:sz w:val="28"/>
                <w:szCs w:val="28"/>
                <w:color w:val="auto"/>
                <w:vertAlign w:val="superscript"/>
              </w:rPr>
              <w:t>(10)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15.39%</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15.16%</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-18bps</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3"/>
              </w:rPr>
              <w:t>-23bps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Risk-weighted assets / Regulatory capital</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6.50</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6.52</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6.60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260" w:hanging="255"/>
        <w:spacing w:after="0"/>
        <w:tabs>
          <w:tab w:leader="none" w:pos="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Up to 1.25% of total risk-weighted assets.</w:t>
      </w:r>
    </w:p>
    <w:p>
      <w:pPr>
        <w:spacing w:after="0" w:line="14" w:lineRule="exact"/>
        <w:rPr>
          <w:rFonts w:ascii="Arial" w:cs="Arial" w:eastAsia="Arial" w:hAnsi="Arial"/>
          <w:sz w:val="18"/>
          <w:szCs w:val="18"/>
          <w:color w:val="auto"/>
        </w:rPr>
      </w:pPr>
    </w:p>
    <w:p>
      <w:pPr>
        <w:jc w:val="both"/>
        <w:ind w:firstLine="5"/>
        <w:spacing w:after="0" w:line="274" w:lineRule="auto"/>
        <w:tabs>
          <w:tab w:leader="none" w:pos="252"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Regulatory Tier 1 Capital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firstLine="5"/>
        <w:spacing w:after="0" w:line="243" w:lineRule="auto"/>
        <w:tabs>
          <w:tab w:leader="none" w:pos="25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Regulatory Tier 2 Capital = Subordinated debt + Loan loss reserves + Unrestricted Reserves + (0.5 x Unrealized profit and net income in subsidiaries) - (0.5 x Investment in subsidiaries).</w:t>
      </w:r>
    </w:p>
    <w:p>
      <w:pPr>
        <w:ind w:firstLine="5"/>
        <w:spacing w:after="0" w:line="243" w:lineRule="auto"/>
        <w:tabs>
          <w:tab w:leader="none" w:pos="256" w:val="left"/>
        </w:tabs>
        <w:numPr>
          <w:ilvl w:val="0"/>
          <w:numId w:val="85"/>
        </w:numPr>
        <w:rPr>
          <w:rFonts w:ascii="Arial" w:cs="Arial" w:eastAsia="Arial" w:hAnsi="Arial"/>
          <w:sz w:val="18"/>
          <w:szCs w:val="18"/>
          <w:color w:val="auto"/>
        </w:rPr>
      </w:pPr>
      <w:r>
        <w:rPr>
          <w:rFonts w:ascii="Arial" w:cs="Arial" w:eastAsia="Arial" w:hAnsi="Arial"/>
          <w:sz w:val="18"/>
          <w:szCs w:val="18"/>
          <w:color w:val="auto"/>
        </w:rPr>
        <w:t>Since July 2012, Total Risk-weighted assets = Credit risk-weighted assets * 1.00 + Capital requirement to cover market risk * 10 + Capital requirement to cover operational risk * 10 * 1.00 (since July 2014)</w:t>
      </w:r>
    </w:p>
    <w:p>
      <w:pPr>
        <w:ind w:left="260" w:hanging="255"/>
        <w:spacing w:after="0"/>
        <w:tabs>
          <w:tab w:leader="none" w:pos="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It includes capital requirement to cover price and rate risk.</w:t>
      </w:r>
    </w:p>
    <w:p>
      <w:pPr>
        <w:spacing w:after="0" w:line="3" w:lineRule="exact"/>
        <w:rPr>
          <w:rFonts w:ascii="Arial" w:cs="Arial" w:eastAsia="Arial" w:hAnsi="Arial"/>
          <w:sz w:val="18"/>
          <w:szCs w:val="18"/>
          <w:color w:val="auto"/>
        </w:rPr>
      </w:pPr>
    </w:p>
    <w:p>
      <w:pPr>
        <w:ind w:firstLine="5"/>
        <w:spacing w:after="0" w:line="243" w:lineRule="auto"/>
        <w:tabs>
          <w:tab w:leader="none" w:pos="2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firstLine="5"/>
        <w:spacing w:after="0" w:line="274" w:lineRule="auto"/>
        <w:tabs>
          <w:tab w:leader="none" w:pos="249" w:val="left"/>
        </w:tabs>
        <w:numPr>
          <w:ilvl w:val="0"/>
          <w:numId w:val="85"/>
        </w:numPr>
        <w:rPr>
          <w:rFonts w:ascii="Arial" w:cs="Arial" w:eastAsia="Arial" w:hAnsi="Arial"/>
          <w:sz w:val="16"/>
          <w:szCs w:val="16"/>
          <w:color w:val="auto"/>
        </w:rPr>
      </w:pPr>
      <w:r>
        <w:rPr>
          <w:rFonts w:ascii="Arial" w:cs="Arial" w:eastAsia="Arial" w:hAnsi="Arial"/>
          <w:sz w:val="16"/>
          <w:szCs w:val="16"/>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ind w:left="260" w:hanging="255"/>
        <w:spacing w:after="0"/>
        <w:tabs>
          <w:tab w:leader="none" w:pos="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Regulatory Tier 1 Capital / Total Risk-weighted assets</w:t>
      </w:r>
    </w:p>
    <w:p>
      <w:pPr>
        <w:spacing w:after="0" w:line="3" w:lineRule="exact"/>
        <w:rPr>
          <w:rFonts w:ascii="Arial" w:cs="Arial" w:eastAsia="Arial" w:hAnsi="Arial"/>
          <w:sz w:val="18"/>
          <w:szCs w:val="18"/>
          <w:color w:val="auto"/>
        </w:rPr>
      </w:pPr>
    </w:p>
    <w:p>
      <w:pPr>
        <w:ind w:left="260" w:hanging="255"/>
        <w:spacing w:after="0"/>
        <w:tabs>
          <w:tab w:leader="none" w:pos="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Common Equity Tier I / Adjusted Risk-Weighted Assets</w:t>
      </w:r>
    </w:p>
    <w:p>
      <w:pPr>
        <w:spacing w:after="0" w:line="3" w:lineRule="exact"/>
        <w:rPr>
          <w:rFonts w:ascii="Arial" w:cs="Arial" w:eastAsia="Arial" w:hAnsi="Arial"/>
          <w:sz w:val="18"/>
          <w:szCs w:val="18"/>
          <w:color w:val="auto"/>
        </w:rPr>
      </w:pPr>
    </w:p>
    <w:p>
      <w:pPr>
        <w:ind w:left="340" w:hanging="335"/>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Total Regulatory Capital / Total Risk-weighted assets (legal minimum = 10% since July 2011)</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3" w:right="339" w:bottom="1091"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28"/>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12.5. BCP Bolivia</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7"/>
          </w:tcPr>
          <w:p>
            <w:pPr>
              <w:jc w:val="right"/>
              <w:ind w:right="620"/>
              <w:spacing w:after="0"/>
              <w:rPr>
                <w:sz w:val="20"/>
                <w:szCs w:val="20"/>
                <w:color w:val="auto"/>
              </w:rPr>
            </w:pPr>
            <w:r>
              <w:rPr>
                <w:rFonts w:ascii="Arial" w:cs="Arial" w:eastAsia="Arial" w:hAnsi="Arial"/>
                <w:sz w:val="18"/>
                <w:szCs w:val="18"/>
                <w:b w:val="1"/>
                <w:bCs w:val="1"/>
                <w:color w:val="auto"/>
              </w:rPr>
              <w:t>BCP BOLIVIA</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80" w:type="dxa"/>
            <w:vAlign w:val="bottom"/>
            <w:gridSpan w:val="8"/>
          </w:tcPr>
          <w:p>
            <w:pPr>
              <w:spacing w:after="0"/>
              <w:rPr>
                <w:sz w:val="20"/>
                <w:szCs w:val="20"/>
                <w:color w:val="auto"/>
              </w:rPr>
            </w:pPr>
            <w:r>
              <w:rPr>
                <w:rFonts w:ascii="Arial" w:cs="Arial" w:eastAsia="Arial" w:hAnsi="Arial"/>
                <w:sz w:val="18"/>
                <w:szCs w:val="18"/>
                <w:b w:val="1"/>
                <w:bCs w:val="1"/>
                <w:color w:val="auto"/>
              </w:rPr>
              <w:t>(S/ thousands, IFRS)</w:t>
            </w: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5"/>
          </w:tcPr>
          <w:p>
            <w:pPr>
              <w:ind w:left="20"/>
              <w:spacing w:after="0"/>
              <w:rPr>
                <w:sz w:val="20"/>
                <w:szCs w:val="20"/>
                <w:color w:val="auto"/>
              </w:rPr>
            </w:pPr>
            <w:r>
              <w:rPr>
                <w:rFonts w:ascii="Arial" w:cs="Arial" w:eastAsia="Arial" w:hAnsi="Arial"/>
                <w:sz w:val="18"/>
                <w:szCs w:val="18"/>
                <w:b w:val="1"/>
                <w:bCs w:val="1"/>
                <w:color w:val="auto"/>
              </w:rPr>
              <w:t>As of</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6"/>
          </w:tcPr>
          <w:p>
            <w:pPr>
              <w:ind w:left="440"/>
              <w:spacing w:after="0"/>
              <w:rPr>
                <w:sz w:val="20"/>
                <w:szCs w:val="20"/>
                <w:color w:val="auto"/>
              </w:rPr>
            </w:pPr>
            <w:r>
              <w:rPr>
                <w:rFonts w:ascii="Arial" w:cs="Arial" w:eastAsia="Arial" w:hAnsi="Arial"/>
                <w:sz w:val="18"/>
                <w:szCs w:val="18"/>
                <w:b w:val="1"/>
                <w:bCs w:val="1"/>
                <w:color w:val="auto"/>
              </w:rPr>
              <w:t>% change</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5"/>
          </w:tcPr>
          <w:p>
            <w:pPr>
              <w:jc w:val="right"/>
              <w:ind w:right="500"/>
              <w:spacing w:after="0"/>
              <w:rPr>
                <w:sz w:val="20"/>
                <w:szCs w:val="20"/>
                <w:color w:val="auto"/>
              </w:rPr>
            </w:pPr>
            <w:r>
              <w:rPr>
                <w:rFonts w:ascii="Arial" w:cs="Arial" w:eastAsia="Arial" w:hAnsi="Arial"/>
                <w:sz w:val="18"/>
                <w:szCs w:val="18"/>
                <w:b w:val="1"/>
                <w:bCs w:val="1"/>
                <w:color w:val="auto"/>
                <w:w w:val="82"/>
              </w:rPr>
              <w:t>Sep 20</w:t>
            </w:r>
          </w:p>
        </w:tc>
        <w:tc>
          <w:tcPr>
            <w:tcW w:w="1120" w:type="dxa"/>
            <w:vAlign w:val="bottom"/>
            <w:tcBorders>
              <w:top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rPr>
              <w:t>Jun 21</w:t>
            </w:r>
          </w:p>
        </w:tc>
        <w:tc>
          <w:tcPr>
            <w:tcW w:w="78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6"/>
              </w:rPr>
              <w:t>Sep 21</w:t>
            </w:r>
          </w:p>
        </w:tc>
        <w:tc>
          <w:tcPr>
            <w:tcW w:w="220" w:type="dxa"/>
            <w:vAlign w:val="bottom"/>
          </w:tcPr>
          <w:p>
            <w:pPr>
              <w:spacing w:after="0"/>
              <w:rPr>
                <w:sz w:val="18"/>
                <w:szCs w:val="18"/>
                <w:color w:val="auto"/>
              </w:rPr>
            </w:pPr>
          </w:p>
        </w:tc>
        <w:tc>
          <w:tcPr>
            <w:tcW w:w="100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QoQ</w:t>
            </w:r>
          </w:p>
        </w:tc>
        <w:tc>
          <w:tcPr>
            <w:tcW w:w="62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YoY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340" w:type="dxa"/>
            <w:vAlign w:val="bottom"/>
            <w:gridSpan w:val="5"/>
          </w:tcPr>
          <w:p>
            <w:pPr>
              <w:jc w:val="right"/>
              <w:spacing w:after="0"/>
              <w:rPr>
                <w:sz w:val="20"/>
                <w:szCs w:val="20"/>
                <w:color w:val="auto"/>
              </w:rPr>
            </w:pPr>
            <w:r>
              <w:rPr>
                <w:rFonts w:ascii="Arial" w:cs="Arial" w:eastAsia="Arial" w:hAnsi="Arial"/>
                <w:sz w:val="18"/>
                <w:szCs w:val="18"/>
                <w:color w:val="auto"/>
              </w:rPr>
              <w:t>2,184,964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2,228,226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2,625,523</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17.8%</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3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1,282,579</w:t>
            </w: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1,671,904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1,794,096</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b w:val="1"/>
                <w:bCs w:val="1"/>
                <w:color w:val="auto"/>
              </w:rPr>
              <w:t>Total loans</w:t>
            </w:r>
          </w:p>
        </w:tc>
        <w:tc>
          <w:tcPr>
            <w:tcW w:w="1340" w:type="dxa"/>
            <w:vAlign w:val="bottom"/>
            <w:gridSpan w:val="5"/>
          </w:tcPr>
          <w:p>
            <w:pPr>
              <w:jc w:val="right"/>
              <w:spacing w:after="0"/>
              <w:rPr>
                <w:sz w:val="20"/>
                <w:szCs w:val="20"/>
                <w:color w:val="auto"/>
              </w:rPr>
            </w:pPr>
            <w:r>
              <w:rPr>
                <w:rFonts w:ascii="Arial" w:cs="Arial" w:eastAsia="Arial" w:hAnsi="Arial"/>
                <w:sz w:val="18"/>
                <w:szCs w:val="18"/>
                <w:b w:val="1"/>
                <w:bCs w:val="1"/>
                <w:color w:val="auto"/>
              </w:rPr>
              <w:t>8,449,617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9,197,759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9,919,102</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7.8%</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17.4%</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13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8,321,906</w:t>
            </w: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9,045,300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9,782,780</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ind w:left="180"/>
              <w:spacing w:after="0"/>
              <w:rPr>
                <w:sz w:val="20"/>
                <w:szCs w:val="20"/>
                <w:color w:val="auto"/>
              </w:rPr>
            </w:pPr>
            <w:r>
              <w:rPr>
                <w:rFonts w:ascii="Arial" w:cs="Arial" w:eastAsia="Arial" w:hAnsi="Arial"/>
                <w:sz w:val="18"/>
                <w:szCs w:val="18"/>
                <w:color w:val="auto"/>
              </w:rPr>
              <w:t>Internal overdue loans</w:t>
            </w:r>
          </w:p>
        </w:tc>
        <w:tc>
          <w:tcPr>
            <w:tcW w:w="1560" w:type="dxa"/>
            <w:vAlign w:val="bottom"/>
            <w:gridSpan w:val="6"/>
          </w:tcPr>
          <w:p>
            <w:pPr>
              <w:jc w:val="right"/>
              <w:ind w:right="220"/>
              <w:spacing w:after="0"/>
              <w:rPr>
                <w:sz w:val="20"/>
                <w:szCs w:val="20"/>
                <w:color w:val="auto"/>
              </w:rPr>
            </w:pPr>
            <w:r>
              <w:rPr>
                <w:rFonts w:ascii="Arial" w:cs="Arial" w:eastAsia="Arial" w:hAnsi="Arial"/>
                <w:sz w:val="18"/>
                <w:szCs w:val="18"/>
                <w:color w:val="auto"/>
              </w:rPr>
              <w:t>100,875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112,005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95,751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Refinanced</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0"/>
              </w:rPr>
              <w:t>26,835</w:t>
            </w: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40,455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40,572</w:t>
            </w: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51.2%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ind w:left="180"/>
              <w:spacing w:after="0"/>
              <w:rPr>
                <w:sz w:val="20"/>
                <w:szCs w:val="20"/>
                <w:color w:val="auto"/>
              </w:rPr>
            </w:pPr>
            <w:r>
              <w:rPr>
                <w:rFonts w:ascii="Arial" w:cs="Arial" w:eastAsia="Arial" w:hAnsi="Arial"/>
                <w:sz w:val="18"/>
                <w:szCs w:val="18"/>
                <w:color w:val="auto"/>
              </w:rPr>
              <w:t>Allowance for loan losses</w:t>
            </w:r>
          </w:p>
        </w:tc>
        <w:tc>
          <w:tcPr>
            <w:tcW w:w="1560" w:type="dxa"/>
            <w:vAlign w:val="bottom"/>
            <w:gridSpan w:val="6"/>
          </w:tcPr>
          <w:p>
            <w:pPr>
              <w:jc w:val="right"/>
              <w:ind w:right="160"/>
              <w:spacing w:after="0"/>
              <w:rPr>
                <w:sz w:val="20"/>
                <w:szCs w:val="20"/>
                <w:color w:val="auto"/>
              </w:rPr>
            </w:pPr>
            <w:r>
              <w:rPr>
                <w:rFonts w:ascii="Arial" w:cs="Arial" w:eastAsia="Arial" w:hAnsi="Arial"/>
                <w:sz w:val="18"/>
                <w:szCs w:val="18"/>
                <w:color w:val="auto"/>
              </w:rPr>
              <w:t>(434,471)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(433,953)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(467,583)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loans</w:t>
            </w:r>
          </w:p>
        </w:tc>
        <w:tc>
          <w:tcPr>
            <w:tcW w:w="134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8,015,146</w:t>
            </w: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8,763,806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9,451,520</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7.8%</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17.9%</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w w:val="90"/>
              </w:rPr>
              <w:t>50,678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56,091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61,986</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56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192,489</w:t>
            </w: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393,292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414,892</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115.5%</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ind w:left="1260"/>
              <w:spacing w:after="0"/>
              <w:rPr>
                <w:sz w:val="20"/>
                <w:szCs w:val="20"/>
                <w:color w:val="auto"/>
              </w:rPr>
            </w:pPr>
            <w:r>
              <w:rPr>
                <w:rFonts w:ascii="Arial" w:cs="Arial" w:eastAsia="Arial" w:hAnsi="Arial"/>
                <w:sz w:val="18"/>
                <w:szCs w:val="18"/>
                <w:b w:val="1"/>
                <w:bCs w:val="1"/>
                <w:color w:val="auto"/>
              </w:rPr>
              <w:t>Total assets</w:t>
            </w:r>
          </w:p>
        </w:tc>
        <w:tc>
          <w:tcPr>
            <w:tcW w:w="156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11,725,856</w:t>
            </w:r>
          </w:p>
        </w:tc>
        <w:tc>
          <w:tcPr>
            <w:tcW w:w="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6"/>
              </w:rPr>
              <w:t>13,113,320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4"/>
              </w:rPr>
              <w:t>14,348,016</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9.4%</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22.4%</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04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LIABILITIES AND NET</w:t>
            </w: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60" w:type="dxa"/>
            <w:vAlign w:val="bottom"/>
            <w:tcBorders>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560" w:type="dxa"/>
            <w:vAlign w:val="bottom"/>
            <w:gridSpan w:val="6"/>
          </w:tcPr>
          <w:p>
            <w:pPr>
              <w:jc w:val="right"/>
              <w:ind w:right="220"/>
              <w:spacing w:after="0"/>
              <w:rPr>
                <w:sz w:val="20"/>
                <w:szCs w:val="20"/>
                <w:color w:val="auto"/>
              </w:rPr>
            </w:pPr>
            <w:r>
              <w:rPr>
                <w:rFonts w:ascii="Arial" w:cs="Arial" w:eastAsia="Arial" w:hAnsi="Arial"/>
                <w:sz w:val="18"/>
                <w:szCs w:val="18"/>
                <w:color w:val="auto"/>
              </w:rPr>
              <w:t>10,023,973</w:t>
            </w:r>
          </w:p>
        </w:tc>
        <w:tc>
          <w:tcPr>
            <w:tcW w:w="80" w:type="dxa"/>
            <w:vAlign w:val="bottom"/>
          </w:tcPr>
          <w:p>
            <w:pPr>
              <w:spacing w:after="0"/>
              <w:rPr>
                <w:sz w:val="18"/>
                <w:szCs w:val="18"/>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w w:val="86"/>
              </w:rPr>
              <w:t>11,057,286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w w:val="84"/>
              </w:rPr>
              <w:t>12,114,178</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0"/>
              </w:rPr>
              <w:t>83,660</w:t>
            </w: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119,795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89,697</w:t>
            </w: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Bonds and subordinated debt</w:t>
            </w:r>
          </w:p>
        </w:tc>
        <w:tc>
          <w:tcPr>
            <w:tcW w:w="1560" w:type="dxa"/>
            <w:vAlign w:val="bottom"/>
            <w:gridSpan w:val="6"/>
          </w:tcPr>
          <w:p>
            <w:pPr>
              <w:jc w:val="right"/>
              <w:ind w:right="220"/>
              <w:spacing w:after="0"/>
              <w:rPr>
                <w:sz w:val="20"/>
                <w:szCs w:val="20"/>
                <w:color w:val="auto"/>
              </w:rPr>
            </w:pPr>
            <w:r>
              <w:rPr>
                <w:rFonts w:ascii="Arial" w:cs="Arial" w:eastAsia="Arial" w:hAnsi="Arial"/>
                <w:sz w:val="18"/>
                <w:szCs w:val="18"/>
                <w:color w:val="auto"/>
              </w:rPr>
              <w:t>110,625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178,578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191,218</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72.9%</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56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824,117</w:t>
            </w: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994,580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4"/>
              </w:rPr>
              <w:t>1,111,166</w:t>
            </w: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ind w:left="1140"/>
              <w:spacing w:after="0"/>
              <w:rPr>
                <w:sz w:val="20"/>
                <w:szCs w:val="20"/>
                <w:color w:val="auto"/>
              </w:rPr>
            </w:pPr>
            <w:r>
              <w:rPr>
                <w:rFonts w:ascii="Arial" w:cs="Arial" w:eastAsia="Arial" w:hAnsi="Arial"/>
                <w:sz w:val="18"/>
                <w:szCs w:val="18"/>
                <w:b w:val="1"/>
                <w:bCs w:val="1"/>
                <w:color w:val="auto"/>
              </w:rPr>
              <w:t>Total liabilities</w:t>
            </w:r>
          </w:p>
        </w:tc>
        <w:tc>
          <w:tcPr>
            <w:tcW w:w="156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11,042,375</w:t>
            </w:r>
          </w:p>
        </w:tc>
        <w:tc>
          <w:tcPr>
            <w:tcW w:w="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6"/>
              </w:rPr>
              <w:t>12,350,240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4"/>
              </w:rPr>
              <w:t>13,506,259</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9.4%</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equity</w:t>
            </w:r>
          </w:p>
        </w:tc>
        <w:tc>
          <w:tcPr>
            <w:tcW w:w="156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683,481</w:t>
            </w: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8"/>
              </w:rPr>
              <w:t>763,080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841,757</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10.3%</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40" w:type="dxa"/>
            <w:vAlign w:val="bottom"/>
          </w:tcPr>
          <w:p>
            <w:pPr>
              <w:spacing w:after="0" w:line="192" w:lineRule="exact"/>
              <w:rPr>
                <w:sz w:val="20"/>
                <w:szCs w:val="20"/>
                <w:color w:val="auto"/>
              </w:rPr>
            </w:pPr>
            <w:r>
              <w:rPr>
                <w:rFonts w:ascii="Arial" w:cs="Arial" w:eastAsia="Arial" w:hAnsi="Arial"/>
                <w:sz w:val="18"/>
                <w:szCs w:val="18"/>
                <w:b w:val="1"/>
                <w:bCs w:val="1"/>
                <w:color w:val="auto"/>
              </w:rPr>
              <w:t>TOTAL LIABILITIES AND NET</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56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rPr>
              <w:t>11,725,856</w:t>
            </w:r>
          </w:p>
        </w:tc>
        <w:tc>
          <w:tcPr>
            <w:tcW w:w="80" w:type="dxa"/>
            <w:vAlign w:val="bottom"/>
          </w:tcPr>
          <w:p>
            <w:pPr>
              <w:spacing w:after="0"/>
              <w:rPr>
                <w:sz w:val="19"/>
                <w:szCs w:val="19"/>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w w:val="86"/>
              </w:rPr>
              <w:t>13,113,320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4"/>
              </w:rPr>
              <w:t>14,348,016</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9.4%</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22.4%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8"/>
              </w:rPr>
              <w:t>Quarter</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 change</w:t>
            </w:r>
          </w:p>
        </w:tc>
        <w:tc>
          <w:tcPr>
            <w:tcW w:w="620" w:type="dxa"/>
            <w:vAlign w:val="bottom"/>
          </w:tcPr>
          <w:p>
            <w:pPr>
              <w:spacing w:after="0"/>
              <w:rPr>
                <w:sz w:val="24"/>
                <w:szCs w:val="24"/>
                <w:color w:val="auto"/>
              </w:rPr>
            </w:pPr>
          </w:p>
        </w:tc>
        <w:tc>
          <w:tcPr>
            <w:tcW w:w="46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Year</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20" w:type="dxa"/>
            <w:vAlign w:val="bottom"/>
            <w:tcBorders>
              <w:top w:val="single" w:sz="8" w:color="auto"/>
            </w:tcBorders>
            <w:gridSpan w:val="3"/>
          </w:tcPr>
          <w:p>
            <w:pPr>
              <w:jc w:val="right"/>
              <w:ind w:right="92"/>
              <w:spacing w:after="0"/>
              <w:rPr>
                <w:sz w:val="20"/>
                <w:szCs w:val="20"/>
                <w:color w:val="auto"/>
              </w:rPr>
            </w:pPr>
            <w:r>
              <w:rPr>
                <w:rFonts w:ascii="Arial" w:cs="Arial" w:eastAsia="Arial" w:hAnsi="Arial"/>
                <w:sz w:val="18"/>
                <w:szCs w:val="18"/>
                <w:b w:val="1"/>
                <w:bCs w:val="1"/>
                <w:color w:val="auto"/>
              </w:rPr>
              <w:t>3Q20</w:t>
            </w: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2Q21</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3Q21</w:t>
            </w:r>
          </w:p>
        </w:tc>
        <w:tc>
          <w:tcPr>
            <w:tcW w:w="240" w:type="dxa"/>
            <w:vAlign w:val="bottom"/>
            <w:gridSpan w:val="2"/>
          </w:tcPr>
          <w:p>
            <w:pPr>
              <w:spacing w:after="0"/>
              <w:rPr>
                <w:sz w:val="18"/>
                <w:szCs w:val="18"/>
                <w:color w:val="auto"/>
              </w:rPr>
            </w:pPr>
          </w:p>
        </w:tc>
        <w:tc>
          <w:tcPr>
            <w:tcW w:w="1000" w:type="dxa"/>
            <w:vAlign w:val="bottom"/>
            <w:tcBorders>
              <w:top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rPr>
              <w:t>QoQ</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YoY</w:t>
            </w:r>
          </w:p>
        </w:tc>
        <w:tc>
          <w:tcPr>
            <w:tcW w:w="360" w:type="dxa"/>
            <w:vAlign w:val="bottom"/>
          </w:tcPr>
          <w:p>
            <w:pPr>
              <w:spacing w:after="0"/>
              <w:rPr>
                <w:sz w:val="18"/>
                <w:szCs w:val="18"/>
                <w:color w:val="auto"/>
              </w:rPr>
            </w:pPr>
          </w:p>
        </w:tc>
        <w:tc>
          <w:tcPr>
            <w:tcW w:w="1080" w:type="dxa"/>
            <w:vAlign w:val="bottom"/>
            <w:tcBorders>
              <w:top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rPr>
              <w:t>Sep 20</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Sep 21</w:t>
            </w:r>
          </w:p>
        </w:tc>
        <w:tc>
          <w:tcPr>
            <w:tcW w:w="28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9M-21/ 9M-20</w:t>
            </w:r>
          </w:p>
        </w:tc>
        <w:tc>
          <w:tcPr>
            <w:tcW w:w="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640" w:type="dxa"/>
            <w:vAlign w:val="bottom"/>
            <w:gridSpan w:val="2"/>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740" w:type="dxa"/>
            <w:vAlign w:val="bottom"/>
            <w:tcBorders>
              <w:right w:val="single" w:sz="8" w:color="CCEEFF"/>
            </w:tcBorders>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vMerge w:val="continue"/>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91,255</w:t>
            </w:r>
          </w:p>
        </w:tc>
        <w:tc>
          <w:tcPr>
            <w:tcW w:w="18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740" w:type="dxa"/>
            <w:vAlign w:val="bottom"/>
            <w:tcBorders>
              <w:right w:val="single" w:sz="8" w:color="CCEEFF"/>
            </w:tcBorders>
            <w:gridSpan w:val="3"/>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79,897</w:t>
            </w:r>
          </w:p>
        </w:tc>
        <w:tc>
          <w:tcPr>
            <w:tcW w:w="14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97,603</w:t>
            </w:r>
          </w:p>
        </w:tc>
        <w:tc>
          <w:tcPr>
            <w:tcW w:w="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22.2%</w:t>
            </w:r>
          </w:p>
        </w:tc>
        <w:tc>
          <w:tcPr>
            <w:tcW w:w="1000" w:type="dxa"/>
            <w:vAlign w:val="bottom"/>
            <w:tcBorders>
              <w:right w:val="single" w:sz="8" w:color="CCEEFF"/>
            </w:tcBorders>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7.0%</w:t>
            </w:r>
          </w:p>
        </w:tc>
        <w:tc>
          <w:tcPr>
            <w:tcW w:w="7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169,809</w:t>
            </w:r>
          </w:p>
        </w:tc>
        <w:tc>
          <w:tcPr>
            <w:tcW w:w="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155,086</w:t>
            </w:r>
          </w:p>
        </w:tc>
        <w:tc>
          <w:tcPr>
            <w:tcW w:w="280" w:type="dxa"/>
            <w:vAlign w:val="bottom"/>
            <w:vMerge w:val="continue"/>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tcPr>
          <w:p>
            <w:pPr>
              <w:spacing w:after="0" w:line="198" w:lineRule="exact"/>
              <w:rPr>
                <w:sz w:val="20"/>
                <w:szCs w:val="20"/>
                <w:color w:val="auto"/>
              </w:rPr>
            </w:pPr>
            <w:r>
              <w:rPr>
                <w:rFonts w:ascii="Arial" w:cs="Arial" w:eastAsia="Arial" w:hAnsi="Arial"/>
                <w:sz w:val="18"/>
                <w:szCs w:val="18"/>
                <w:color w:val="auto"/>
              </w:rPr>
              <w:t>Provision for loan losses, net of</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060" w:type="dxa"/>
            <w:vAlign w:val="bottom"/>
            <w:gridSpan w:val="2"/>
          </w:tcPr>
          <w:p>
            <w:pPr>
              <w:spacing w:after="0"/>
              <w:rPr>
                <w:sz w:val="20"/>
                <w:szCs w:val="20"/>
                <w:color w:val="auto"/>
              </w:rPr>
            </w:pPr>
            <w:r>
              <w:rPr>
                <w:rFonts w:ascii="Arial" w:cs="Arial" w:eastAsia="Arial" w:hAnsi="Arial"/>
                <w:sz w:val="18"/>
                <w:szCs w:val="18"/>
                <w:color w:val="auto"/>
              </w:rPr>
              <w:t>recoveries</w:t>
            </w:r>
          </w:p>
        </w:tc>
        <w:tc>
          <w:tcPr>
            <w:tcW w:w="820" w:type="dxa"/>
            <w:vAlign w:val="bottom"/>
            <w:gridSpan w:val="3"/>
          </w:tcPr>
          <w:p>
            <w:pPr>
              <w:jc w:val="right"/>
              <w:ind w:right="32"/>
              <w:spacing w:after="0"/>
              <w:rPr>
                <w:sz w:val="20"/>
                <w:szCs w:val="20"/>
                <w:color w:val="auto"/>
              </w:rPr>
            </w:pPr>
            <w:r>
              <w:rPr>
                <w:rFonts w:ascii="Arial" w:cs="Arial" w:eastAsia="Arial" w:hAnsi="Arial"/>
                <w:sz w:val="18"/>
                <w:szCs w:val="18"/>
                <w:color w:val="auto"/>
              </w:rPr>
              <w:t>(71,996)</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49,116</w:t>
            </w:r>
          </w:p>
        </w:tc>
        <w:tc>
          <w:tcPr>
            <w:tcW w:w="140" w:type="dxa"/>
            <w:vAlign w:val="bottom"/>
          </w:tcPr>
          <w:p>
            <w:pPr>
              <w:spacing w:after="0"/>
              <w:rPr>
                <w:sz w:val="19"/>
                <w:szCs w:val="19"/>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(23,161)</w:t>
            </w:r>
          </w:p>
        </w:tc>
        <w:tc>
          <w:tcPr>
            <w:tcW w:w="100" w:type="dxa"/>
            <w:vAlign w:val="bottom"/>
          </w:tcPr>
          <w:p>
            <w:pPr>
              <w:spacing w:after="0"/>
              <w:rPr>
                <w:sz w:val="19"/>
                <w:szCs w:val="19"/>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-67.8%</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(136,716)</w:t>
            </w:r>
          </w:p>
        </w:tc>
        <w:tc>
          <w:tcPr>
            <w:tcW w:w="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25,534</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Net interest income after provisions</w:t>
            </w:r>
          </w:p>
        </w:tc>
        <w:tc>
          <w:tcPr>
            <w:tcW w:w="82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19,260</w:t>
            </w:r>
          </w:p>
        </w:tc>
        <w:tc>
          <w:tcPr>
            <w:tcW w:w="82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129,012</w:t>
            </w: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74,441</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-42.3%</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286.5%</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33,093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180,620</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Non-financial income</w:t>
            </w:r>
          </w:p>
        </w:tc>
        <w:tc>
          <w:tcPr>
            <w:tcW w:w="820" w:type="dxa"/>
            <w:vAlign w:val="bottom"/>
            <w:gridSpan w:val="3"/>
          </w:tcPr>
          <w:p>
            <w:pPr>
              <w:jc w:val="right"/>
              <w:ind w:right="92"/>
              <w:spacing w:after="0"/>
              <w:rPr>
                <w:sz w:val="20"/>
                <w:szCs w:val="20"/>
                <w:color w:val="auto"/>
              </w:rPr>
            </w:pPr>
            <w:r>
              <w:rPr>
                <w:rFonts w:ascii="Arial" w:cs="Arial" w:eastAsia="Arial" w:hAnsi="Arial"/>
                <w:sz w:val="18"/>
                <w:szCs w:val="18"/>
                <w:color w:val="auto"/>
              </w:rPr>
              <w:t>27,561</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37,598</w:t>
            </w:r>
          </w:p>
        </w:tc>
        <w:tc>
          <w:tcPr>
            <w:tcW w:w="140" w:type="dxa"/>
            <w:vAlign w:val="bottom"/>
          </w:tcPr>
          <w:p>
            <w:pPr>
              <w:spacing w:after="0"/>
              <w:rPr>
                <w:sz w:val="18"/>
                <w:szCs w:val="18"/>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44,902</w:t>
            </w:r>
          </w:p>
        </w:tc>
        <w:tc>
          <w:tcPr>
            <w:tcW w:w="10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19.4%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62.9%</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51,403</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73,222</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8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(61,480)</w:t>
            </w:r>
          </w:p>
        </w:tc>
        <w:tc>
          <w:tcPr>
            <w:tcW w:w="960" w:type="dxa"/>
            <w:vAlign w:val="bottom"/>
            <w:gridSpan w:val="5"/>
            <w:shd w:val="clear" w:color="auto" w:fill="CCEEFF"/>
          </w:tcPr>
          <w:p>
            <w:pPr>
              <w:jc w:val="right"/>
              <w:ind w:right="12"/>
              <w:spacing w:after="0"/>
              <w:rPr>
                <w:sz w:val="20"/>
                <w:szCs w:val="20"/>
                <w:color w:val="auto"/>
              </w:rPr>
            </w:pPr>
            <w:r>
              <w:rPr>
                <w:rFonts w:ascii="Arial" w:cs="Arial" w:eastAsia="Arial" w:hAnsi="Arial"/>
                <w:sz w:val="18"/>
                <w:szCs w:val="18"/>
                <w:color w:val="auto"/>
              </w:rPr>
              <w:t>(127,985)</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(78,514)</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-38.7%</w:t>
            </w: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(119,359)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(192,727)</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Translation result</w:t>
            </w:r>
          </w:p>
        </w:tc>
        <w:tc>
          <w:tcPr>
            <w:tcW w:w="820" w:type="dxa"/>
            <w:vAlign w:val="bottom"/>
            <w:gridSpan w:val="3"/>
          </w:tcPr>
          <w:p>
            <w:pPr>
              <w:jc w:val="right"/>
              <w:ind w:right="32"/>
              <w:spacing w:after="0"/>
              <w:rPr>
                <w:sz w:val="20"/>
                <w:szCs w:val="20"/>
                <w:color w:val="auto"/>
              </w:rPr>
            </w:pPr>
            <w:r>
              <w:rPr>
                <w:rFonts w:ascii="Arial" w:cs="Arial" w:eastAsia="Arial" w:hAnsi="Arial"/>
                <w:sz w:val="18"/>
                <w:szCs w:val="18"/>
                <w:color w:val="auto"/>
              </w:rPr>
              <w:t>(93)</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-523.9%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(6,165)</w:t>
            </w:r>
          </w:p>
        </w:tc>
        <w:tc>
          <w:tcPr>
            <w:tcW w:w="960" w:type="dxa"/>
            <w:vAlign w:val="bottom"/>
            <w:gridSpan w:val="5"/>
            <w:shd w:val="clear" w:color="auto" w:fill="CCEEFF"/>
          </w:tcPr>
          <w:p>
            <w:pPr>
              <w:jc w:val="right"/>
              <w:ind w:right="12"/>
              <w:spacing w:after="0"/>
              <w:rPr>
                <w:sz w:val="20"/>
                <w:szCs w:val="20"/>
                <w:color w:val="auto"/>
              </w:rPr>
            </w:pPr>
            <w:r>
              <w:rPr>
                <w:rFonts w:ascii="Arial" w:cs="Arial" w:eastAsia="Arial" w:hAnsi="Arial"/>
                <w:sz w:val="18"/>
                <w:szCs w:val="18"/>
                <w:color w:val="auto"/>
              </w:rPr>
              <w:t>(23,486)</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(17,619)</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-25.0%</w:t>
            </w: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185.8%</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2,098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(34,509)</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820" w:type="dxa"/>
            <w:vAlign w:val="bottom"/>
            <w:gridSpan w:val="3"/>
          </w:tcPr>
          <w:p>
            <w:pPr>
              <w:jc w:val="right"/>
              <w:ind w:right="32"/>
              <w:spacing w:after="0"/>
              <w:rPr>
                <w:sz w:val="20"/>
                <w:szCs w:val="20"/>
                <w:color w:val="auto"/>
              </w:rPr>
            </w:pPr>
            <w:r>
              <w:rPr>
                <w:rFonts w:ascii="Arial" w:cs="Arial" w:eastAsia="Arial" w:hAnsi="Arial"/>
                <w:sz w:val="18"/>
                <w:szCs w:val="18"/>
                <w:b w:val="1"/>
                <w:bCs w:val="1"/>
                <w:color w:val="auto"/>
              </w:rPr>
              <w:t>(20,916)</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15,161</w:t>
            </w:r>
          </w:p>
        </w:tc>
        <w:tc>
          <w:tcPr>
            <w:tcW w:w="140" w:type="dxa"/>
            <w:vAlign w:val="bottom"/>
          </w:tcPr>
          <w:p>
            <w:pPr>
              <w:spacing w:after="0"/>
              <w:rPr>
                <w:sz w:val="18"/>
                <w:szCs w:val="18"/>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23,121</w:t>
            </w:r>
          </w:p>
        </w:tc>
        <w:tc>
          <w:tcPr>
            <w:tcW w:w="10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-52.5%</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-210.5%</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(32,754)</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26,615</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spacing w:after="0"/>
              <w:rPr>
                <w:sz w:val="18"/>
                <w:szCs w:val="18"/>
                <w:color w:val="auto"/>
              </w:rPr>
            </w:pPr>
          </w:p>
        </w:tc>
        <w:tc>
          <w:tcPr>
            <w:tcW w:w="74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Efficiency ratio</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51.2%</w:t>
            </w: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58.9%</w:t>
            </w:r>
          </w:p>
        </w:tc>
        <w:tc>
          <w:tcPr>
            <w:tcW w:w="980" w:type="dxa"/>
            <w:vAlign w:val="bottom"/>
            <w:gridSpan w:val="5"/>
          </w:tcPr>
          <w:p>
            <w:pPr>
              <w:jc w:val="right"/>
              <w:ind w:right="100"/>
              <w:spacing w:after="0"/>
              <w:rPr>
                <w:sz w:val="20"/>
                <w:szCs w:val="20"/>
                <w:color w:val="auto"/>
              </w:rPr>
            </w:pPr>
            <w:r>
              <w:rPr>
                <w:rFonts w:ascii="Arial" w:cs="Arial" w:eastAsia="Arial" w:hAnsi="Arial"/>
                <w:sz w:val="18"/>
                <w:szCs w:val="18"/>
                <w:color w:val="auto"/>
              </w:rPr>
              <w:t>53.0%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-590pbs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180pbs</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52.9%</w:t>
            </w: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56.9%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400pbs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ROAE</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9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330pbs</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2365pbs</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2810pbs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L/D ratio</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84.3%</w:t>
            </w: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83.2%</w:t>
            </w:r>
          </w:p>
        </w:tc>
        <w:tc>
          <w:tcPr>
            <w:tcW w:w="980" w:type="dxa"/>
            <w:vAlign w:val="bottom"/>
            <w:gridSpan w:val="5"/>
          </w:tcPr>
          <w:p>
            <w:pPr>
              <w:jc w:val="right"/>
              <w:ind w:right="100"/>
              <w:spacing w:after="0"/>
              <w:rPr>
                <w:sz w:val="20"/>
                <w:szCs w:val="20"/>
                <w:color w:val="auto"/>
              </w:rPr>
            </w:pPr>
            <w:r>
              <w:rPr>
                <w:rFonts w:ascii="Arial" w:cs="Arial" w:eastAsia="Arial" w:hAnsi="Arial"/>
                <w:sz w:val="18"/>
                <w:szCs w:val="18"/>
                <w:color w:val="auto"/>
              </w:rPr>
              <w:t>81.9%</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-130pbs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-241pbs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IOL ratio</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9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0.97%</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-20pbs</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-22pbs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NPL ratio</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1.51%</w:t>
            </w: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1.66%</w:t>
            </w:r>
          </w:p>
        </w:tc>
        <w:tc>
          <w:tcPr>
            <w:tcW w:w="980" w:type="dxa"/>
            <w:vAlign w:val="bottom"/>
            <w:gridSpan w:val="5"/>
          </w:tcPr>
          <w:p>
            <w:pPr>
              <w:jc w:val="right"/>
              <w:ind w:right="100"/>
              <w:spacing w:after="0"/>
              <w:rPr>
                <w:sz w:val="20"/>
                <w:szCs w:val="20"/>
                <w:color w:val="auto"/>
              </w:rPr>
            </w:pPr>
            <w:r>
              <w:rPr>
                <w:rFonts w:ascii="Arial" w:cs="Arial" w:eastAsia="Arial" w:hAnsi="Arial"/>
                <w:sz w:val="18"/>
                <w:szCs w:val="18"/>
                <w:color w:val="auto"/>
              </w:rPr>
              <w:t>1.37%</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-30pbs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-14pbs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Coverage of IOLs</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9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488.3%</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10090pbs</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5763pbs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Coverage of NPLs</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340.2%</w:t>
            </w: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284.6%</w:t>
            </w:r>
          </w:p>
        </w:tc>
        <w:tc>
          <w:tcPr>
            <w:tcW w:w="980" w:type="dxa"/>
            <w:vAlign w:val="bottom"/>
            <w:gridSpan w:val="5"/>
          </w:tcPr>
          <w:p>
            <w:pPr>
              <w:jc w:val="right"/>
              <w:ind w:right="100"/>
              <w:spacing w:after="0"/>
              <w:rPr>
                <w:sz w:val="20"/>
                <w:szCs w:val="20"/>
                <w:color w:val="auto"/>
              </w:rPr>
            </w:pPr>
            <w:r>
              <w:rPr>
                <w:rFonts w:ascii="Arial" w:cs="Arial" w:eastAsia="Arial" w:hAnsi="Arial"/>
                <w:sz w:val="18"/>
                <w:szCs w:val="18"/>
                <w:color w:val="auto"/>
              </w:rPr>
              <w:t>343.0%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5840pbs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280pbs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Branches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Agentes</w:t>
            </w:r>
          </w:p>
        </w:tc>
        <w:tc>
          <w:tcPr>
            <w:tcW w:w="820" w:type="dxa"/>
            <w:vAlign w:val="bottom"/>
            <w:gridSpan w:val="3"/>
          </w:tcPr>
          <w:p>
            <w:pPr>
              <w:jc w:val="right"/>
              <w:ind w:right="92"/>
              <w:spacing w:after="0"/>
              <w:rPr>
                <w:sz w:val="20"/>
                <w:szCs w:val="20"/>
                <w:color w:val="auto"/>
              </w:rPr>
            </w:pPr>
            <w:r>
              <w:rPr>
                <w:rFonts w:ascii="Arial" w:cs="Arial" w:eastAsia="Arial" w:hAnsi="Arial"/>
                <w:sz w:val="18"/>
                <w:szCs w:val="18"/>
                <w:color w:val="auto"/>
              </w:rPr>
              <w:t>664</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851</w:t>
            </w:r>
          </w:p>
        </w:tc>
        <w:tc>
          <w:tcPr>
            <w:tcW w:w="140" w:type="dxa"/>
            <w:vAlign w:val="bottom"/>
          </w:tcPr>
          <w:p>
            <w:pPr>
              <w:spacing w:after="0"/>
              <w:rPr>
                <w:sz w:val="18"/>
                <w:szCs w:val="18"/>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212</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ATMs</w:t>
            </w:r>
          </w:p>
        </w:tc>
        <w:tc>
          <w:tcPr>
            <w:tcW w:w="82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310</w:t>
            </w:r>
          </w:p>
        </w:tc>
        <w:tc>
          <w:tcPr>
            <w:tcW w:w="82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Employees</w:t>
            </w:r>
          </w:p>
        </w:tc>
        <w:tc>
          <w:tcPr>
            <w:tcW w:w="820" w:type="dxa"/>
            <w:vAlign w:val="bottom"/>
            <w:gridSpan w:val="3"/>
          </w:tcPr>
          <w:p>
            <w:pPr>
              <w:jc w:val="right"/>
              <w:ind w:right="92"/>
              <w:spacing w:after="0"/>
              <w:rPr>
                <w:sz w:val="20"/>
                <w:szCs w:val="20"/>
                <w:color w:val="auto"/>
              </w:rPr>
            </w:pPr>
            <w:r>
              <w:rPr>
                <w:rFonts w:ascii="Arial" w:cs="Arial" w:eastAsia="Arial" w:hAnsi="Arial"/>
                <w:sz w:val="18"/>
                <w:szCs w:val="18"/>
                <w:color w:val="auto"/>
              </w:rPr>
              <w:t>1,659</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1,564</w:t>
            </w:r>
          </w:p>
        </w:tc>
        <w:tc>
          <w:tcPr>
            <w:tcW w:w="140" w:type="dxa"/>
            <w:vAlign w:val="bottom"/>
          </w:tcPr>
          <w:p>
            <w:pPr>
              <w:spacing w:after="0"/>
              <w:rPr>
                <w:sz w:val="19"/>
                <w:szCs w:val="19"/>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-84</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8"/>
        </w:trPr>
        <w:tc>
          <w:tcPr>
            <w:tcW w:w="20" w:type="dxa"/>
            <w:vAlign w:val="bottom"/>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-7118985</wp:posOffset>
            </wp:positionV>
            <wp:extent cx="1642110" cy="1416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642110" cy="141605"/>
                    </a:xfrm>
                    <a:prstGeom prst="rect">
                      <a:avLst/>
                    </a:prstGeom>
                    <a:noFill/>
                  </pic:spPr>
                </pic:pic>
              </a:graphicData>
            </a:graphic>
          </wp:anchor>
        </w:drawing>
        <w:drawing>
          <wp:anchor simplePos="0" relativeHeight="251657728" behindDoc="1" locked="0" layoutInCell="0" allowOverlap="1">
            <wp:simplePos x="0" y="0"/>
            <wp:positionH relativeFrom="column">
              <wp:posOffset>5497195</wp:posOffset>
            </wp:positionH>
            <wp:positionV relativeFrom="paragraph">
              <wp:posOffset>-6843395</wp:posOffset>
            </wp:positionV>
            <wp:extent cx="1642110" cy="133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642110" cy="133350"/>
                    </a:xfrm>
                    <a:prstGeom prst="rect">
                      <a:avLst/>
                    </a:prstGeom>
                    <a:noFill/>
                  </pic:spPr>
                </pic:pic>
              </a:graphicData>
            </a:graphic>
          </wp:anchor>
        </w:drawing>
        <w:drawing>
          <wp:anchor simplePos="0" relativeHeight="251657728" behindDoc="1" locked="0" layoutInCell="0" allowOverlap="1">
            <wp:simplePos x="0" y="0"/>
            <wp:positionH relativeFrom="column">
              <wp:posOffset>5497195</wp:posOffset>
            </wp:positionH>
            <wp:positionV relativeFrom="paragraph">
              <wp:posOffset>-6576695</wp:posOffset>
            </wp:positionV>
            <wp:extent cx="1642110" cy="133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42110" cy="133350"/>
                    </a:xfrm>
                    <a:prstGeom prst="rect">
                      <a:avLst/>
                    </a:prstGeom>
                    <a:noFill/>
                  </pic:spPr>
                </pic:pic>
              </a:graphicData>
            </a:graphic>
          </wp:anchor>
        </w:drawing>
        <w:drawing>
          <wp:anchor simplePos="0" relativeHeight="251657728" behindDoc="1" locked="0" layoutInCell="0" allowOverlap="1">
            <wp:simplePos x="0" y="0"/>
            <wp:positionH relativeFrom="column">
              <wp:posOffset>5497195</wp:posOffset>
            </wp:positionH>
            <wp:positionV relativeFrom="paragraph">
              <wp:posOffset>-6309995</wp:posOffset>
            </wp:positionV>
            <wp:extent cx="1642110" cy="133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642110" cy="133350"/>
                    </a:xfrm>
                    <a:prstGeom prst="rect">
                      <a:avLst/>
                    </a:prstGeom>
                    <a:noFill/>
                  </pic:spPr>
                </pic:pic>
              </a:graphicData>
            </a:graphic>
          </wp:anchor>
        </w:drawing>
        <w:drawing>
          <wp:anchor simplePos="0" relativeHeight="251657728" behindDoc="1" locked="0" layoutInCell="0" allowOverlap="1">
            <wp:simplePos x="0" y="0"/>
            <wp:positionH relativeFrom="column">
              <wp:posOffset>5497195</wp:posOffset>
            </wp:positionH>
            <wp:positionV relativeFrom="paragraph">
              <wp:posOffset>-6043295</wp:posOffset>
            </wp:positionV>
            <wp:extent cx="1642110" cy="133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642110" cy="133350"/>
                    </a:xfrm>
                    <a:prstGeom prst="rect">
                      <a:avLst/>
                    </a:prstGeom>
                    <a:noFill/>
                  </pic:spPr>
                </pic:pic>
              </a:graphicData>
            </a:graphic>
          </wp:anchor>
        </w:drawing>
        <w:drawing>
          <wp:anchor simplePos="0" relativeHeight="251657728" behindDoc="1" locked="0" layoutInCell="0" allowOverlap="1">
            <wp:simplePos x="0" y="0"/>
            <wp:positionH relativeFrom="column">
              <wp:posOffset>5497195</wp:posOffset>
            </wp:positionH>
            <wp:positionV relativeFrom="paragraph">
              <wp:posOffset>-5776595</wp:posOffset>
            </wp:positionV>
            <wp:extent cx="1642110" cy="133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642110" cy="133350"/>
                    </a:xfrm>
                    <a:prstGeom prst="rect">
                      <a:avLst/>
                    </a:prstGeom>
                    <a:noFill/>
                  </pic:spPr>
                </pic:pic>
              </a:graphicData>
            </a:graphic>
          </wp:anchor>
        </w:drawing>
        <w:drawing>
          <wp:anchor simplePos="0" relativeHeight="251657728" behindDoc="1" locked="0" layoutInCell="0" allowOverlap="1">
            <wp:simplePos x="0" y="0"/>
            <wp:positionH relativeFrom="column">
              <wp:posOffset>5497195</wp:posOffset>
            </wp:positionH>
            <wp:positionV relativeFrom="paragraph">
              <wp:posOffset>-5509895</wp:posOffset>
            </wp:positionV>
            <wp:extent cx="1642110" cy="133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642110" cy="133350"/>
                    </a:xfrm>
                    <a:prstGeom prst="rect">
                      <a:avLst/>
                    </a:prstGeom>
                    <a:noFill/>
                  </pic:spPr>
                </pic:pic>
              </a:graphicData>
            </a:graphic>
          </wp:anchor>
        </w:drawing>
        <w:drawing>
          <wp:anchor simplePos="0" relativeHeight="251657728" behindDoc="1" locked="0" layoutInCell="0" allowOverlap="1">
            <wp:simplePos x="0" y="0"/>
            <wp:positionH relativeFrom="column">
              <wp:posOffset>5497195</wp:posOffset>
            </wp:positionH>
            <wp:positionV relativeFrom="paragraph">
              <wp:posOffset>-5243195</wp:posOffset>
            </wp:positionV>
            <wp:extent cx="1642110" cy="2667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642110" cy="266700"/>
                    </a:xfrm>
                    <a:prstGeom prst="rect">
                      <a:avLst/>
                    </a:prstGeom>
                    <a:noFill/>
                  </pic:spPr>
                </pic:pic>
              </a:graphicData>
            </a:graphic>
          </wp:anchor>
        </w:drawing>
        <w:drawing>
          <wp:anchor simplePos="0" relativeHeight="251657728" behindDoc="1" locked="0" layoutInCell="0" allowOverlap="1">
            <wp:simplePos x="0" y="0"/>
            <wp:positionH relativeFrom="column">
              <wp:posOffset>5497195</wp:posOffset>
            </wp:positionH>
            <wp:positionV relativeFrom="paragraph">
              <wp:posOffset>-4843145</wp:posOffset>
            </wp:positionV>
            <wp:extent cx="1642110" cy="133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642110" cy="133350"/>
                    </a:xfrm>
                    <a:prstGeom prst="rect">
                      <a:avLst/>
                    </a:prstGeom>
                    <a:noFill/>
                  </pic:spPr>
                </pic:pic>
              </a:graphicData>
            </a:graphic>
          </wp:anchor>
        </w:drawing>
        <w:drawing>
          <wp:anchor simplePos="0" relativeHeight="251657728" behindDoc="1" locked="0" layoutInCell="0" allowOverlap="1">
            <wp:simplePos x="0" y="0"/>
            <wp:positionH relativeFrom="column">
              <wp:posOffset>5497195</wp:posOffset>
            </wp:positionH>
            <wp:positionV relativeFrom="paragraph">
              <wp:posOffset>-4576445</wp:posOffset>
            </wp:positionV>
            <wp:extent cx="1642110" cy="133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642110" cy="133350"/>
                    </a:xfrm>
                    <a:prstGeom prst="rect">
                      <a:avLst/>
                    </a:prstGeom>
                    <a:noFill/>
                  </pic:spPr>
                </pic:pic>
              </a:graphicData>
            </a:graphic>
          </wp:anchor>
        </w:drawing>
        <w:drawing>
          <wp:anchor simplePos="0" relativeHeight="251657728" behindDoc="1" locked="0" layoutInCell="0" allowOverlap="1">
            <wp:simplePos x="0" y="0"/>
            <wp:positionH relativeFrom="column">
              <wp:posOffset>5497195</wp:posOffset>
            </wp:positionH>
            <wp:positionV relativeFrom="paragraph">
              <wp:posOffset>-4309110</wp:posOffset>
            </wp:positionV>
            <wp:extent cx="1642110" cy="133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642110" cy="133350"/>
                    </a:xfrm>
                    <a:prstGeom prst="rect">
                      <a:avLst/>
                    </a:prstGeom>
                    <a:noFill/>
                  </pic:spPr>
                </pic:pic>
              </a:graphicData>
            </a:graphic>
          </wp:anchor>
        </w:drawing>
        <w:drawing>
          <wp:anchor simplePos="0" relativeHeight="251657728" behindDoc="1" locked="0" layoutInCell="0" allowOverlap="1">
            <wp:simplePos x="0" y="0"/>
            <wp:positionH relativeFrom="column">
              <wp:posOffset>5497195</wp:posOffset>
            </wp:positionH>
            <wp:positionV relativeFrom="paragraph">
              <wp:posOffset>-4042410</wp:posOffset>
            </wp:positionV>
            <wp:extent cx="1642110" cy="133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642110" cy="13335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12.6. Mibanco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Mibanco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thousands, IFRS)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8"/>
                <w:szCs w:val="18"/>
                <w:b w:val="1"/>
                <w:bCs w:val="1"/>
                <w:color w:val="auto"/>
                <w:w w:val="88"/>
              </w:rPr>
              <w:t>As of</w:t>
            </w: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 change</w:t>
            </w: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Sep 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87"/>
              </w:rPr>
              <w:t>Jun 20</w:t>
            </w:r>
          </w:p>
        </w:tc>
        <w:tc>
          <w:tcPr>
            <w:tcW w:w="800" w:type="dxa"/>
            <w:vAlign w:val="bottom"/>
            <w:gridSpan w:val="3"/>
          </w:tcPr>
          <w:p>
            <w:pPr>
              <w:jc w:val="right"/>
              <w:ind w:right="112"/>
              <w:spacing w:after="0"/>
              <w:rPr>
                <w:sz w:val="20"/>
                <w:szCs w:val="20"/>
                <w:color w:val="auto"/>
              </w:rPr>
            </w:pPr>
            <w:r>
              <w:rPr>
                <w:rFonts w:ascii="Arial" w:cs="Arial" w:eastAsia="Arial" w:hAnsi="Arial"/>
                <w:sz w:val="18"/>
                <w:szCs w:val="18"/>
                <w:b w:val="1"/>
                <w:bCs w:val="1"/>
                <w:color w:val="auto"/>
                <w:w w:val="99"/>
              </w:rPr>
              <w:t>Sep 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w w:val="92"/>
              </w:rPr>
              <w:t>QoQ</w:t>
            </w:r>
          </w:p>
        </w:tc>
        <w:tc>
          <w:tcPr>
            <w:tcW w:w="560" w:type="dxa"/>
            <w:vAlign w:val="bottom"/>
            <w:gridSpan w:val="2"/>
          </w:tcPr>
          <w:p>
            <w:pPr>
              <w:ind w:left="20"/>
              <w:spacing w:after="0"/>
              <w:rPr>
                <w:sz w:val="20"/>
                <w:szCs w:val="20"/>
                <w:color w:val="auto"/>
              </w:rPr>
            </w:pPr>
            <w:r>
              <w:rPr>
                <w:rFonts w:ascii="Arial" w:cs="Arial" w:eastAsia="Arial" w:hAnsi="Arial"/>
                <w:sz w:val="18"/>
                <w:szCs w:val="18"/>
                <w:b w:val="1"/>
                <w:bCs w:val="1"/>
                <w:color w:val="auto"/>
              </w:rPr>
              <w:t>YoY</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1,532,886</w:t>
            </w:r>
          </w:p>
        </w:tc>
        <w:tc>
          <w:tcPr>
            <w:tcW w:w="40" w:type="dxa"/>
            <w:vAlign w:val="bottom"/>
          </w:tcPr>
          <w:p>
            <w:pPr>
              <w:spacing w:after="0"/>
              <w:rPr>
                <w:sz w:val="18"/>
                <w:szCs w:val="18"/>
                <w:color w:val="auto"/>
              </w:rPr>
            </w:pPr>
          </w:p>
        </w:tc>
        <w:tc>
          <w:tcPr>
            <w:tcW w:w="1280" w:type="dxa"/>
            <w:vAlign w:val="bottom"/>
            <w:gridSpan w:val="6"/>
          </w:tcPr>
          <w:p>
            <w:pPr>
              <w:jc w:val="right"/>
              <w:ind w:right="220"/>
              <w:spacing w:after="0"/>
              <w:rPr>
                <w:sz w:val="20"/>
                <w:szCs w:val="20"/>
                <w:color w:val="auto"/>
              </w:rPr>
            </w:pPr>
            <w:r>
              <w:rPr>
                <w:rFonts w:ascii="Arial" w:cs="Arial" w:eastAsia="Arial" w:hAnsi="Arial"/>
                <w:sz w:val="18"/>
                <w:szCs w:val="18"/>
                <w:color w:val="auto"/>
              </w:rPr>
              <w:t>1,477,527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w w:val="97"/>
              </w:rPr>
              <w:t>1,577,391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92"/>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1,453,377</w:t>
            </w:r>
          </w:p>
        </w:tc>
        <w:tc>
          <w:tcPr>
            <w:tcW w:w="40" w:type="dxa"/>
            <w:vAlign w:val="bottom"/>
            <w:shd w:val="clear" w:color="auto" w:fill="CCEEFF"/>
          </w:tcPr>
          <w:p>
            <w:pPr>
              <w:spacing w:after="0"/>
              <w:rPr>
                <w:sz w:val="18"/>
                <w:szCs w:val="18"/>
                <w:color w:val="auto"/>
              </w:rPr>
            </w:pPr>
          </w:p>
        </w:tc>
        <w:tc>
          <w:tcPr>
            <w:tcW w:w="128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1,533,808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7"/>
              </w:rPr>
              <w:t>1,525,592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Total loans</w:t>
            </w:r>
          </w:p>
        </w:tc>
        <w:tc>
          <w:tcPr>
            <w:tcW w:w="130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12,146,975</w:t>
            </w:r>
          </w:p>
        </w:tc>
        <w:tc>
          <w:tcPr>
            <w:tcW w:w="128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rPr>
              <w:t>13,039,316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86"/>
              </w:rPr>
              <w:t>13,288,672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72"/>
              <w:spacing w:after="0"/>
              <w:rPr>
                <w:sz w:val="20"/>
                <w:szCs w:val="20"/>
                <w:color w:val="auto"/>
              </w:rPr>
            </w:pPr>
            <w:r>
              <w:rPr>
                <w:rFonts w:ascii="Arial" w:cs="Arial" w:eastAsia="Arial" w:hAnsi="Arial"/>
                <w:sz w:val="18"/>
                <w:szCs w:val="18"/>
                <w:b w:val="1"/>
                <w:bCs w:val="1"/>
                <w:color w:val="auto"/>
              </w:rPr>
              <w:t>9.4%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13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11,271,599</w:t>
            </w:r>
          </w:p>
        </w:tc>
        <w:tc>
          <w:tcPr>
            <w:tcW w:w="128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11,824,810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86"/>
              </w:rPr>
              <w:t>12,172,179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Internal overdue loans</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732,964</w:t>
            </w:r>
          </w:p>
        </w:tc>
        <w:tc>
          <w:tcPr>
            <w:tcW w:w="40" w:type="dxa"/>
            <w:vAlign w:val="bottom"/>
          </w:tcPr>
          <w:p>
            <w:pPr>
              <w:spacing w:after="0"/>
              <w:rPr>
                <w:sz w:val="18"/>
                <w:szCs w:val="18"/>
                <w:color w:val="auto"/>
              </w:rPr>
            </w:pPr>
          </w:p>
        </w:tc>
        <w:tc>
          <w:tcPr>
            <w:tcW w:w="1280" w:type="dxa"/>
            <w:vAlign w:val="bottom"/>
            <w:gridSpan w:val="6"/>
          </w:tcPr>
          <w:p>
            <w:pPr>
              <w:jc w:val="right"/>
              <w:ind w:right="220"/>
              <w:spacing w:after="0"/>
              <w:rPr>
                <w:sz w:val="20"/>
                <w:szCs w:val="20"/>
                <w:color w:val="auto"/>
              </w:rPr>
            </w:pPr>
            <w:r>
              <w:rPr>
                <w:rFonts w:ascii="Arial" w:cs="Arial" w:eastAsia="Arial" w:hAnsi="Arial"/>
                <w:sz w:val="18"/>
                <w:szCs w:val="18"/>
                <w:color w:val="auto"/>
              </w:rPr>
              <w:t>1,158,977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w w:val="97"/>
              </w:rPr>
              <w:t>1,067,142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92"/>
              <w:spacing w:after="0"/>
              <w:rPr>
                <w:sz w:val="20"/>
                <w:szCs w:val="20"/>
                <w:color w:val="auto"/>
              </w:rPr>
            </w:pPr>
            <w:r>
              <w:rPr>
                <w:rFonts w:ascii="Arial" w:cs="Arial" w:eastAsia="Arial" w:hAnsi="Arial"/>
                <w:sz w:val="18"/>
                <w:szCs w:val="18"/>
                <w:color w:val="auto"/>
              </w:rPr>
              <w:t>45.6%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Refinanced</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142,412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8"/>
              </w:rPr>
              <w:t>55,529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49,351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-65.3%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Allowance for loan losses</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-1,807,822</w:t>
            </w:r>
          </w:p>
        </w:tc>
        <w:tc>
          <w:tcPr>
            <w:tcW w:w="40" w:type="dxa"/>
            <w:vAlign w:val="bottom"/>
          </w:tcPr>
          <w:p>
            <w:pPr>
              <w:spacing w:after="0"/>
              <w:rPr>
                <w:sz w:val="18"/>
                <w:szCs w:val="18"/>
                <w:color w:val="auto"/>
              </w:rPr>
            </w:pPr>
          </w:p>
        </w:tc>
        <w:tc>
          <w:tcPr>
            <w:tcW w:w="1280" w:type="dxa"/>
            <w:vAlign w:val="bottom"/>
            <w:gridSpan w:val="6"/>
          </w:tcPr>
          <w:p>
            <w:pPr>
              <w:jc w:val="right"/>
              <w:ind w:right="220"/>
              <w:spacing w:after="0"/>
              <w:rPr>
                <w:sz w:val="20"/>
                <w:szCs w:val="20"/>
                <w:color w:val="auto"/>
              </w:rPr>
            </w:pPr>
            <w:r>
              <w:rPr>
                <w:rFonts w:ascii="Arial" w:cs="Arial" w:eastAsia="Arial" w:hAnsi="Arial"/>
                <w:sz w:val="18"/>
                <w:szCs w:val="18"/>
                <w:color w:val="auto"/>
              </w:rPr>
              <w:t>-1,662,457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w w:val="90"/>
              </w:rPr>
              <w:t>-1,487,787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92"/>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loans</w:t>
            </w:r>
          </w:p>
        </w:tc>
        <w:tc>
          <w:tcPr>
            <w:tcW w:w="13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10,339,153</w:t>
            </w:r>
          </w:p>
        </w:tc>
        <w:tc>
          <w:tcPr>
            <w:tcW w:w="128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11,376,859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6"/>
              </w:rPr>
              <w:t>11,800,884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14.1%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w w:val="91"/>
              </w:rPr>
              <w:t>Property, plant and equipment, net</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158,793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w w:val="82"/>
              </w:rPr>
              <w:t>148,899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w w:val="92"/>
              </w:rPr>
              <w:t>145,753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92"/>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1,073,139</w:t>
            </w:r>
          </w:p>
        </w:tc>
        <w:tc>
          <w:tcPr>
            <w:tcW w:w="40" w:type="dxa"/>
            <w:vAlign w:val="bottom"/>
            <w:shd w:val="clear" w:color="auto" w:fill="CCEEFF"/>
          </w:tcPr>
          <w:p>
            <w:pPr>
              <w:spacing w:after="0"/>
              <w:rPr>
                <w:sz w:val="18"/>
                <w:szCs w:val="18"/>
                <w:color w:val="auto"/>
              </w:rPr>
            </w:pPr>
          </w:p>
        </w:tc>
        <w:tc>
          <w:tcPr>
            <w:tcW w:w="128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1,075,526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7"/>
              </w:rPr>
              <w:t>1,035,653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30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14,557,348</w:t>
            </w:r>
          </w:p>
        </w:tc>
        <w:tc>
          <w:tcPr>
            <w:tcW w:w="128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rPr>
              <w:t>15,612,618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86"/>
              </w:rPr>
              <w:t>16,085,272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72"/>
              <w:spacing w:after="0"/>
              <w:rPr>
                <w:sz w:val="20"/>
                <w:szCs w:val="20"/>
                <w:color w:val="auto"/>
              </w:rPr>
            </w:pPr>
            <w:r>
              <w:rPr>
                <w:rFonts w:ascii="Arial" w:cs="Arial" w:eastAsia="Arial" w:hAnsi="Arial"/>
                <w:sz w:val="18"/>
                <w:szCs w:val="18"/>
                <w:b w:val="1"/>
                <w:bCs w:val="1"/>
                <w:color w:val="auto"/>
              </w:rPr>
              <w:t>10.5%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LIABILITIES AND NET</w:t>
            </w: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Deposits and obligations</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8,289,196</w:t>
            </w:r>
          </w:p>
        </w:tc>
        <w:tc>
          <w:tcPr>
            <w:tcW w:w="40" w:type="dxa"/>
            <w:vAlign w:val="bottom"/>
          </w:tcPr>
          <w:p>
            <w:pPr>
              <w:spacing w:after="0"/>
              <w:rPr>
                <w:sz w:val="18"/>
                <w:szCs w:val="18"/>
                <w:color w:val="auto"/>
              </w:rPr>
            </w:pPr>
          </w:p>
        </w:tc>
        <w:tc>
          <w:tcPr>
            <w:tcW w:w="1280" w:type="dxa"/>
            <w:vAlign w:val="bottom"/>
            <w:gridSpan w:val="6"/>
          </w:tcPr>
          <w:p>
            <w:pPr>
              <w:jc w:val="right"/>
              <w:ind w:right="220"/>
              <w:spacing w:after="0"/>
              <w:rPr>
                <w:sz w:val="20"/>
                <w:szCs w:val="20"/>
                <w:color w:val="auto"/>
              </w:rPr>
            </w:pPr>
            <w:r>
              <w:rPr>
                <w:rFonts w:ascii="Arial" w:cs="Arial" w:eastAsia="Arial" w:hAnsi="Arial"/>
                <w:sz w:val="18"/>
                <w:szCs w:val="18"/>
                <w:color w:val="auto"/>
              </w:rPr>
              <w:t>8,292,913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w w:val="97"/>
              </w:rPr>
              <w:t>8,620,050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92"/>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Due to banks and correspondents</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2,138,329</w:t>
            </w:r>
          </w:p>
        </w:tc>
        <w:tc>
          <w:tcPr>
            <w:tcW w:w="40" w:type="dxa"/>
            <w:vAlign w:val="bottom"/>
            <w:shd w:val="clear" w:color="auto" w:fill="CCEEFF"/>
          </w:tcPr>
          <w:p>
            <w:pPr>
              <w:spacing w:after="0"/>
              <w:rPr>
                <w:sz w:val="18"/>
                <w:szCs w:val="18"/>
                <w:color w:val="auto"/>
              </w:rPr>
            </w:pPr>
          </w:p>
        </w:tc>
        <w:tc>
          <w:tcPr>
            <w:tcW w:w="128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1,898,921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7"/>
              </w:rPr>
              <w:t>2,232,497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Bonds and subordinated debt</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134,995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w w:val="82"/>
              </w:rPr>
              <w:t>188,775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w w:val="92"/>
              </w:rPr>
              <w:t>186,677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92"/>
              <w:spacing w:after="0"/>
              <w:rPr>
                <w:sz w:val="20"/>
                <w:szCs w:val="20"/>
                <w:color w:val="auto"/>
              </w:rPr>
            </w:pPr>
            <w:r>
              <w:rPr>
                <w:rFonts w:ascii="Arial" w:cs="Arial" w:eastAsia="Arial" w:hAnsi="Arial"/>
                <w:sz w:val="18"/>
                <w:szCs w:val="18"/>
                <w:color w:val="auto"/>
              </w:rPr>
              <w:t>38.3%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2,307,485</w:t>
            </w:r>
          </w:p>
        </w:tc>
        <w:tc>
          <w:tcPr>
            <w:tcW w:w="40" w:type="dxa"/>
            <w:vAlign w:val="bottom"/>
            <w:shd w:val="clear" w:color="auto" w:fill="CCEEFF"/>
          </w:tcPr>
          <w:p>
            <w:pPr>
              <w:spacing w:after="0"/>
              <w:rPr>
                <w:sz w:val="18"/>
                <w:szCs w:val="18"/>
                <w:color w:val="auto"/>
              </w:rPr>
            </w:pPr>
          </w:p>
        </w:tc>
        <w:tc>
          <w:tcPr>
            <w:tcW w:w="128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3,058,752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7"/>
              </w:rPr>
              <w:t>2,803,336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21.5%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30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12,870,004</w:t>
            </w:r>
          </w:p>
        </w:tc>
        <w:tc>
          <w:tcPr>
            <w:tcW w:w="128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rPr>
              <w:t>13,439,362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86"/>
              </w:rPr>
              <w:t>13,842,559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72"/>
              <w:spacing w:after="0"/>
              <w:rPr>
                <w:sz w:val="20"/>
                <w:szCs w:val="20"/>
                <w:color w:val="auto"/>
              </w:rPr>
            </w:pPr>
            <w:r>
              <w:rPr>
                <w:rFonts w:ascii="Arial" w:cs="Arial" w:eastAsia="Arial" w:hAnsi="Arial"/>
                <w:sz w:val="18"/>
                <w:szCs w:val="18"/>
                <w:b w:val="1"/>
                <w:bCs w:val="1"/>
                <w:color w:val="auto"/>
              </w:rPr>
              <w:t>7.6%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equity</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1,687,344</w:t>
            </w:r>
          </w:p>
        </w:tc>
        <w:tc>
          <w:tcPr>
            <w:tcW w:w="40" w:type="dxa"/>
            <w:vAlign w:val="bottom"/>
            <w:shd w:val="clear" w:color="auto" w:fill="CCEEFF"/>
          </w:tcPr>
          <w:p>
            <w:pPr>
              <w:spacing w:after="0"/>
              <w:rPr>
                <w:sz w:val="18"/>
                <w:szCs w:val="18"/>
                <w:color w:val="auto"/>
              </w:rPr>
            </w:pPr>
          </w:p>
        </w:tc>
        <w:tc>
          <w:tcPr>
            <w:tcW w:w="128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2,173,257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7"/>
              </w:rPr>
              <w:t>2,242,714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32.9%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gridSpan w:val="2"/>
          </w:tcPr>
          <w:p>
            <w:pPr>
              <w:spacing w:after="0" w:line="192" w:lineRule="exact"/>
              <w:rPr>
                <w:sz w:val="20"/>
                <w:szCs w:val="20"/>
                <w:color w:val="auto"/>
              </w:rPr>
            </w:pPr>
            <w:r>
              <w:rPr>
                <w:rFonts w:ascii="Arial" w:cs="Arial" w:eastAsia="Arial" w:hAnsi="Arial"/>
                <w:sz w:val="18"/>
                <w:szCs w:val="18"/>
                <w:b w:val="1"/>
                <w:bCs w:val="1"/>
                <w:color w:val="auto"/>
                <w:w w:val="99"/>
              </w:rPr>
              <w:t>TOTAL LIABILITIES AND NET</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560" w:type="dxa"/>
            <w:vAlign w:val="bottom"/>
            <w:gridSpan w:val="3"/>
          </w:tcPr>
          <w:p>
            <w:pPr>
              <w:spacing w:after="0"/>
              <w:rPr>
                <w:sz w:val="20"/>
                <w:szCs w:val="20"/>
                <w:color w:val="auto"/>
              </w:rPr>
            </w:pPr>
            <w:r>
              <w:rPr>
                <w:rFonts w:ascii="Arial" w:cs="Arial" w:eastAsia="Arial" w:hAnsi="Arial"/>
                <w:sz w:val="18"/>
                <w:szCs w:val="18"/>
                <w:b w:val="1"/>
                <w:bCs w:val="1"/>
                <w:color w:val="auto"/>
              </w:rPr>
              <w:t>SHAREHOLDERS’ EQUITY</w:t>
            </w:r>
          </w:p>
        </w:tc>
        <w:tc>
          <w:tcPr>
            <w:tcW w:w="130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14,557,348</w:t>
            </w:r>
          </w:p>
        </w:tc>
        <w:tc>
          <w:tcPr>
            <w:tcW w:w="128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rPr>
              <w:t>15,612,618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86"/>
              </w:rPr>
              <w:t>16,085,272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3"/>
          </w:tcPr>
          <w:p>
            <w:pPr>
              <w:jc w:val="right"/>
              <w:ind w:right="72"/>
              <w:spacing w:after="0"/>
              <w:rPr>
                <w:sz w:val="20"/>
                <w:szCs w:val="20"/>
                <w:color w:val="auto"/>
              </w:rPr>
            </w:pPr>
            <w:r>
              <w:rPr>
                <w:rFonts w:ascii="Arial" w:cs="Arial" w:eastAsia="Arial" w:hAnsi="Arial"/>
                <w:sz w:val="18"/>
                <w:szCs w:val="18"/>
                <w:b w:val="1"/>
                <w:bCs w:val="1"/>
                <w:color w:val="auto"/>
              </w:rPr>
              <w:t>10.5%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5"/>
          </w:tcPr>
          <w:p>
            <w:pPr>
              <w:jc w:val="right"/>
              <w:ind w:right="132"/>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gridSpan w:val="9"/>
          </w:tcPr>
          <w:p>
            <w:pPr>
              <w:jc w:val="right"/>
              <w:ind w:right="800"/>
              <w:spacing w:after="0"/>
              <w:rPr>
                <w:sz w:val="20"/>
                <w:szCs w:val="20"/>
                <w:color w:val="auto"/>
              </w:rPr>
            </w:pPr>
            <w:r>
              <w:rPr>
                <w:rFonts w:ascii="Arial" w:cs="Arial" w:eastAsia="Arial" w:hAnsi="Arial"/>
                <w:sz w:val="18"/>
                <w:szCs w:val="18"/>
                <w:b w:val="1"/>
                <w:bCs w:val="1"/>
                <w:color w:val="auto"/>
              </w:rPr>
              <w:t>% change</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gridSpan w:val="3"/>
          </w:tcPr>
          <w:p>
            <w:pPr>
              <w:ind w:left="260"/>
              <w:spacing w:after="0"/>
              <w:rPr>
                <w:sz w:val="20"/>
                <w:szCs w:val="20"/>
                <w:color w:val="auto"/>
              </w:rPr>
            </w:pPr>
            <w:r>
              <w:rPr>
                <w:rFonts w:ascii="Arial" w:cs="Arial" w:eastAsia="Arial" w:hAnsi="Arial"/>
                <w:sz w:val="18"/>
                <w:szCs w:val="18"/>
                <w:b w:val="1"/>
                <w:bCs w:val="1"/>
                <w:color w:val="auto"/>
              </w:rPr>
              <w:t>YTD</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3Q20</w:t>
            </w:r>
          </w:p>
        </w:tc>
        <w:tc>
          <w:tcPr>
            <w:tcW w:w="24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2Q21</w:t>
            </w:r>
          </w:p>
        </w:tc>
        <w:tc>
          <w:tcPr>
            <w:tcW w:w="16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3Q21</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top w:val="single" w:sz="8" w:color="auto"/>
              <w:bottom w:val="single" w:sz="8" w:color="CCEEFF"/>
            </w:tcBorders>
            <w:gridSpan w:val="2"/>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YoY</w:t>
            </w:r>
          </w:p>
        </w:tc>
        <w:tc>
          <w:tcPr>
            <w:tcW w:w="280" w:type="dxa"/>
            <w:vAlign w:val="bottom"/>
            <w:tcBorders>
              <w:bottom w:val="single" w:sz="8" w:color="CCEEFF"/>
            </w:tcBorders>
            <w:gridSpan w:val="2"/>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Sep 20</w:t>
            </w:r>
          </w:p>
        </w:tc>
        <w:tc>
          <w:tcPr>
            <w:tcW w:w="26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Sep 21</w:t>
            </w:r>
          </w:p>
        </w:tc>
        <w:tc>
          <w:tcPr>
            <w:tcW w:w="26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Sep 21 / Sep 20</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interest income</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413,164</w:t>
            </w:r>
          </w:p>
        </w:tc>
        <w:tc>
          <w:tcPr>
            <w:tcW w:w="24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rPr>
              <w:t>458,762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493,183</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1,163,502</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1,355,353</w:t>
            </w:r>
          </w:p>
        </w:tc>
        <w:tc>
          <w:tcPr>
            <w:tcW w:w="2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gridSpan w:val="2"/>
          </w:tcPr>
          <w:p>
            <w:pPr>
              <w:spacing w:after="0" w:line="198" w:lineRule="exact"/>
              <w:rPr>
                <w:sz w:val="20"/>
                <w:szCs w:val="20"/>
                <w:color w:val="auto"/>
              </w:rPr>
            </w:pPr>
            <w:r>
              <w:rPr>
                <w:rFonts w:ascii="Arial" w:cs="Arial" w:eastAsia="Arial" w:hAnsi="Arial"/>
                <w:sz w:val="18"/>
                <w:szCs w:val="18"/>
                <w:color w:val="auto"/>
              </w:rPr>
              <w:t>Provision for loan losses, net of</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560" w:type="dxa"/>
            <w:vAlign w:val="bottom"/>
            <w:gridSpan w:val="3"/>
          </w:tcPr>
          <w:p>
            <w:pPr>
              <w:spacing w:after="0"/>
              <w:rPr>
                <w:sz w:val="20"/>
                <w:szCs w:val="20"/>
                <w:color w:val="auto"/>
              </w:rPr>
            </w:pPr>
            <w:r>
              <w:rPr>
                <w:rFonts w:ascii="Arial" w:cs="Arial" w:eastAsia="Arial" w:hAnsi="Arial"/>
                <w:sz w:val="18"/>
                <w:szCs w:val="18"/>
                <w:color w:val="auto"/>
              </w:rPr>
              <w:t>recoveries</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w w:val="87"/>
              </w:rPr>
              <w:t>-385,892</w:t>
            </w:r>
          </w:p>
        </w:tc>
        <w:tc>
          <w:tcPr>
            <w:tcW w:w="920" w:type="dxa"/>
            <w:vAlign w:val="bottom"/>
            <w:gridSpan w:val="5"/>
          </w:tcPr>
          <w:p>
            <w:pPr>
              <w:jc w:val="right"/>
              <w:ind w:right="72"/>
              <w:spacing w:after="0"/>
              <w:rPr>
                <w:sz w:val="20"/>
                <w:szCs w:val="20"/>
                <w:color w:val="auto"/>
              </w:rPr>
            </w:pPr>
            <w:r>
              <w:rPr>
                <w:rFonts w:ascii="Arial" w:cs="Arial" w:eastAsia="Arial" w:hAnsi="Arial"/>
                <w:sz w:val="18"/>
                <w:szCs w:val="18"/>
                <w:color w:val="auto"/>
              </w:rPr>
              <w:t>-124,451</w:t>
            </w: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auto"/>
              </w:rPr>
              <w:t>-122,711</w:t>
            </w:r>
          </w:p>
        </w:tc>
        <w:tc>
          <w:tcPr>
            <w:tcW w:w="180" w:type="dxa"/>
            <w:vAlign w:val="bottom"/>
          </w:tcPr>
          <w:p>
            <w:pPr>
              <w:spacing w:after="0"/>
              <w:rPr>
                <w:sz w:val="19"/>
                <w:szCs w:val="19"/>
                <w:color w:val="auto"/>
              </w:rPr>
            </w:pPr>
          </w:p>
        </w:tc>
        <w:tc>
          <w:tcPr>
            <w:tcW w:w="1000" w:type="dxa"/>
            <w:vAlign w:val="bottom"/>
            <w:gridSpan w:val="5"/>
          </w:tcPr>
          <w:p>
            <w:pPr>
              <w:jc w:val="right"/>
              <w:ind w:right="120"/>
              <w:spacing w:after="0"/>
              <w:rPr>
                <w:sz w:val="20"/>
                <w:szCs w:val="20"/>
                <w:color w:val="auto"/>
              </w:rPr>
            </w:pPr>
            <w:r>
              <w:rPr>
                <w:rFonts w:ascii="Arial" w:cs="Arial" w:eastAsia="Arial" w:hAnsi="Arial"/>
                <w:sz w:val="18"/>
                <w:szCs w:val="18"/>
                <w:color w:val="auto"/>
              </w:rPr>
              <w:t>-1.4%</w:t>
            </w:r>
          </w:p>
        </w:tc>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-68.2%</w:t>
            </w:r>
          </w:p>
        </w:tc>
        <w:tc>
          <w:tcPr>
            <w:tcW w:w="1140" w:type="dxa"/>
            <w:vAlign w:val="bottom"/>
            <w:gridSpan w:val="4"/>
          </w:tcPr>
          <w:p>
            <w:pPr>
              <w:jc w:val="right"/>
              <w:ind w:right="260"/>
              <w:spacing w:after="0"/>
              <w:rPr>
                <w:sz w:val="20"/>
                <w:szCs w:val="20"/>
                <w:color w:val="auto"/>
              </w:rPr>
            </w:pPr>
            <w:r>
              <w:rPr>
                <w:rFonts w:ascii="Arial" w:cs="Arial" w:eastAsia="Arial" w:hAnsi="Arial"/>
                <w:sz w:val="18"/>
                <w:szCs w:val="18"/>
                <w:color w:val="auto"/>
              </w:rPr>
              <w:t>-972,335</w:t>
            </w:r>
          </w:p>
        </w:tc>
        <w:tc>
          <w:tcPr>
            <w:tcW w:w="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-385,880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Net interest income after</w:t>
            </w: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provisions</w:t>
            </w: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27,272</w:t>
            </w:r>
          </w:p>
        </w:tc>
        <w:tc>
          <w:tcPr>
            <w:tcW w:w="920" w:type="dxa"/>
            <w:vAlign w:val="bottom"/>
            <w:gridSpan w:val="5"/>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334,311</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370,472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10.8%</w:t>
            </w:r>
          </w:p>
        </w:tc>
        <w:tc>
          <w:tcPr>
            <w:tcW w:w="10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N/A</w:t>
            </w:r>
          </w:p>
        </w:tc>
        <w:tc>
          <w:tcPr>
            <w:tcW w:w="11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191,166</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969,472</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407.1%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Non-financial income</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7,906</w:t>
            </w:r>
          </w:p>
        </w:tc>
        <w:tc>
          <w:tcPr>
            <w:tcW w:w="920" w:type="dxa"/>
            <w:vAlign w:val="bottom"/>
            <w:gridSpan w:val="5"/>
          </w:tcPr>
          <w:p>
            <w:pPr>
              <w:jc w:val="right"/>
              <w:ind w:right="72"/>
              <w:spacing w:after="0"/>
              <w:rPr>
                <w:sz w:val="20"/>
                <w:szCs w:val="20"/>
                <w:color w:val="auto"/>
              </w:rPr>
            </w:pPr>
            <w:r>
              <w:rPr>
                <w:rFonts w:ascii="Arial" w:cs="Arial" w:eastAsia="Arial" w:hAnsi="Arial"/>
                <w:sz w:val="18"/>
                <w:szCs w:val="18"/>
                <w:color w:val="auto"/>
              </w:rPr>
              <w:t>16,552</w:t>
            </w: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auto"/>
              </w:rPr>
              <w:t>22,207</w:t>
            </w:r>
          </w:p>
        </w:tc>
        <w:tc>
          <w:tcPr>
            <w:tcW w:w="180" w:type="dxa"/>
            <w:vAlign w:val="bottom"/>
          </w:tcPr>
          <w:p>
            <w:pPr>
              <w:spacing w:after="0"/>
              <w:rPr>
                <w:sz w:val="18"/>
                <w:szCs w:val="18"/>
                <w:color w:val="auto"/>
              </w:rPr>
            </w:pPr>
          </w:p>
        </w:tc>
        <w:tc>
          <w:tcPr>
            <w:tcW w:w="1000" w:type="dxa"/>
            <w:vAlign w:val="bottom"/>
            <w:gridSpan w:val="5"/>
          </w:tcPr>
          <w:p>
            <w:pPr>
              <w:jc w:val="right"/>
              <w:ind w:right="120"/>
              <w:spacing w:after="0"/>
              <w:rPr>
                <w:sz w:val="20"/>
                <w:szCs w:val="20"/>
                <w:color w:val="auto"/>
              </w:rPr>
            </w:pPr>
            <w:r>
              <w:rPr>
                <w:rFonts w:ascii="Arial" w:cs="Arial" w:eastAsia="Arial" w:hAnsi="Arial"/>
                <w:sz w:val="18"/>
                <w:szCs w:val="18"/>
                <w:color w:val="auto"/>
              </w:rPr>
              <w:t>34.2%</w:t>
            </w:r>
          </w:p>
        </w:tc>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180.9%</w:t>
            </w:r>
          </w:p>
        </w:tc>
        <w:tc>
          <w:tcPr>
            <w:tcW w:w="1140" w:type="dxa"/>
            <w:vAlign w:val="bottom"/>
            <w:gridSpan w:val="4"/>
          </w:tcPr>
          <w:p>
            <w:pPr>
              <w:jc w:val="right"/>
              <w:ind w:right="260"/>
              <w:spacing w:after="0"/>
              <w:rPr>
                <w:sz w:val="20"/>
                <w:szCs w:val="20"/>
                <w:color w:val="auto"/>
              </w:rPr>
            </w:pPr>
            <w:r>
              <w:rPr>
                <w:rFonts w:ascii="Arial" w:cs="Arial" w:eastAsia="Arial" w:hAnsi="Arial"/>
                <w:sz w:val="18"/>
                <w:szCs w:val="18"/>
                <w:color w:val="auto"/>
              </w:rPr>
              <w:t>50,714</w:t>
            </w: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67,098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7"/>
              </w:rPr>
              <w:t>-260,131</w:t>
            </w:r>
          </w:p>
        </w:tc>
        <w:tc>
          <w:tcPr>
            <w:tcW w:w="920" w:type="dxa"/>
            <w:vAlign w:val="bottom"/>
            <w:gridSpan w:val="5"/>
            <w:shd w:val="clear" w:color="auto" w:fill="CCEEFF"/>
          </w:tcPr>
          <w:p>
            <w:pPr>
              <w:jc w:val="right"/>
              <w:ind w:right="72"/>
              <w:spacing w:after="0"/>
              <w:rPr>
                <w:sz w:val="20"/>
                <w:szCs w:val="20"/>
                <w:color w:val="auto"/>
              </w:rPr>
            </w:pPr>
            <w:r>
              <w:rPr>
                <w:rFonts w:ascii="Arial" w:cs="Arial" w:eastAsia="Arial" w:hAnsi="Arial"/>
                <w:sz w:val="18"/>
                <w:szCs w:val="18"/>
                <w:color w:val="auto"/>
              </w:rPr>
              <w:t>-271,465</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-269,221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11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1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-813,533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-809,437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Translation result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3"/>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5"/>
          </w:tcPr>
          <w:p>
            <w:pPr>
              <w:jc w:val="right"/>
              <w:ind w:right="120"/>
              <w:spacing w:after="0"/>
              <w:rPr>
                <w:sz w:val="20"/>
                <w:szCs w:val="20"/>
                <w:color w:val="auto"/>
              </w:rPr>
            </w:pPr>
            <w:r>
              <w:rPr>
                <w:rFonts w:ascii="Arial" w:cs="Arial" w:eastAsia="Arial" w:hAnsi="Arial"/>
                <w:sz w:val="18"/>
                <w:szCs w:val="18"/>
                <w:color w:val="auto"/>
              </w:rPr>
              <w:t>0.0%</w:t>
            </w:r>
          </w:p>
        </w:tc>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0.0%</w:t>
            </w:r>
          </w:p>
        </w:tc>
        <w:tc>
          <w:tcPr>
            <w:tcW w:w="114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66,568</w:t>
            </w:r>
          </w:p>
        </w:tc>
        <w:tc>
          <w:tcPr>
            <w:tcW w:w="920" w:type="dxa"/>
            <w:vAlign w:val="bottom"/>
            <w:gridSpan w:val="5"/>
            <w:shd w:val="clear" w:color="auto" w:fill="CCEEFF"/>
          </w:tcPr>
          <w:p>
            <w:pPr>
              <w:jc w:val="right"/>
              <w:ind w:right="72"/>
              <w:spacing w:after="0"/>
              <w:rPr>
                <w:sz w:val="20"/>
                <w:szCs w:val="20"/>
                <w:color w:val="auto"/>
              </w:rPr>
            </w:pPr>
            <w:r>
              <w:rPr>
                <w:rFonts w:ascii="Arial" w:cs="Arial" w:eastAsia="Arial" w:hAnsi="Arial"/>
                <w:sz w:val="18"/>
                <w:szCs w:val="18"/>
                <w:color w:val="auto"/>
              </w:rPr>
              <w:t>-24,093</w:t>
            </w: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-46,543</w:t>
            </w:r>
          </w:p>
        </w:tc>
        <w:tc>
          <w:tcPr>
            <w:tcW w:w="18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93.2%</w:t>
            </w:r>
          </w:p>
        </w:tc>
        <w:tc>
          <w:tcPr>
            <w:tcW w:w="11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-169.9%</w:t>
            </w:r>
          </w:p>
        </w:tc>
        <w:tc>
          <w:tcPr>
            <w:tcW w:w="11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169,659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-80,858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7"/>
              </w:rPr>
              <w:t>-158,385</w:t>
            </w:r>
          </w:p>
        </w:tc>
        <w:tc>
          <w:tcPr>
            <w:tcW w:w="920" w:type="dxa"/>
            <w:vAlign w:val="bottom"/>
            <w:gridSpan w:val="5"/>
          </w:tcPr>
          <w:p>
            <w:pPr>
              <w:jc w:val="right"/>
              <w:ind w:right="72"/>
              <w:spacing w:after="0"/>
              <w:rPr>
                <w:sz w:val="20"/>
                <w:szCs w:val="20"/>
                <w:color w:val="auto"/>
              </w:rPr>
            </w:pPr>
            <w:r>
              <w:rPr>
                <w:rFonts w:ascii="Arial" w:cs="Arial" w:eastAsia="Arial" w:hAnsi="Arial"/>
                <w:sz w:val="18"/>
                <w:szCs w:val="18"/>
                <w:b w:val="1"/>
                <w:bCs w:val="1"/>
                <w:color w:val="auto"/>
              </w:rPr>
              <w:t>55,305</w:t>
            </w:r>
          </w:p>
        </w:tc>
        <w:tc>
          <w:tcPr>
            <w:tcW w:w="88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76,915</w:t>
            </w:r>
          </w:p>
        </w:tc>
        <w:tc>
          <w:tcPr>
            <w:tcW w:w="180" w:type="dxa"/>
            <w:vAlign w:val="bottom"/>
          </w:tcPr>
          <w:p>
            <w:pPr>
              <w:spacing w:after="0"/>
              <w:rPr>
                <w:sz w:val="18"/>
                <w:szCs w:val="18"/>
                <w:color w:val="auto"/>
              </w:rPr>
            </w:pPr>
          </w:p>
        </w:tc>
        <w:tc>
          <w:tcPr>
            <w:tcW w:w="100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39.1%</w:t>
            </w:r>
          </w:p>
        </w:tc>
        <w:tc>
          <w:tcPr>
            <w:tcW w:w="112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-148.6%</w:t>
            </w:r>
          </w:p>
        </w:tc>
        <w:tc>
          <w:tcPr>
            <w:tcW w:w="114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-401,993</w:t>
            </w: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146,275</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Efficiency ratio</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58.7%</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93"/>
              </w:rPr>
              <w:t>55.6%</w:t>
            </w:r>
          </w:p>
        </w:tc>
        <w:tc>
          <w:tcPr>
            <w:tcW w:w="1060" w:type="dxa"/>
            <w:vAlign w:val="bottom"/>
            <w:gridSpan w:val="6"/>
          </w:tcPr>
          <w:p>
            <w:pPr>
              <w:jc w:val="right"/>
              <w:spacing w:after="0"/>
              <w:rPr>
                <w:sz w:val="20"/>
                <w:szCs w:val="20"/>
                <w:color w:val="auto"/>
              </w:rPr>
            </w:pPr>
            <w:r>
              <w:rPr>
                <w:rFonts w:ascii="Arial" w:cs="Arial" w:eastAsia="Arial" w:hAnsi="Arial"/>
                <w:sz w:val="18"/>
                <w:szCs w:val="18"/>
                <w:color w:val="auto"/>
              </w:rPr>
              <w:t>49.7%</w:t>
            </w:r>
          </w:p>
        </w:tc>
        <w:tc>
          <w:tcPr>
            <w:tcW w:w="40" w:type="dxa"/>
            <w:vAlign w:val="bottom"/>
          </w:tcPr>
          <w:p>
            <w:pPr>
              <w:spacing w:after="0"/>
              <w:rPr>
                <w:sz w:val="18"/>
                <w:szCs w:val="18"/>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-590bps</w:t>
            </w:r>
          </w:p>
        </w:tc>
        <w:tc>
          <w:tcPr>
            <w:tcW w:w="100" w:type="dxa"/>
            <w:vAlign w:val="bottom"/>
          </w:tcPr>
          <w:p>
            <w:pPr>
              <w:spacing w:after="0"/>
              <w:rPr>
                <w:sz w:val="18"/>
                <w:szCs w:val="18"/>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-900bps</w:t>
            </w:r>
          </w:p>
        </w:tc>
        <w:tc>
          <w:tcPr>
            <w:tcW w:w="1140" w:type="dxa"/>
            <w:vAlign w:val="bottom"/>
            <w:gridSpan w:val="4"/>
          </w:tcPr>
          <w:p>
            <w:pPr>
              <w:jc w:val="right"/>
              <w:ind w:right="120"/>
              <w:spacing w:after="0"/>
              <w:rPr>
                <w:sz w:val="20"/>
                <w:szCs w:val="20"/>
                <w:color w:val="auto"/>
              </w:rPr>
            </w:pPr>
            <w:r>
              <w:rPr>
                <w:rFonts w:ascii="Arial" w:cs="Arial" w:eastAsia="Arial" w:hAnsi="Arial"/>
                <w:sz w:val="18"/>
                <w:szCs w:val="18"/>
                <w:color w:val="auto"/>
              </w:rPr>
              <w:t>65.2%</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55.7%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-950bps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ROAE</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10.3%</w:t>
            </w:r>
          </w:p>
        </w:tc>
        <w:tc>
          <w:tcPr>
            <w:tcW w:w="10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360bps</w:t>
            </w: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4970bps</w:t>
            </w:r>
          </w:p>
        </w:tc>
        <w:tc>
          <w:tcPr>
            <w:tcW w:w="11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3740bps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ROAE incl. Goowdill</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-33.2%</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9.7%</w:t>
            </w:r>
          </w:p>
        </w:tc>
        <w:tc>
          <w:tcPr>
            <w:tcW w:w="1060" w:type="dxa"/>
            <w:vAlign w:val="bottom"/>
            <w:gridSpan w:val="6"/>
          </w:tcPr>
          <w:p>
            <w:pPr>
              <w:jc w:val="right"/>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18"/>
                <w:szCs w:val="18"/>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350bps</w:t>
            </w:r>
          </w:p>
        </w:tc>
        <w:tc>
          <w:tcPr>
            <w:tcW w:w="100" w:type="dxa"/>
            <w:vAlign w:val="bottom"/>
          </w:tcPr>
          <w:p>
            <w:pPr>
              <w:spacing w:after="0"/>
              <w:rPr>
                <w:sz w:val="18"/>
                <w:szCs w:val="18"/>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4640bps</w:t>
            </w:r>
          </w:p>
        </w:tc>
        <w:tc>
          <w:tcPr>
            <w:tcW w:w="1140" w:type="dxa"/>
            <w:vAlign w:val="bottom"/>
            <w:gridSpan w:val="4"/>
          </w:tcPr>
          <w:p>
            <w:pPr>
              <w:jc w:val="right"/>
              <w:ind w:right="120"/>
              <w:spacing w:after="0"/>
              <w:rPr>
                <w:sz w:val="20"/>
                <w:szCs w:val="20"/>
                <w:color w:val="auto"/>
              </w:rPr>
            </w:pPr>
            <w:r>
              <w:rPr>
                <w:rFonts w:ascii="Arial" w:cs="Arial" w:eastAsia="Arial" w:hAnsi="Arial"/>
                <w:sz w:val="18"/>
                <w:szCs w:val="18"/>
                <w:color w:val="auto"/>
              </w:rPr>
              <w:t>-26.4%</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3490bps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L/D ratio</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146.5%</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0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-300bps</w:t>
            </w: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770bps</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IOL ratio</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8.9%</w:t>
            </w:r>
          </w:p>
        </w:tc>
        <w:tc>
          <w:tcPr>
            <w:tcW w:w="1060" w:type="dxa"/>
            <w:vAlign w:val="bottom"/>
            <w:gridSpan w:val="6"/>
          </w:tcPr>
          <w:p>
            <w:pPr>
              <w:jc w:val="right"/>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18"/>
                <w:szCs w:val="18"/>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-90bps</w:t>
            </w:r>
          </w:p>
        </w:tc>
        <w:tc>
          <w:tcPr>
            <w:tcW w:w="100" w:type="dxa"/>
            <w:vAlign w:val="bottom"/>
          </w:tcPr>
          <w:p>
            <w:pPr>
              <w:spacing w:after="0"/>
              <w:rPr>
                <w:sz w:val="18"/>
                <w:szCs w:val="18"/>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200bps</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NPL ratio</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-90bps</w:t>
            </w: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120bps</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Coverage of IOLs</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246.6%</w:t>
            </w: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143.4%</w:t>
            </w:r>
          </w:p>
        </w:tc>
        <w:tc>
          <w:tcPr>
            <w:tcW w:w="1060" w:type="dxa"/>
            <w:vAlign w:val="bottom"/>
            <w:gridSpan w:val="6"/>
          </w:tcPr>
          <w:p>
            <w:pPr>
              <w:jc w:val="right"/>
              <w:spacing w:after="0"/>
              <w:rPr>
                <w:sz w:val="20"/>
                <w:szCs w:val="20"/>
                <w:color w:val="auto"/>
              </w:rPr>
            </w:pPr>
            <w:r>
              <w:rPr>
                <w:rFonts w:ascii="Arial" w:cs="Arial" w:eastAsia="Arial" w:hAnsi="Arial"/>
                <w:sz w:val="18"/>
                <w:szCs w:val="18"/>
                <w:color w:val="auto"/>
              </w:rPr>
              <w:t>139.4%</w:t>
            </w:r>
          </w:p>
        </w:tc>
        <w:tc>
          <w:tcPr>
            <w:tcW w:w="40" w:type="dxa"/>
            <w:vAlign w:val="bottom"/>
          </w:tcPr>
          <w:p>
            <w:pPr>
              <w:spacing w:after="0"/>
              <w:rPr>
                <w:sz w:val="18"/>
                <w:szCs w:val="18"/>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-400bps</w:t>
            </w:r>
          </w:p>
        </w:tc>
        <w:tc>
          <w:tcPr>
            <w:tcW w:w="100" w:type="dxa"/>
            <w:vAlign w:val="bottom"/>
          </w:tcPr>
          <w:p>
            <w:pPr>
              <w:spacing w:after="0"/>
              <w:rPr>
                <w:sz w:val="18"/>
                <w:szCs w:val="18"/>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-10720bps</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of NPLs</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206.5%</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0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-360bps</w:t>
            </w: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-7320bps</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40" w:type="dxa"/>
            <w:vAlign w:val="bottom"/>
            <w:gridSpan w:val="2"/>
          </w:tcPr>
          <w:p>
            <w:pPr>
              <w:spacing w:after="0" w:line="249" w:lineRule="exact"/>
              <w:rPr>
                <w:sz w:val="20"/>
                <w:szCs w:val="20"/>
                <w:color w:val="auto"/>
              </w:rPr>
            </w:pPr>
            <w:r>
              <w:rPr>
                <w:rFonts w:ascii="Arial" w:cs="Arial" w:eastAsia="Arial" w:hAnsi="Arial"/>
                <w:sz w:val="17"/>
                <w:szCs w:val="17"/>
                <w:color w:val="auto"/>
              </w:rPr>
              <w:t xml:space="preserve">Branches </w:t>
            </w:r>
            <w:r>
              <w:rPr>
                <w:rFonts w:ascii="Arial" w:cs="Arial" w:eastAsia="Arial" w:hAnsi="Arial"/>
                <w:sz w:val="28"/>
                <w:szCs w:val="28"/>
                <w:color w:val="auto"/>
                <w:vertAlign w:val="superscript"/>
              </w:rPr>
              <w:t>(1)</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323</w:t>
            </w: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gridSpan w:val="3"/>
          </w:tcPr>
          <w:p>
            <w:pPr>
              <w:jc w:val="right"/>
              <w:ind w:right="72"/>
              <w:spacing w:after="0"/>
              <w:rPr>
                <w:sz w:val="20"/>
                <w:szCs w:val="20"/>
                <w:color w:val="auto"/>
              </w:rPr>
            </w:pPr>
            <w:r>
              <w:rPr>
                <w:rFonts w:ascii="Arial" w:cs="Arial" w:eastAsia="Arial" w:hAnsi="Arial"/>
                <w:sz w:val="18"/>
                <w:szCs w:val="18"/>
                <w:color w:val="auto"/>
              </w:rPr>
              <w:t>319</w:t>
            </w: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auto"/>
              </w:rPr>
              <w:t>318</w:t>
            </w:r>
          </w:p>
        </w:tc>
        <w:tc>
          <w:tcPr>
            <w:tcW w:w="180" w:type="dxa"/>
            <w:vAlign w:val="bottom"/>
          </w:tcPr>
          <w:p>
            <w:pPr>
              <w:spacing w:after="0"/>
              <w:rPr>
                <w:sz w:val="21"/>
                <w:szCs w:val="21"/>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11,133</w:t>
            </w:r>
          </w:p>
        </w:tc>
        <w:tc>
          <w:tcPr>
            <w:tcW w:w="24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72"/>
              <w:spacing w:after="0"/>
              <w:rPr>
                <w:sz w:val="20"/>
                <w:szCs w:val="20"/>
                <w:color w:val="auto"/>
              </w:rPr>
            </w:pPr>
            <w:r>
              <w:rPr>
                <w:rFonts w:ascii="Arial" w:cs="Arial" w:eastAsia="Arial" w:hAnsi="Arial"/>
                <w:sz w:val="18"/>
                <w:szCs w:val="18"/>
                <w:color w:val="auto"/>
              </w:rPr>
              <w:t>10,057</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9,874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-1,259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5280025</wp:posOffset>
            </wp:positionH>
            <wp:positionV relativeFrom="paragraph">
              <wp:posOffset>-6202045</wp:posOffset>
            </wp:positionV>
            <wp:extent cx="1859280" cy="1416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59280" cy="141605"/>
                    </a:xfrm>
                    <a:prstGeom prst="rect">
                      <a:avLst/>
                    </a:prstGeom>
                    <a:noFill/>
                  </pic:spPr>
                </pic:pic>
              </a:graphicData>
            </a:graphic>
          </wp:anchor>
        </w:drawing>
        <w:drawing>
          <wp:anchor simplePos="0" relativeHeight="251657728" behindDoc="1" locked="0" layoutInCell="0" allowOverlap="1">
            <wp:simplePos x="0" y="0"/>
            <wp:positionH relativeFrom="column">
              <wp:posOffset>5280025</wp:posOffset>
            </wp:positionH>
            <wp:positionV relativeFrom="paragraph">
              <wp:posOffset>-5926455</wp:posOffset>
            </wp:positionV>
            <wp:extent cx="1859280" cy="133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859280" cy="133350"/>
                    </a:xfrm>
                    <a:prstGeom prst="rect">
                      <a:avLst/>
                    </a:prstGeom>
                    <a:noFill/>
                  </pic:spPr>
                </pic:pic>
              </a:graphicData>
            </a:graphic>
          </wp:anchor>
        </w:drawing>
        <w:drawing>
          <wp:anchor simplePos="0" relativeHeight="251657728" behindDoc="1" locked="0" layoutInCell="0" allowOverlap="1">
            <wp:simplePos x="0" y="0"/>
            <wp:positionH relativeFrom="column">
              <wp:posOffset>5280025</wp:posOffset>
            </wp:positionH>
            <wp:positionV relativeFrom="paragraph">
              <wp:posOffset>-5659755</wp:posOffset>
            </wp:positionV>
            <wp:extent cx="1859280" cy="133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859280" cy="133350"/>
                    </a:xfrm>
                    <a:prstGeom prst="rect">
                      <a:avLst/>
                    </a:prstGeom>
                    <a:noFill/>
                  </pic:spPr>
                </pic:pic>
              </a:graphicData>
            </a:graphic>
          </wp:anchor>
        </w:drawing>
        <w:drawing>
          <wp:anchor simplePos="0" relativeHeight="251657728" behindDoc="1" locked="0" layoutInCell="0" allowOverlap="1">
            <wp:simplePos x="0" y="0"/>
            <wp:positionH relativeFrom="column">
              <wp:posOffset>5280025</wp:posOffset>
            </wp:positionH>
            <wp:positionV relativeFrom="paragraph">
              <wp:posOffset>-5393055</wp:posOffset>
            </wp:positionV>
            <wp:extent cx="1859280" cy="133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859280" cy="133350"/>
                    </a:xfrm>
                    <a:prstGeom prst="rect">
                      <a:avLst/>
                    </a:prstGeom>
                    <a:noFill/>
                  </pic:spPr>
                </pic:pic>
              </a:graphicData>
            </a:graphic>
          </wp:anchor>
        </w:drawing>
        <w:drawing>
          <wp:anchor simplePos="0" relativeHeight="251657728" behindDoc="1" locked="0" layoutInCell="0" allowOverlap="1">
            <wp:simplePos x="0" y="0"/>
            <wp:positionH relativeFrom="column">
              <wp:posOffset>5280025</wp:posOffset>
            </wp:positionH>
            <wp:positionV relativeFrom="paragraph">
              <wp:posOffset>-5126355</wp:posOffset>
            </wp:positionV>
            <wp:extent cx="1859280" cy="133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859280" cy="133350"/>
                    </a:xfrm>
                    <a:prstGeom prst="rect">
                      <a:avLst/>
                    </a:prstGeom>
                    <a:noFill/>
                  </pic:spPr>
                </pic:pic>
              </a:graphicData>
            </a:graphic>
          </wp:anchor>
        </w:drawing>
        <w:drawing>
          <wp:anchor simplePos="0" relativeHeight="251657728" behindDoc="1" locked="0" layoutInCell="0" allowOverlap="1">
            <wp:simplePos x="0" y="0"/>
            <wp:positionH relativeFrom="column">
              <wp:posOffset>5280025</wp:posOffset>
            </wp:positionH>
            <wp:positionV relativeFrom="paragraph">
              <wp:posOffset>-4859655</wp:posOffset>
            </wp:positionV>
            <wp:extent cx="1859280" cy="133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859280" cy="133350"/>
                    </a:xfrm>
                    <a:prstGeom prst="rect">
                      <a:avLst/>
                    </a:prstGeom>
                    <a:noFill/>
                  </pic:spPr>
                </pic:pic>
              </a:graphicData>
            </a:graphic>
          </wp:anchor>
        </w:drawing>
        <w:drawing>
          <wp:anchor simplePos="0" relativeHeight="251657728" behindDoc="1" locked="0" layoutInCell="0" allowOverlap="1">
            <wp:simplePos x="0" y="0"/>
            <wp:positionH relativeFrom="column">
              <wp:posOffset>5280025</wp:posOffset>
            </wp:positionH>
            <wp:positionV relativeFrom="paragraph">
              <wp:posOffset>-4592955</wp:posOffset>
            </wp:positionV>
            <wp:extent cx="1859280" cy="2667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859280" cy="266700"/>
                    </a:xfrm>
                    <a:prstGeom prst="rect">
                      <a:avLst/>
                    </a:prstGeom>
                    <a:noFill/>
                  </pic:spPr>
                </pic:pic>
              </a:graphicData>
            </a:graphic>
          </wp:anchor>
        </w:drawing>
        <w:drawing>
          <wp:anchor simplePos="0" relativeHeight="251657728" behindDoc="1" locked="0" layoutInCell="0" allowOverlap="1">
            <wp:simplePos x="0" y="0"/>
            <wp:positionH relativeFrom="column">
              <wp:posOffset>5280025</wp:posOffset>
            </wp:positionH>
            <wp:positionV relativeFrom="paragraph">
              <wp:posOffset>-4192905</wp:posOffset>
            </wp:positionV>
            <wp:extent cx="1859280" cy="133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859280" cy="133350"/>
                    </a:xfrm>
                    <a:prstGeom prst="rect">
                      <a:avLst/>
                    </a:prstGeom>
                    <a:noFill/>
                  </pic:spPr>
                </pic:pic>
              </a:graphicData>
            </a:graphic>
          </wp:anchor>
        </w:drawing>
        <w:drawing>
          <wp:anchor simplePos="0" relativeHeight="251657728" behindDoc="1" locked="0" layoutInCell="0" allowOverlap="1">
            <wp:simplePos x="0" y="0"/>
            <wp:positionH relativeFrom="column">
              <wp:posOffset>5280025</wp:posOffset>
            </wp:positionH>
            <wp:positionV relativeFrom="paragraph">
              <wp:posOffset>-3925570</wp:posOffset>
            </wp:positionV>
            <wp:extent cx="1859280" cy="133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859280" cy="133350"/>
                    </a:xfrm>
                    <a:prstGeom prst="rect">
                      <a:avLst/>
                    </a:prstGeom>
                    <a:noFill/>
                  </pic:spPr>
                </pic:pic>
              </a:graphicData>
            </a:graphic>
          </wp:anchor>
        </w:drawing>
        <w:drawing>
          <wp:anchor simplePos="0" relativeHeight="251657728" behindDoc="1" locked="0" layoutInCell="0" allowOverlap="1">
            <wp:simplePos x="0" y="0"/>
            <wp:positionH relativeFrom="column">
              <wp:posOffset>5280025</wp:posOffset>
            </wp:positionH>
            <wp:positionV relativeFrom="paragraph">
              <wp:posOffset>-3658870</wp:posOffset>
            </wp:positionV>
            <wp:extent cx="1859280" cy="133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859280" cy="13335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(1) Includes Banco de la Nacion branches, which in September 20 were 34, in June 21 were 34 and in September 21 were 34</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Regulatory Capital and Capital Adequacy Ratios at Mibanco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thousands, Peru GAAP)</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As of</w:t>
            </w:r>
          </w:p>
        </w:tc>
        <w:tc>
          <w:tcPr>
            <w:tcW w:w="10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w w:val="95"/>
              </w:rPr>
              <w:t>% change</w:t>
            </w:r>
          </w:p>
        </w:tc>
        <w:tc>
          <w:tcPr>
            <w:tcW w:w="7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17"/>
        </w:trPr>
        <w:tc>
          <w:tcPr>
            <w:tcW w:w="48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Sep 20</w:t>
            </w:r>
          </w:p>
        </w:tc>
        <w:tc>
          <w:tcPr>
            <w:tcW w:w="2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Jun 21</w:t>
            </w:r>
          </w:p>
        </w:tc>
        <w:tc>
          <w:tcPr>
            <w:tcW w:w="2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Sep 21</w:t>
            </w:r>
          </w:p>
        </w:tc>
        <w:tc>
          <w:tcPr>
            <w:tcW w:w="2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QoQ</w:t>
            </w: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YoY</w:t>
            </w:r>
          </w:p>
        </w:tc>
        <w:tc>
          <w:tcPr>
            <w:tcW w:w="240" w:type="dxa"/>
            <w:vAlign w:val="bottom"/>
            <w:tcBorders>
              <w:bottom w:val="single" w:sz="8" w:color="CCEEFF"/>
            </w:tcBorders>
          </w:tcPr>
          <w:p>
            <w:pPr>
              <w:spacing w:after="0"/>
              <w:rPr>
                <w:sz w:val="18"/>
                <w:szCs w:val="18"/>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Stock</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1,714,369</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1,714,577</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1,714,577</w:t>
            </w: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0.0%</w:t>
            </w: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Legal and Other capital reserves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246,305</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246,305</w:t>
            </w:r>
          </w:p>
        </w:tc>
        <w:tc>
          <w:tcPr>
            <w:tcW w:w="1000" w:type="dxa"/>
            <w:vAlign w:val="bottom"/>
          </w:tcPr>
          <w:p>
            <w:pPr>
              <w:jc w:val="right"/>
              <w:spacing w:after="0"/>
              <w:rPr>
                <w:sz w:val="20"/>
                <w:szCs w:val="20"/>
                <w:color w:val="auto"/>
              </w:rPr>
            </w:pPr>
            <w:r>
              <w:rPr>
                <w:rFonts w:ascii="Arial" w:cs="Arial" w:eastAsia="Arial" w:hAnsi="Arial"/>
                <w:sz w:val="18"/>
                <w:szCs w:val="18"/>
                <w:color w:val="auto"/>
              </w:rPr>
              <w:t>246,305</w:t>
            </w:r>
          </w:p>
        </w:tc>
        <w:tc>
          <w:tcPr>
            <w:tcW w:w="2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Accumulated earnings with capitalization agreement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46,524</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94,945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104.1%</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r>
      <w:tr>
        <w:trPr>
          <w:trHeight w:val="249"/>
        </w:trPr>
        <w:tc>
          <w:tcPr>
            <w:tcW w:w="4880" w:type="dxa"/>
            <w:vAlign w:val="bottom"/>
          </w:tcPr>
          <w:p>
            <w:pPr>
              <w:spacing w:after="0" w:line="249" w:lineRule="exact"/>
              <w:rPr>
                <w:sz w:val="20"/>
                <w:szCs w:val="20"/>
                <w:color w:val="auto"/>
              </w:rPr>
            </w:pPr>
            <w:r>
              <w:rPr>
                <w:rFonts w:ascii="Arial" w:cs="Arial" w:eastAsia="Arial" w:hAnsi="Arial"/>
                <w:sz w:val="17"/>
                <w:szCs w:val="17"/>
                <w:color w:val="auto"/>
              </w:rPr>
              <w:t xml:space="preserve">Loan loss reserves </w:t>
            </w:r>
            <w:r>
              <w:rPr>
                <w:rFonts w:ascii="Arial" w:cs="Arial" w:eastAsia="Arial" w:hAnsi="Arial"/>
                <w:sz w:val="28"/>
                <w:szCs w:val="28"/>
                <w:color w:val="auto"/>
                <w:vertAlign w:val="superscript"/>
              </w:rPr>
              <w:t>(1)</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127,730</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138,555</w:t>
            </w:r>
          </w:p>
        </w:tc>
        <w:tc>
          <w:tcPr>
            <w:tcW w:w="1000" w:type="dxa"/>
            <w:vAlign w:val="bottom"/>
          </w:tcPr>
          <w:p>
            <w:pPr>
              <w:jc w:val="right"/>
              <w:spacing w:after="0"/>
              <w:rPr>
                <w:sz w:val="20"/>
                <w:szCs w:val="20"/>
                <w:color w:val="auto"/>
              </w:rPr>
            </w:pPr>
            <w:r>
              <w:rPr>
                <w:rFonts w:ascii="Arial" w:cs="Arial" w:eastAsia="Arial" w:hAnsi="Arial"/>
                <w:sz w:val="18"/>
                <w:szCs w:val="18"/>
                <w:color w:val="auto"/>
              </w:rPr>
              <w:t>146,213</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Subordinated Debt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130,000</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185,000</w:t>
            </w:r>
          </w:p>
        </w:tc>
        <w:tc>
          <w:tcPr>
            <w:tcW w:w="1000" w:type="dxa"/>
            <w:vAlign w:val="bottom"/>
          </w:tcPr>
          <w:p>
            <w:pPr>
              <w:jc w:val="right"/>
              <w:spacing w:after="0"/>
              <w:rPr>
                <w:sz w:val="20"/>
                <w:szCs w:val="20"/>
                <w:color w:val="auto"/>
              </w:rPr>
            </w:pPr>
            <w:r>
              <w:rPr>
                <w:rFonts w:ascii="Arial" w:cs="Arial" w:eastAsia="Arial" w:hAnsi="Arial"/>
                <w:sz w:val="18"/>
                <w:szCs w:val="18"/>
                <w:color w:val="auto"/>
              </w:rPr>
              <w:t>185,000</w:t>
            </w:r>
          </w:p>
        </w:tc>
        <w:tc>
          <w:tcPr>
            <w:tcW w:w="2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42.3%</w:t>
            </w:r>
          </w:p>
        </w:tc>
      </w:tr>
      <w:tr>
        <w:trPr>
          <w:trHeight w:val="198"/>
        </w:trPr>
        <w:tc>
          <w:tcPr>
            <w:tcW w:w="488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3"/>
              </w:rPr>
              <w:t>Investment in subsidiaries and others, net of unrealized profit and</w:t>
            </w: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22"/>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0"/>
        </w:trPr>
        <w:tc>
          <w:tcPr>
            <w:tcW w:w="4880" w:type="dxa"/>
            <w:vAlign w:val="bottom"/>
          </w:tcPr>
          <w:p>
            <w:pPr>
              <w:ind w:left="320"/>
              <w:spacing w:after="0"/>
              <w:rPr>
                <w:sz w:val="20"/>
                <w:szCs w:val="20"/>
                <w:color w:val="auto"/>
              </w:rPr>
            </w:pPr>
            <w:r>
              <w:rPr>
                <w:rFonts w:ascii="Arial" w:cs="Arial" w:eastAsia="Arial" w:hAnsi="Arial"/>
                <w:sz w:val="18"/>
                <w:szCs w:val="18"/>
                <w:color w:val="auto"/>
              </w:rPr>
              <w:t>Investment in subsidiaries and others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0"/>
        </w:trPr>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Unrealized profit and net income in subsidiaries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Goodwill</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(139,180)</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(139,180)</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(139,180)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Regulatory Capital - SBS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2,079,224</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2,191,781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2,247,861</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2.6%</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8.1%</w:t>
            </w:r>
          </w:p>
        </w:tc>
      </w:tr>
      <w:tr>
        <w:trPr>
          <w:trHeight w:val="249"/>
        </w:trPr>
        <w:tc>
          <w:tcPr>
            <w:tcW w:w="4880" w:type="dxa"/>
            <w:vAlign w:val="bottom"/>
          </w:tcPr>
          <w:p>
            <w:pPr>
              <w:spacing w:after="0" w:line="249" w:lineRule="exact"/>
              <w:rPr>
                <w:sz w:val="20"/>
                <w:szCs w:val="20"/>
                <w:color w:val="auto"/>
              </w:rPr>
            </w:pPr>
            <w:r>
              <w:rPr>
                <w:rFonts w:ascii="Arial" w:cs="Arial" w:eastAsia="Arial" w:hAnsi="Arial"/>
                <w:sz w:val="17"/>
                <w:szCs w:val="17"/>
                <w:color w:val="auto"/>
              </w:rPr>
              <w:t xml:space="preserve">Regulatory Tier 1 Capital </w:t>
            </w:r>
            <w:r>
              <w:rPr>
                <w:rFonts w:ascii="Arial" w:cs="Arial" w:eastAsia="Arial" w:hAnsi="Arial"/>
                <w:sz w:val="28"/>
                <w:szCs w:val="28"/>
                <w:color w:val="auto"/>
                <w:vertAlign w:val="superscript"/>
              </w:rPr>
              <w:t>(2)</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1,818,754</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1,865,495</w:t>
            </w:r>
          </w:p>
        </w:tc>
        <w:tc>
          <w:tcPr>
            <w:tcW w:w="1000" w:type="dxa"/>
            <w:vAlign w:val="bottom"/>
          </w:tcPr>
          <w:p>
            <w:pPr>
              <w:jc w:val="right"/>
              <w:spacing w:after="0"/>
              <w:rPr>
                <w:sz w:val="20"/>
                <w:szCs w:val="20"/>
                <w:color w:val="auto"/>
              </w:rPr>
            </w:pPr>
            <w:r>
              <w:rPr>
                <w:rFonts w:ascii="Arial" w:cs="Arial" w:eastAsia="Arial" w:hAnsi="Arial"/>
                <w:sz w:val="18"/>
                <w:szCs w:val="18"/>
                <w:color w:val="auto"/>
              </w:rPr>
              <w:t>1,913,912</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49"/>
        </w:trPr>
        <w:tc>
          <w:tcPr>
            <w:tcW w:w="4880" w:type="dxa"/>
            <w:vAlign w:val="bottom"/>
            <w:shd w:val="clear" w:color="auto" w:fill="CCEEFF"/>
          </w:tcPr>
          <w:p>
            <w:pPr>
              <w:spacing w:after="0" w:line="249" w:lineRule="exact"/>
              <w:rPr>
                <w:sz w:val="20"/>
                <w:szCs w:val="20"/>
                <w:color w:val="auto"/>
              </w:rPr>
            </w:pPr>
            <w:r>
              <w:rPr>
                <w:rFonts w:ascii="Arial" w:cs="Arial" w:eastAsia="Arial" w:hAnsi="Arial"/>
                <w:sz w:val="17"/>
                <w:szCs w:val="17"/>
                <w:color w:val="auto"/>
              </w:rPr>
              <w:t xml:space="preserve">Regulatory Tier 2 Capital </w:t>
            </w:r>
            <w:r>
              <w:rPr>
                <w:rFonts w:ascii="Arial" w:cs="Arial" w:eastAsia="Arial" w:hAnsi="Arial"/>
                <w:sz w:val="28"/>
                <w:szCs w:val="28"/>
                <w:color w:val="auto"/>
                <w:vertAlign w:val="superscript"/>
              </w:rPr>
              <w:t>(3)</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260,469</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326,287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333,948</w:t>
            </w:r>
          </w:p>
        </w:tc>
        <w:tc>
          <w:tcPr>
            <w:tcW w:w="2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r>
      <w:tr>
        <w:trPr>
          <w:trHeight w:val="249"/>
        </w:trPr>
        <w:tc>
          <w:tcPr>
            <w:tcW w:w="4880" w:type="dxa"/>
            <w:vAlign w:val="bottom"/>
          </w:tcPr>
          <w:p>
            <w:pPr>
              <w:spacing w:after="0" w:line="249" w:lineRule="exact"/>
              <w:rPr>
                <w:sz w:val="20"/>
                <w:szCs w:val="20"/>
                <w:color w:val="auto"/>
              </w:rPr>
            </w:pPr>
            <w:r>
              <w:rPr>
                <w:rFonts w:ascii="Arial" w:cs="Arial" w:eastAsia="Arial" w:hAnsi="Arial"/>
                <w:sz w:val="17"/>
                <w:szCs w:val="17"/>
                <w:b w:val="1"/>
                <w:bCs w:val="1"/>
                <w:color w:val="auto"/>
              </w:rPr>
              <w:t xml:space="preserve">Total risk-weighted assets - SBS </w:t>
            </w:r>
            <w:r>
              <w:rPr>
                <w:rFonts w:ascii="Arial" w:cs="Arial" w:eastAsia="Arial" w:hAnsi="Arial"/>
                <w:sz w:val="28"/>
                <w:szCs w:val="28"/>
                <w:b w:val="1"/>
                <w:bCs w:val="1"/>
                <w:color w:val="auto"/>
                <w:vertAlign w:val="superscript"/>
              </w:rPr>
              <w:t>(4)</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11,755,497</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12,728,511</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13,385,231</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5.2%</w:t>
            </w:r>
          </w:p>
        </w:tc>
        <w:tc>
          <w:tcPr>
            <w:tcW w:w="28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13.9%</w:t>
            </w: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Credit risk-weighted assets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9,736,476</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10,662,694</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11,237,705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r>
      <w:tr>
        <w:trPr>
          <w:trHeight w:val="249"/>
        </w:trPr>
        <w:tc>
          <w:tcPr>
            <w:tcW w:w="4880" w:type="dxa"/>
            <w:vAlign w:val="bottom"/>
          </w:tcPr>
          <w:p>
            <w:pPr>
              <w:spacing w:after="0" w:line="249" w:lineRule="exact"/>
              <w:rPr>
                <w:sz w:val="20"/>
                <w:szCs w:val="20"/>
                <w:color w:val="auto"/>
              </w:rPr>
            </w:pPr>
            <w:r>
              <w:rPr>
                <w:rFonts w:ascii="Arial" w:cs="Arial" w:eastAsia="Arial" w:hAnsi="Arial"/>
                <w:sz w:val="17"/>
                <w:szCs w:val="17"/>
                <w:color w:val="auto"/>
              </w:rPr>
              <w:t xml:space="preserve">Market risk-weighted assets </w:t>
            </w:r>
            <w:r>
              <w:rPr>
                <w:rFonts w:ascii="Arial" w:cs="Arial" w:eastAsia="Arial" w:hAnsi="Arial"/>
                <w:sz w:val="28"/>
                <w:szCs w:val="28"/>
                <w:color w:val="auto"/>
                <w:vertAlign w:val="superscript"/>
              </w:rPr>
              <w:t>(5)</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114,638</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195,522</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266,551</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36.3%</w:t>
            </w:r>
          </w:p>
        </w:tc>
        <w:tc>
          <w:tcPr>
            <w:tcW w:w="2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132.5%</w:t>
            </w: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Operational risk-weighted assets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1,904,383</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1,870,294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1,880,975</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0"/>
        </w:trPr>
        <w:tc>
          <w:tcPr>
            <w:tcW w:w="4880" w:type="dxa"/>
            <w:vAlign w:val="bottom"/>
          </w:tcPr>
          <w:p>
            <w:pPr>
              <w:spacing w:after="0"/>
              <w:rPr>
                <w:sz w:val="20"/>
                <w:szCs w:val="20"/>
                <w:color w:val="auto"/>
              </w:rPr>
            </w:pPr>
            <w:r>
              <w:rPr>
                <w:rFonts w:ascii="Arial" w:cs="Arial" w:eastAsia="Arial" w:hAnsi="Arial"/>
                <w:sz w:val="18"/>
                <w:szCs w:val="18"/>
                <w:b w:val="1"/>
                <w:bCs w:val="1"/>
                <w:color w:val="auto"/>
              </w:rPr>
              <w:t>Total capital requirement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1,176,550</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1,273,851</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1,339,523</w:t>
            </w:r>
          </w:p>
        </w:tc>
        <w:tc>
          <w:tcPr>
            <w:tcW w:w="2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5.2%</w:t>
            </w:r>
          </w:p>
        </w:tc>
        <w:tc>
          <w:tcPr>
            <w:tcW w:w="2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13.9%</w:t>
            </w: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Credit risk capital requirement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973,648</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1,066,269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1,123,771</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Market risk-weighted assets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11,464</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19,552</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26,655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36.3%</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132.5%</w:t>
            </w: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Operational risk capital requirement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190,438</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187,029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188,097</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Additional capital requirements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1,000</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1,000</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2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r>
        <w:trPr>
          <w:trHeight w:val="249"/>
        </w:trPr>
        <w:tc>
          <w:tcPr>
            <w:tcW w:w="4880" w:type="dxa"/>
            <w:vAlign w:val="bottom"/>
            <w:shd w:val="clear" w:color="auto" w:fill="CCEEFF"/>
          </w:tcPr>
          <w:p>
            <w:pPr>
              <w:spacing w:after="0" w:line="249" w:lineRule="exact"/>
              <w:rPr>
                <w:sz w:val="20"/>
                <w:szCs w:val="20"/>
                <w:color w:val="auto"/>
              </w:rPr>
            </w:pPr>
            <w:r>
              <w:rPr>
                <w:rFonts w:ascii="Arial" w:cs="Arial" w:eastAsia="Arial" w:hAnsi="Arial"/>
                <w:sz w:val="17"/>
                <w:szCs w:val="17"/>
                <w:b w:val="1"/>
                <w:bCs w:val="1"/>
                <w:color w:val="auto"/>
              </w:rPr>
              <w:t xml:space="preserve">Common Equity Tier 1 - Basel </w:t>
            </w:r>
            <w:r>
              <w:rPr>
                <w:rFonts w:ascii="Arial" w:cs="Arial" w:eastAsia="Arial" w:hAnsi="Arial"/>
                <w:sz w:val="28"/>
                <w:szCs w:val="28"/>
                <w:b w:val="1"/>
                <w:bCs w:val="1"/>
                <w:color w:val="auto"/>
                <w:vertAlign w:val="superscript"/>
              </w:rPr>
              <w:t>(6)</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1,790,675</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1,797,589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1,892,846</w:t>
            </w:r>
          </w:p>
        </w:tc>
        <w:tc>
          <w:tcPr>
            <w:tcW w:w="2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5.3%</w:t>
            </w: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5.7%</w:t>
            </w: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Capital and reserves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1,960,674</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1,960,882</w:t>
            </w:r>
          </w:p>
        </w:tc>
        <w:tc>
          <w:tcPr>
            <w:tcW w:w="1000" w:type="dxa"/>
            <w:vAlign w:val="bottom"/>
          </w:tcPr>
          <w:p>
            <w:pPr>
              <w:jc w:val="right"/>
              <w:spacing w:after="0"/>
              <w:rPr>
                <w:sz w:val="20"/>
                <w:szCs w:val="20"/>
                <w:color w:val="auto"/>
              </w:rPr>
            </w:pPr>
            <w:r>
              <w:rPr>
                <w:rFonts w:ascii="Arial" w:cs="Arial" w:eastAsia="Arial" w:hAnsi="Arial"/>
                <w:sz w:val="18"/>
                <w:szCs w:val="18"/>
                <w:color w:val="auto"/>
              </w:rPr>
              <w:t>1,960,882</w:t>
            </w:r>
          </w:p>
        </w:tc>
        <w:tc>
          <w:tcPr>
            <w:tcW w:w="2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73,928</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140,952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201,478</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w:t>
            </w: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Unrealized gains (losses)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8,214</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1,563</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(5,892)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-477.1%</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-171.7%</w:t>
            </w: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intangibles</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(229,447)</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(243,880)</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(246,432)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Excess DT of 10% CET1 Basilea</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(22,694)</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(61,928)</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(17,191)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-72.2%</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r>
      <w:tr>
        <w:trPr>
          <w:trHeight w:val="249"/>
        </w:trPr>
        <w:tc>
          <w:tcPr>
            <w:tcW w:w="4880" w:type="dxa"/>
            <w:vAlign w:val="bottom"/>
            <w:shd w:val="clear" w:color="auto" w:fill="CCEEFF"/>
          </w:tcPr>
          <w:p>
            <w:pPr>
              <w:spacing w:after="0" w:line="249" w:lineRule="exact"/>
              <w:rPr>
                <w:sz w:val="20"/>
                <w:szCs w:val="20"/>
                <w:color w:val="auto"/>
              </w:rPr>
            </w:pPr>
            <w:r>
              <w:rPr>
                <w:rFonts w:ascii="Arial" w:cs="Arial" w:eastAsia="Arial" w:hAnsi="Arial"/>
                <w:sz w:val="17"/>
                <w:szCs w:val="17"/>
                <w:b w:val="1"/>
                <w:bCs w:val="1"/>
                <w:color w:val="auto"/>
              </w:rPr>
              <w:t xml:space="preserve">Adjusted Risk-Weighted Assets - Basel </w:t>
            </w:r>
            <w:r>
              <w:rPr>
                <w:rFonts w:ascii="Arial" w:cs="Arial" w:eastAsia="Arial" w:hAnsi="Arial"/>
                <w:sz w:val="28"/>
                <w:szCs w:val="28"/>
                <w:b w:val="1"/>
                <w:bCs w:val="1"/>
                <w:color w:val="auto"/>
                <w:vertAlign w:val="superscript"/>
              </w:rPr>
              <w:t>(7)</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11,042,007</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11,783,071</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12,496,366</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6.1%</w:t>
            </w: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13.2%</w:t>
            </w: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Total risk-weighted assets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11,755,497</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12,728,511</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13,385,231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r>
      <w:tr>
        <w:trPr>
          <w:trHeight w:val="210"/>
        </w:trPr>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RWA Intangible assets, excluding goodwill.</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713,490</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836,447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1,049,881</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r>
      <w:tr>
        <w:trPr>
          <w:trHeight w:val="198"/>
        </w:trPr>
        <w:tc>
          <w:tcPr>
            <w:tcW w:w="4880" w:type="dxa"/>
            <w:vAlign w:val="bottom"/>
          </w:tcPr>
          <w:p>
            <w:pPr>
              <w:ind w:left="140"/>
              <w:spacing w:after="0" w:line="198" w:lineRule="exact"/>
              <w:rPr>
                <w:sz w:val="20"/>
                <w:szCs w:val="20"/>
                <w:color w:val="auto"/>
              </w:rPr>
            </w:pPr>
            <w:r>
              <w:rPr>
                <w:rFonts w:ascii="Arial" w:cs="Arial" w:eastAsia="Arial" w:hAnsi="Arial"/>
                <w:sz w:val="18"/>
                <w:szCs w:val="18"/>
                <w:color w:val="auto"/>
                <w:w w:val="92"/>
              </w:rPr>
              <w:t>(+) RWA Deferred tax assets generated as a result of temporary</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22"/>
        </w:trPr>
        <w:tc>
          <w:tcPr>
            <w:tcW w:w="4880" w:type="dxa"/>
            <w:vAlign w:val="bottom"/>
          </w:tcPr>
          <w:p>
            <w:pPr>
              <w:ind w:left="140"/>
              <w:spacing w:after="0"/>
              <w:rPr>
                <w:sz w:val="20"/>
                <w:szCs w:val="20"/>
                <w:color w:val="auto"/>
              </w:rPr>
            </w:pPr>
            <w:r>
              <w:rPr>
                <w:rFonts w:ascii="Arial" w:cs="Arial" w:eastAsia="Arial" w:hAnsi="Arial"/>
                <w:sz w:val="18"/>
                <w:szCs w:val="18"/>
                <w:color w:val="auto"/>
              </w:rPr>
              <w:t>differences in income tax, in excess of 10% of CET1</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232,440</w:t>
            </w:r>
          </w:p>
        </w:tc>
        <w:tc>
          <w:tcPr>
            <w:tcW w:w="1000" w:type="dxa"/>
            <w:vAlign w:val="bottom"/>
          </w:tcPr>
          <w:p>
            <w:pPr>
              <w:jc w:val="right"/>
              <w:spacing w:after="0"/>
              <w:rPr>
                <w:sz w:val="20"/>
                <w:szCs w:val="20"/>
                <w:color w:val="auto"/>
              </w:rPr>
            </w:pPr>
            <w:r>
              <w:rPr>
                <w:rFonts w:ascii="Arial" w:cs="Arial" w:eastAsia="Arial" w:hAnsi="Arial"/>
                <w:sz w:val="18"/>
                <w:szCs w:val="18"/>
                <w:color w:val="auto"/>
              </w:rPr>
              <w:t>238,755</w:t>
            </w:r>
          </w:p>
        </w:tc>
        <w:tc>
          <w:tcPr>
            <w:tcW w:w="2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r>
      <w:tr>
        <w:trPr>
          <w:trHeight w:val="210"/>
        </w:trPr>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RWA assets that exceed 10% of CET1 SBS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352,031</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-78.7%</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r>
      <w:tr>
        <w:trPr>
          <w:trHeight w:val="210"/>
        </w:trPr>
        <w:tc>
          <w:tcPr>
            <w:tcW w:w="4880" w:type="dxa"/>
            <w:vAlign w:val="bottom"/>
          </w:tcPr>
          <w:p>
            <w:pPr>
              <w:ind w:left="140"/>
              <w:spacing w:after="0"/>
              <w:rPr>
                <w:sz w:val="20"/>
                <w:szCs w:val="20"/>
                <w:color w:val="auto"/>
              </w:rPr>
            </w:pPr>
            <w:r>
              <w:rPr>
                <w:rFonts w:ascii="Arial" w:cs="Arial" w:eastAsia="Arial" w:hAnsi="Arial"/>
                <w:sz w:val="18"/>
                <w:szCs w:val="18"/>
                <w:color w:val="auto"/>
                <w:w w:val="91"/>
              </w:rPr>
              <w:t>(-) RWA difference between excees SBS and Basel methodology</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(10,598)</w:t>
            </w:r>
          </w:p>
        </w:tc>
        <w:tc>
          <w:tcPr>
            <w:tcW w:w="1000" w:type="dxa"/>
            <w:vAlign w:val="bottom"/>
          </w:tcPr>
          <w:p>
            <w:pPr>
              <w:jc w:val="right"/>
              <w:spacing w:after="0"/>
              <w:rPr>
                <w:sz w:val="20"/>
                <w:szCs w:val="20"/>
                <w:color w:val="auto"/>
              </w:rPr>
            </w:pPr>
            <w:r>
              <w:rPr>
                <w:rFonts w:ascii="Arial" w:cs="Arial" w:eastAsia="Arial" w:hAnsi="Arial"/>
                <w:sz w:val="18"/>
                <w:szCs w:val="18"/>
                <w:color w:val="auto"/>
              </w:rPr>
              <w:t>2,738</w:t>
            </w:r>
          </w:p>
        </w:tc>
        <w:tc>
          <w:tcPr>
            <w:tcW w:w="260" w:type="dxa"/>
            <w:vAlign w:val="bottom"/>
          </w:tcPr>
          <w:p>
            <w:pPr>
              <w:spacing w:after="0"/>
              <w:rPr>
                <w:sz w:val="18"/>
                <w:szCs w:val="18"/>
                <w:color w:val="auto"/>
              </w:rPr>
            </w:pPr>
          </w:p>
        </w:tc>
        <w:tc>
          <w:tcPr>
            <w:tcW w:w="1620" w:type="dxa"/>
            <w:vAlign w:val="bottom"/>
            <w:gridSpan w:val="3"/>
          </w:tcPr>
          <w:p>
            <w:pPr>
              <w:ind w:left="74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ratios</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49"/>
        </w:trPr>
        <w:tc>
          <w:tcPr>
            <w:tcW w:w="4880" w:type="dxa"/>
            <w:vAlign w:val="bottom"/>
          </w:tcPr>
          <w:p>
            <w:pPr>
              <w:spacing w:after="0" w:line="249" w:lineRule="exact"/>
              <w:rPr>
                <w:sz w:val="20"/>
                <w:szCs w:val="20"/>
                <w:color w:val="auto"/>
              </w:rPr>
            </w:pPr>
            <w:r>
              <w:rPr>
                <w:rFonts w:ascii="Arial" w:cs="Arial" w:eastAsia="Arial" w:hAnsi="Arial"/>
                <w:sz w:val="17"/>
                <w:szCs w:val="17"/>
                <w:color w:val="auto"/>
              </w:rPr>
              <w:t xml:space="preserve">Regulatory Tier 1 ratio </w:t>
            </w:r>
            <w:r>
              <w:rPr>
                <w:rFonts w:ascii="Arial" w:cs="Arial" w:eastAsia="Arial" w:hAnsi="Arial"/>
                <w:sz w:val="28"/>
                <w:szCs w:val="28"/>
                <w:color w:val="auto"/>
                <w:vertAlign w:val="superscript"/>
              </w:rPr>
              <w:t>(8)</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15.47%</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14.66%</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14.30%</w:t>
            </w:r>
          </w:p>
        </w:tc>
        <w:tc>
          <w:tcPr>
            <w:tcW w:w="1620" w:type="dxa"/>
            <w:vAlign w:val="bottom"/>
            <w:gridSpan w:val="3"/>
          </w:tcPr>
          <w:p>
            <w:pPr>
              <w:ind w:left="760"/>
              <w:spacing w:after="0"/>
              <w:rPr>
                <w:sz w:val="20"/>
                <w:szCs w:val="20"/>
                <w:color w:val="auto"/>
              </w:rPr>
            </w:pPr>
            <w:r>
              <w:rPr>
                <w:rFonts w:ascii="Arial" w:cs="Arial" w:eastAsia="Arial" w:hAnsi="Arial"/>
                <w:sz w:val="18"/>
                <w:szCs w:val="18"/>
                <w:color w:val="auto"/>
              </w:rPr>
              <w:t>-36bps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-117bps</w:t>
            </w:r>
          </w:p>
        </w:tc>
      </w:tr>
      <w:tr>
        <w:trPr>
          <w:trHeight w:val="249"/>
        </w:trPr>
        <w:tc>
          <w:tcPr>
            <w:tcW w:w="4880" w:type="dxa"/>
            <w:vAlign w:val="bottom"/>
            <w:shd w:val="clear" w:color="auto" w:fill="CCEEFF"/>
          </w:tcPr>
          <w:p>
            <w:pPr>
              <w:spacing w:after="0" w:line="249" w:lineRule="exact"/>
              <w:rPr>
                <w:sz w:val="20"/>
                <w:szCs w:val="20"/>
                <w:color w:val="auto"/>
              </w:rPr>
            </w:pPr>
            <w:r>
              <w:rPr>
                <w:rFonts w:ascii="Arial" w:cs="Arial" w:eastAsia="Arial" w:hAnsi="Arial"/>
                <w:sz w:val="17"/>
                <w:szCs w:val="17"/>
                <w:color w:val="auto"/>
              </w:rPr>
              <w:t xml:space="preserve">Common Equity Tier 1 ratio </w:t>
            </w:r>
            <w:r>
              <w:rPr>
                <w:rFonts w:ascii="Arial" w:cs="Arial" w:eastAsia="Arial" w:hAnsi="Arial"/>
                <w:sz w:val="28"/>
                <w:szCs w:val="28"/>
                <w:color w:val="auto"/>
                <w:vertAlign w:val="superscript"/>
              </w:rPr>
              <w:t>(9)</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16.22%</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w:t>
            </w:r>
          </w:p>
        </w:tc>
        <w:tc>
          <w:tcPr>
            <w:tcW w:w="162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-11bps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-107bps</w:t>
            </w:r>
          </w:p>
        </w:tc>
      </w:tr>
      <w:tr>
        <w:trPr>
          <w:trHeight w:val="249"/>
        </w:trPr>
        <w:tc>
          <w:tcPr>
            <w:tcW w:w="4880" w:type="dxa"/>
            <w:vAlign w:val="bottom"/>
          </w:tcPr>
          <w:p>
            <w:pPr>
              <w:spacing w:after="0" w:line="249" w:lineRule="exact"/>
              <w:rPr>
                <w:sz w:val="20"/>
                <w:szCs w:val="20"/>
                <w:color w:val="auto"/>
              </w:rPr>
            </w:pPr>
            <w:r>
              <w:rPr>
                <w:rFonts w:ascii="Arial" w:cs="Arial" w:eastAsia="Arial" w:hAnsi="Arial"/>
                <w:sz w:val="17"/>
                <w:szCs w:val="17"/>
                <w:color w:val="auto"/>
              </w:rPr>
              <w:t xml:space="preserve">BIS ratio </w:t>
            </w:r>
            <w:r>
              <w:rPr>
                <w:rFonts w:ascii="Arial" w:cs="Arial" w:eastAsia="Arial" w:hAnsi="Arial"/>
                <w:sz w:val="28"/>
                <w:szCs w:val="28"/>
                <w:color w:val="auto"/>
                <w:vertAlign w:val="superscript"/>
              </w:rPr>
              <w:t>(10)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17.69%</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17.22%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16.79%</w:t>
            </w:r>
          </w:p>
        </w:tc>
        <w:tc>
          <w:tcPr>
            <w:tcW w:w="1620" w:type="dxa"/>
            <w:vAlign w:val="bottom"/>
            <w:gridSpan w:val="3"/>
          </w:tcPr>
          <w:p>
            <w:pPr>
              <w:ind w:left="760"/>
              <w:spacing w:after="0"/>
              <w:rPr>
                <w:sz w:val="20"/>
                <w:szCs w:val="20"/>
                <w:color w:val="auto"/>
              </w:rPr>
            </w:pPr>
            <w:r>
              <w:rPr>
                <w:rFonts w:ascii="Arial" w:cs="Arial" w:eastAsia="Arial" w:hAnsi="Arial"/>
                <w:sz w:val="18"/>
                <w:szCs w:val="18"/>
                <w:color w:val="auto"/>
              </w:rPr>
              <w:t>-43bps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-90bps</w:t>
            </w: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Risk-weighted assets / Regulatory capital</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5.65</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5.81</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r>
    </w:tbl>
    <w:p>
      <w:pPr>
        <w:spacing w:after="0" w:line="198" w:lineRule="exact"/>
        <w:rPr>
          <w:sz w:val="20"/>
          <w:szCs w:val="20"/>
          <w:color w:val="auto"/>
        </w:rPr>
      </w:pPr>
    </w:p>
    <w:p>
      <w:pPr>
        <w:ind w:left="260" w:hanging="255"/>
        <w:spacing w:after="0"/>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Up to 1.25% of total risk-weighted assets.</w:t>
      </w:r>
    </w:p>
    <w:p>
      <w:pPr>
        <w:spacing w:after="0" w:line="14" w:lineRule="exact"/>
        <w:rPr>
          <w:rFonts w:ascii="Arial" w:cs="Arial" w:eastAsia="Arial" w:hAnsi="Arial"/>
          <w:sz w:val="18"/>
          <w:szCs w:val="18"/>
          <w:color w:val="auto"/>
        </w:rPr>
      </w:pPr>
    </w:p>
    <w:p>
      <w:pPr>
        <w:jc w:val="both"/>
        <w:ind w:firstLine="5"/>
        <w:spacing w:after="0" w:line="274" w:lineRule="auto"/>
        <w:tabs>
          <w:tab w:leader="none" w:pos="252"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Regulatory Tier 1 Capital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firstLine="5"/>
        <w:spacing w:after="0" w:line="243" w:lineRule="auto"/>
        <w:tabs>
          <w:tab w:leader="none" w:pos="25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Regulatory Tier 2 Capital = Subordinated debt + Loan loss reserves + Unrestricted Reserves + (0.5 x Unrealized profit and net income in subsidiaries) - (0.5 x Investment in subsidiaries).</w:t>
      </w:r>
    </w:p>
    <w:p>
      <w:pPr>
        <w:ind w:firstLine="5"/>
        <w:spacing w:after="0" w:line="243" w:lineRule="auto"/>
        <w:tabs>
          <w:tab w:leader="none" w:pos="256" w:val="left"/>
        </w:tabs>
        <w:numPr>
          <w:ilvl w:val="0"/>
          <w:numId w:val="86"/>
        </w:numPr>
        <w:rPr>
          <w:rFonts w:ascii="Arial" w:cs="Arial" w:eastAsia="Arial" w:hAnsi="Arial"/>
          <w:sz w:val="18"/>
          <w:szCs w:val="18"/>
          <w:color w:val="auto"/>
        </w:rPr>
      </w:pPr>
      <w:r>
        <w:rPr>
          <w:rFonts w:ascii="Arial" w:cs="Arial" w:eastAsia="Arial" w:hAnsi="Arial"/>
          <w:sz w:val="18"/>
          <w:szCs w:val="18"/>
          <w:color w:val="auto"/>
        </w:rPr>
        <w:t>Since July 2012, Total Risk-weighted assets = Credit risk-weighted assets * 1.00 + Capital requirement to cover market risk * 10 + Capital requirement to cover operational risk * 10 * 1.00 (since July 2014)</w:t>
      </w:r>
    </w:p>
    <w:p>
      <w:pPr>
        <w:ind w:left="260" w:hanging="255"/>
        <w:spacing w:after="0"/>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It includes capital requirement to cover price and rate risk.</w:t>
      </w:r>
    </w:p>
    <w:p>
      <w:pPr>
        <w:spacing w:after="0" w:line="3" w:lineRule="exact"/>
        <w:rPr>
          <w:rFonts w:ascii="Arial" w:cs="Arial" w:eastAsia="Arial" w:hAnsi="Arial"/>
          <w:sz w:val="18"/>
          <w:szCs w:val="18"/>
          <w:color w:val="auto"/>
        </w:rPr>
      </w:pPr>
    </w:p>
    <w:p>
      <w:pPr>
        <w:ind w:firstLine="5"/>
        <w:spacing w:after="0" w:line="243" w:lineRule="auto"/>
        <w:tabs>
          <w:tab w:leader="none" w:pos="2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firstLine="5"/>
        <w:spacing w:after="0" w:line="274" w:lineRule="auto"/>
        <w:tabs>
          <w:tab w:leader="none" w:pos="249" w:val="left"/>
        </w:tabs>
        <w:numPr>
          <w:ilvl w:val="0"/>
          <w:numId w:val="86"/>
        </w:numPr>
        <w:rPr>
          <w:rFonts w:ascii="Arial" w:cs="Arial" w:eastAsia="Arial" w:hAnsi="Arial"/>
          <w:sz w:val="16"/>
          <w:szCs w:val="16"/>
          <w:color w:val="auto"/>
        </w:rPr>
      </w:pPr>
      <w:r>
        <w:rPr>
          <w:rFonts w:ascii="Arial" w:cs="Arial" w:eastAsia="Arial" w:hAnsi="Arial"/>
          <w:sz w:val="16"/>
          <w:szCs w:val="16"/>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ind w:left="260" w:hanging="255"/>
        <w:spacing w:after="0"/>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Regulatory Tier 1 Capital / Total Risk-weighted assets</w:t>
      </w:r>
    </w:p>
    <w:p>
      <w:pPr>
        <w:spacing w:after="0" w:line="3" w:lineRule="exact"/>
        <w:rPr>
          <w:rFonts w:ascii="Arial" w:cs="Arial" w:eastAsia="Arial" w:hAnsi="Arial"/>
          <w:sz w:val="18"/>
          <w:szCs w:val="18"/>
          <w:color w:val="auto"/>
        </w:rPr>
      </w:pPr>
    </w:p>
    <w:p>
      <w:pPr>
        <w:ind w:left="260" w:hanging="255"/>
        <w:spacing w:after="0"/>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Common Equity Tier I / Adjusted Risk-Weighted Assets</w:t>
      </w:r>
    </w:p>
    <w:p>
      <w:pPr>
        <w:spacing w:after="0" w:line="3" w:lineRule="exact"/>
        <w:rPr>
          <w:rFonts w:ascii="Arial" w:cs="Arial" w:eastAsia="Arial" w:hAnsi="Arial"/>
          <w:sz w:val="18"/>
          <w:szCs w:val="18"/>
          <w:color w:val="auto"/>
        </w:rPr>
      </w:pPr>
    </w:p>
    <w:p>
      <w:pPr>
        <w:ind w:left="340" w:hanging="335"/>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Total Regulatory Capital / Total Risk-weighted assets (legal minimum = 10% since July 2011)</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28"/>
        </w:trPr>
        <w:tc>
          <w:tcPr>
            <w:tcW w:w="3960" w:type="dxa"/>
            <w:vAlign w:val="bottom"/>
            <w:gridSpan w:val="4"/>
          </w:tcPr>
          <w:p>
            <w:pPr>
              <w:spacing w:after="0"/>
              <w:rPr>
                <w:sz w:val="20"/>
                <w:szCs w:val="20"/>
                <w:color w:val="auto"/>
              </w:rPr>
            </w:pPr>
            <w:r>
              <w:rPr>
                <w:rFonts w:ascii="Arial" w:cs="Arial" w:eastAsia="Arial" w:hAnsi="Arial"/>
                <w:sz w:val="18"/>
                <w:szCs w:val="18"/>
                <w:b w:val="1"/>
                <w:bCs w:val="1"/>
                <w:color w:val="auto"/>
                <w:w w:val="95"/>
              </w:rPr>
              <w:t>12.8. Investment Banking &amp; Wealth Management</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02"/>
        </w:trPr>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20" w:type="dxa"/>
            <w:vAlign w:val="bottom"/>
            <w:gridSpan w:val="10"/>
          </w:tcPr>
          <w:p>
            <w:pPr>
              <w:jc w:val="center"/>
              <w:ind w:right="680"/>
              <w:spacing w:after="0"/>
              <w:rPr>
                <w:sz w:val="20"/>
                <w:szCs w:val="20"/>
                <w:color w:val="auto"/>
              </w:rPr>
            </w:pPr>
            <w:r>
              <w:rPr>
                <w:rFonts w:ascii="Arial" w:cs="Arial" w:eastAsia="Arial" w:hAnsi="Arial"/>
                <w:sz w:val="18"/>
                <w:szCs w:val="18"/>
                <w:b w:val="1"/>
                <w:bCs w:val="1"/>
                <w:color w:val="auto"/>
                <w:w w:val="89"/>
              </w:rPr>
              <w:t>Investment Banking &amp; Wealth Management</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8"/>
        </w:trPr>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0" w:type="dxa"/>
            <w:vAlign w:val="bottom"/>
            <w:gridSpan w:val="6"/>
          </w:tcPr>
          <w:p>
            <w:pPr>
              <w:jc w:val="center"/>
              <w:ind w:right="720"/>
              <w:spacing w:after="0"/>
              <w:rPr>
                <w:sz w:val="20"/>
                <w:szCs w:val="20"/>
                <w:color w:val="auto"/>
              </w:rPr>
            </w:pPr>
            <w:r>
              <w:rPr>
                <w:rFonts w:ascii="Arial" w:cs="Arial" w:eastAsia="Arial" w:hAnsi="Arial"/>
                <w:sz w:val="18"/>
                <w:szCs w:val="18"/>
                <w:b w:val="1"/>
                <w:bCs w:val="1"/>
                <w:color w:val="auto"/>
                <w:w w:val="88"/>
              </w:rPr>
              <w:t>(S/ thousands, IFRS)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Banca de Inversión y Gestión de</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b w:val="1"/>
                <w:bCs w:val="1"/>
                <w:color w:val="auto"/>
              </w:rPr>
              <w:t>Quarter</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3"/>
          </w:tcPr>
          <w:p>
            <w:pPr>
              <w:ind w:left="540"/>
              <w:spacing w:after="0"/>
              <w:rPr>
                <w:sz w:val="20"/>
                <w:szCs w:val="20"/>
                <w:color w:val="auto"/>
              </w:rPr>
            </w:pPr>
            <w:r>
              <w:rPr>
                <w:rFonts w:ascii="Arial" w:cs="Arial" w:eastAsia="Arial" w:hAnsi="Arial"/>
                <w:sz w:val="18"/>
                <w:szCs w:val="18"/>
                <w:b w:val="1"/>
                <w:bCs w:val="1"/>
                <w:color w:val="auto"/>
                <w:w w:val="88"/>
              </w:rPr>
              <w:t>%change</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3"/>
          </w:tcPr>
          <w:p>
            <w:pPr>
              <w:ind w:left="680"/>
              <w:spacing w:after="0"/>
              <w:rPr>
                <w:sz w:val="20"/>
                <w:szCs w:val="20"/>
                <w:color w:val="auto"/>
              </w:rPr>
            </w:pPr>
            <w:r>
              <w:rPr>
                <w:rFonts w:ascii="Arial" w:cs="Arial" w:eastAsia="Arial" w:hAnsi="Arial"/>
                <w:sz w:val="18"/>
                <w:szCs w:val="18"/>
                <w:b w:val="1"/>
                <w:bCs w:val="1"/>
                <w:color w:val="auto"/>
              </w:rPr>
              <w:t>YTD</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 change</w:t>
            </w:r>
          </w:p>
        </w:tc>
      </w:tr>
      <w:tr>
        <w:trPr>
          <w:trHeight w:val="216"/>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Patrimonios S/ 000</w:t>
            </w:r>
          </w:p>
        </w:tc>
        <w:tc>
          <w:tcPr>
            <w:tcW w:w="12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3Q20</w:t>
            </w:r>
          </w:p>
        </w:tc>
        <w:tc>
          <w:tcPr>
            <w:tcW w:w="22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2Q21</w:t>
            </w:r>
          </w:p>
        </w:tc>
        <w:tc>
          <w:tcPr>
            <w:tcW w:w="4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3Q21</w:t>
            </w:r>
          </w:p>
        </w:tc>
        <w:tc>
          <w:tcPr>
            <w:tcW w:w="2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5"/>
              </w:rPr>
              <w:t>YoY</w:t>
            </w:r>
          </w:p>
        </w:tc>
        <w:tc>
          <w:tcPr>
            <w:tcW w:w="26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Sep 20</w:t>
            </w:r>
          </w:p>
        </w:tc>
        <w:tc>
          <w:tcPr>
            <w:tcW w:w="2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9"/>
              </w:rPr>
              <w:t>Sep 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Sep 21 / Sep 20</w:t>
            </w:r>
          </w:p>
        </w:tc>
        <w:tc>
          <w:tcPr>
            <w:tcW w:w="180" w:type="dxa"/>
            <w:vAlign w:val="bottom"/>
            <w:tcBorders>
              <w:bottom w:val="single" w:sz="8" w:color="CCEEFF"/>
            </w:tcBorders>
          </w:tcPr>
          <w:p>
            <w:pPr>
              <w:spacing w:after="0"/>
              <w:rPr>
                <w:sz w:val="18"/>
                <w:szCs w:val="18"/>
                <w:color w:val="auto"/>
              </w:rPr>
            </w:pPr>
          </w:p>
        </w:tc>
      </w:tr>
      <w:tr>
        <w:trPr>
          <w:trHeight w:val="203"/>
        </w:trPr>
        <w:tc>
          <w:tcPr>
            <w:tcW w:w="28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 interest income</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17,786</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23,055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14,290</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rPr>
              <w:t>-38.0%</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-20%</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49,055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60,432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23.2%</w:t>
            </w:r>
          </w:p>
        </w:tc>
      </w:tr>
      <w:tr>
        <w:trPr>
          <w:trHeight w:val="210"/>
        </w:trPr>
        <w:tc>
          <w:tcPr>
            <w:tcW w:w="2980" w:type="dxa"/>
            <w:vAlign w:val="bottom"/>
            <w:gridSpan w:val="2"/>
          </w:tcPr>
          <w:p>
            <w:pPr>
              <w:spacing w:after="0"/>
              <w:rPr>
                <w:sz w:val="20"/>
                <w:szCs w:val="20"/>
                <w:color w:val="auto"/>
              </w:rPr>
            </w:pPr>
            <w:r>
              <w:rPr>
                <w:rFonts w:ascii="Arial" w:cs="Arial" w:eastAsia="Arial" w:hAnsi="Arial"/>
                <w:sz w:val="18"/>
                <w:szCs w:val="18"/>
                <w:color w:val="auto"/>
              </w:rPr>
              <w:t>Non-financial income</w:t>
            </w:r>
          </w:p>
        </w:tc>
        <w:tc>
          <w:tcPr>
            <w:tcW w:w="760" w:type="dxa"/>
            <w:vAlign w:val="bottom"/>
          </w:tcPr>
          <w:p>
            <w:pPr>
              <w:jc w:val="right"/>
              <w:spacing w:after="0"/>
              <w:rPr>
                <w:sz w:val="20"/>
                <w:szCs w:val="20"/>
                <w:color w:val="auto"/>
              </w:rPr>
            </w:pPr>
            <w:r>
              <w:rPr>
                <w:rFonts w:ascii="Arial" w:cs="Arial" w:eastAsia="Arial" w:hAnsi="Arial"/>
                <w:sz w:val="18"/>
                <w:szCs w:val="18"/>
                <w:color w:val="auto"/>
              </w:rPr>
              <w:t>170,987</w:t>
            </w: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213,732</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217,358</w:t>
            </w:r>
          </w:p>
        </w:tc>
        <w:tc>
          <w:tcPr>
            <w:tcW w:w="1040" w:type="dxa"/>
            <w:vAlign w:val="bottom"/>
            <w:gridSpan w:val="2"/>
          </w:tcPr>
          <w:p>
            <w:pPr>
              <w:jc w:val="right"/>
              <w:ind w:right="52"/>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27.1%</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586,730</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609,155</w:t>
            </w:r>
          </w:p>
        </w:tc>
        <w:tc>
          <w:tcPr>
            <w:tcW w:w="10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3.8%</w:t>
            </w:r>
          </w:p>
        </w:tc>
      </w:tr>
      <w:tr>
        <w:trPr>
          <w:trHeight w:val="210"/>
        </w:trPr>
        <w:tc>
          <w:tcPr>
            <w:tcW w:w="2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Fee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143,492</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168,937</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149,029</w:t>
            </w:r>
          </w:p>
        </w:tc>
        <w:tc>
          <w:tcPr>
            <w:tcW w:w="10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349,752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465,560</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198"/>
        </w:trPr>
        <w:tc>
          <w:tcPr>
            <w:tcW w:w="2980" w:type="dxa"/>
            <w:vAlign w:val="bottom"/>
            <w:gridSpan w:val="2"/>
          </w:tcPr>
          <w:p>
            <w:pPr>
              <w:ind w:left="320"/>
              <w:spacing w:after="0" w:line="198" w:lineRule="exact"/>
              <w:rPr>
                <w:sz w:val="20"/>
                <w:szCs w:val="20"/>
                <w:color w:val="auto"/>
              </w:rPr>
            </w:pPr>
            <w:r>
              <w:rPr>
                <w:rFonts w:ascii="Arial" w:cs="Arial" w:eastAsia="Arial" w:hAnsi="Arial"/>
                <w:sz w:val="18"/>
                <w:szCs w:val="18"/>
                <w:color w:val="auto"/>
              </w:rPr>
              <w:t>Net gain on foreign exchange</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2"/>
        </w:trPr>
        <w:tc>
          <w:tcPr>
            <w:tcW w:w="2980" w:type="dxa"/>
            <w:vAlign w:val="bottom"/>
            <w:gridSpan w:val="2"/>
          </w:tcPr>
          <w:p>
            <w:pPr>
              <w:ind w:left="320"/>
              <w:spacing w:after="0"/>
              <w:rPr>
                <w:sz w:val="20"/>
                <w:szCs w:val="20"/>
                <w:color w:val="auto"/>
              </w:rPr>
            </w:pPr>
            <w:r>
              <w:rPr>
                <w:rFonts w:ascii="Arial" w:cs="Arial" w:eastAsia="Arial" w:hAnsi="Arial"/>
                <w:sz w:val="18"/>
                <w:szCs w:val="18"/>
                <w:color w:val="auto"/>
              </w:rPr>
              <w:t>transactions</w:t>
            </w:r>
          </w:p>
        </w:tc>
        <w:tc>
          <w:tcPr>
            <w:tcW w:w="760" w:type="dxa"/>
            <w:vAlign w:val="bottom"/>
          </w:tcPr>
          <w:p>
            <w:pPr>
              <w:jc w:val="right"/>
              <w:spacing w:after="0"/>
              <w:rPr>
                <w:sz w:val="20"/>
                <w:szCs w:val="20"/>
                <w:color w:val="auto"/>
              </w:rPr>
            </w:pPr>
            <w:r>
              <w:rPr>
                <w:rFonts w:ascii="Arial" w:cs="Arial" w:eastAsia="Arial" w:hAnsi="Arial"/>
                <w:sz w:val="18"/>
                <w:szCs w:val="18"/>
                <w:color w:val="auto"/>
              </w:rPr>
              <w:t>8,846</w:t>
            </w:r>
          </w:p>
        </w:tc>
        <w:tc>
          <w:tcPr>
            <w:tcW w:w="2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-8,270</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-3,033</w:t>
            </w:r>
          </w:p>
        </w:tc>
        <w:tc>
          <w:tcPr>
            <w:tcW w:w="1040" w:type="dxa"/>
            <w:vAlign w:val="bottom"/>
            <w:gridSpan w:val="2"/>
          </w:tcPr>
          <w:p>
            <w:pPr>
              <w:jc w:val="right"/>
              <w:ind w:right="52"/>
              <w:spacing w:after="0"/>
              <w:rPr>
                <w:sz w:val="20"/>
                <w:szCs w:val="20"/>
                <w:color w:val="auto"/>
              </w:rPr>
            </w:pPr>
            <w:r>
              <w:rPr>
                <w:rFonts w:ascii="Arial" w:cs="Arial" w:eastAsia="Arial" w:hAnsi="Arial"/>
                <w:sz w:val="18"/>
                <w:szCs w:val="18"/>
                <w:color w:val="auto"/>
              </w:rPr>
              <w:t>-63.3%</w:t>
            </w:r>
          </w:p>
        </w:tc>
        <w:tc>
          <w:tcPr>
            <w:tcW w:w="22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11,649</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985</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-91.5%</w:t>
            </w:r>
          </w:p>
        </w:tc>
      </w:tr>
      <w:tr>
        <w:trPr>
          <w:trHeight w:val="210"/>
        </w:trPr>
        <w:tc>
          <w:tcPr>
            <w:tcW w:w="2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gain on sales of securities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58,045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44,184</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34,790</w:t>
            </w:r>
          </w:p>
        </w:tc>
        <w:tc>
          <w:tcPr>
            <w:tcW w:w="10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-21.3%</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211,388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34,922</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-83.5%</w:t>
            </w:r>
          </w:p>
        </w:tc>
      </w:tr>
      <w:tr>
        <w:trPr>
          <w:trHeight w:val="210"/>
        </w:trPr>
        <w:tc>
          <w:tcPr>
            <w:tcW w:w="2980" w:type="dxa"/>
            <w:vAlign w:val="bottom"/>
            <w:gridSpan w:val="2"/>
          </w:tcPr>
          <w:p>
            <w:pPr>
              <w:ind w:left="320"/>
              <w:spacing w:after="0"/>
              <w:rPr>
                <w:sz w:val="20"/>
                <w:szCs w:val="20"/>
                <w:color w:val="auto"/>
              </w:rPr>
            </w:pPr>
            <w:r>
              <w:rPr>
                <w:rFonts w:ascii="Arial" w:cs="Arial" w:eastAsia="Arial" w:hAnsi="Arial"/>
                <w:sz w:val="18"/>
                <w:szCs w:val="18"/>
                <w:color w:val="auto"/>
              </w:rPr>
              <w:t>Derivative Result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-33,610</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14,447</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42,607</w:t>
            </w:r>
          </w:p>
        </w:tc>
        <w:tc>
          <w:tcPr>
            <w:tcW w:w="1040" w:type="dxa"/>
            <w:vAlign w:val="bottom"/>
            <w:gridSpan w:val="2"/>
          </w:tcPr>
          <w:p>
            <w:pPr>
              <w:jc w:val="right"/>
              <w:ind w:right="52"/>
              <w:spacing w:after="0"/>
              <w:rPr>
                <w:sz w:val="20"/>
                <w:szCs w:val="20"/>
                <w:color w:val="auto"/>
              </w:rPr>
            </w:pPr>
            <w:r>
              <w:rPr>
                <w:rFonts w:ascii="Arial" w:cs="Arial" w:eastAsia="Arial" w:hAnsi="Arial"/>
                <w:sz w:val="18"/>
                <w:szCs w:val="18"/>
                <w:color w:val="auto"/>
              </w:rPr>
              <w:t>194.9%</w:t>
            </w:r>
          </w:p>
        </w:tc>
        <w:tc>
          <w:tcPr>
            <w:tcW w:w="2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-24,399</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113,319</w:t>
            </w:r>
          </w:p>
        </w:tc>
        <w:tc>
          <w:tcPr>
            <w:tcW w:w="100" w:type="dxa"/>
            <w:vAlign w:val="bottom"/>
          </w:tcPr>
          <w:p>
            <w:pPr>
              <w:spacing w:after="0"/>
              <w:rPr>
                <w:sz w:val="18"/>
                <w:szCs w:val="18"/>
                <w:color w:val="auto"/>
              </w:rPr>
            </w:pPr>
          </w:p>
        </w:tc>
        <w:tc>
          <w:tcPr>
            <w:tcW w:w="1300" w:type="dxa"/>
            <w:vAlign w:val="bottom"/>
            <w:gridSpan w:val="2"/>
          </w:tcPr>
          <w:p>
            <w:pPr>
              <w:jc w:val="right"/>
              <w:ind w:right="92"/>
              <w:spacing w:after="0"/>
              <w:rPr>
                <w:sz w:val="20"/>
                <w:szCs w:val="20"/>
                <w:color w:val="auto"/>
              </w:rPr>
            </w:pPr>
            <w:r>
              <w:rPr>
                <w:rFonts w:ascii="Arial" w:cs="Arial" w:eastAsia="Arial" w:hAnsi="Arial"/>
                <w:sz w:val="18"/>
                <w:szCs w:val="18"/>
                <w:color w:val="auto"/>
              </w:rPr>
              <w:t>n.a</w:t>
            </w:r>
          </w:p>
        </w:tc>
      </w:tr>
      <w:tr>
        <w:trPr>
          <w:trHeight w:val="198"/>
        </w:trPr>
        <w:tc>
          <w:tcPr>
            <w:tcW w:w="2980" w:type="dxa"/>
            <w:vAlign w:val="bottom"/>
            <w:gridSpan w:val="2"/>
            <w:shd w:val="clear" w:color="auto" w:fill="CCEEFF"/>
          </w:tcPr>
          <w:p>
            <w:pPr>
              <w:ind w:left="320"/>
              <w:spacing w:after="0" w:line="198" w:lineRule="exact"/>
              <w:rPr>
                <w:sz w:val="20"/>
                <w:szCs w:val="20"/>
                <w:color w:val="auto"/>
              </w:rPr>
            </w:pPr>
            <w:r>
              <w:rPr>
                <w:rFonts w:ascii="Arial" w:cs="Arial" w:eastAsia="Arial" w:hAnsi="Arial"/>
                <w:sz w:val="18"/>
                <w:szCs w:val="18"/>
                <w:color w:val="auto"/>
              </w:rPr>
              <w:t>Result from exposure to the</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22"/>
        </w:trPr>
        <w:tc>
          <w:tcPr>
            <w:tcW w:w="2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exchange rate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-11,695</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-10,599</w:t>
            </w:r>
          </w:p>
        </w:tc>
        <w:tc>
          <w:tcPr>
            <w:tcW w:w="10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21,077</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-23,295</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n.a</w:t>
            </w:r>
          </w:p>
        </w:tc>
      </w:tr>
      <w:tr>
        <w:trPr>
          <w:trHeight w:val="210"/>
        </w:trPr>
        <w:tc>
          <w:tcPr>
            <w:tcW w:w="2980" w:type="dxa"/>
            <w:vAlign w:val="bottom"/>
            <w:gridSpan w:val="2"/>
          </w:tcPr>
          <w:p>
            <w:pPr>
              <w:ind w:left="320"/>
              <w:spacing w:after="0"/>
              <w:rPr>
                <w:sz w:val="20"/>
                <w:szCs w:val="20"/>
                <w:color w:val="auto"/>
              </w:rPr>
            </w:pPr>
            <w:r>
              <w:rPr>
                <w:rFonts w:ascii="Arial" w:cs="Arial" w:eastAsia="Arial" w:hAnsi="Arial"/>
                <w:sz w:val="18"/>
                <w:szCs w:val="18"/>
                <w:color w:val="auto"/>
              </w:rPr>
              <w:t>Other income</w:t>
            </w:r>
          </w:p>
        </w:tc>
        <w:tc>
          <w:tcPr>
            <w:tcW w:w="760" w:type="dxa"/>
            <w:vAlign w:val="bottom"/>
          </w:tcPr>
          <w:p>
            <w:pPr>
              <w:jc w:val="right"/>
              <w:spacing w:after="0"/>
              <w:rPr>
                <w:sz w:val="20"/>
                <w:szCs w:val="20"/>
                <w:color w:val="auto"/>
              </w:rPr>
            </w:pPr>
            <w:r>
              <w:rPr>
                <w:rFonts w:ascii="Arial" w:cs="Arial" w:eastAsia="Arial" w:hAnsi="Arial"/>
                <w:sz w:val="18"/>
                <w:szCs w:val="18"/>
                <w:color w:val="auto"/>
              </w:rPr>
              <w:t>-11,092</w:t>
            </w: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6,129</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4,564</w:t>
            </w:r>
          </w:p>
        </w:tc>
        <w:tc>
          <w:tcPr>
            <w:tcW w:w="1040" w:type="dxa"/>
            <w:vAlign w:val="bottom"/>
            <w:gridSpan w:val="2"/>
          </w:tcPr>
          <w:p>
            <w:pPr>
              <w:jc w:val="right"/>
              <w:ind w:right="52"/>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17,263</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17,664</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2.3%</w:t>
            </w:r>
          </w:p>
        </w:tc>
      </w:tr>
      <w:tr>
        <w:trPr>
          <w:trHeight w:val="263"/>
        </w:trPr>
        <w:tc>
          <w:tcPr>
            <w:tcW w:w="2980" w:type="dxa"/>
            <w:vAlign w:val="bottom"/>
            <w:gridSpan w:val="2"/>
            <w:shd w:val="clear" w:color="auto" w:fill="CCEEFF"/>
          </w:tcPr>
          <w:p>
            <w:pPr>
              <w:spacing w:after="0" w:line="262" w:lineRule="exact"/>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29"/>
                <w:szCs w:val="29"/>
                <w:color w:val="auto"/>
                <w:vertAlign w:val="superscript"/>
              </w:rPr>
              <w:t>(1)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-208,324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-162,087</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-166,716</w:t>
            </w:r>
          </w:p>
        </w:tc>
        <w:tc>
          <w:tcPr>
            <w:tcW w:w="10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-503,081</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-485,488</w:t>
            </w:r>
          </w:p>
        </w:tc>
        <w:tc>
          <w:tcPr>
            <w:tcW w:w="100" w:type="dxa"/>
            <w:vAlign w:val="bottom"/>
            <w:shd w:val="clear" w:color="auto" w:fill="CCEEFF"/>
          </w:tcPr>
          <w:p>
            <w:pPr>
              <w:spacing w:after="0"/>
              <w:rPr>
                <w:sz w:val="22"/>
                <w:szCs w:val="22"/>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03"/>
        </w:trPr>
        <w:tc>
          <w:tcPr>
            <w:tcW w:w="298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b w:val="1"/>
                <w:bCs w:val="1"/>
                <w:color w:val="auto"/>
              </w:rPr>
              <w:t>Operating income</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-19,551</w:t>
            </w:r>
          </w:p>
        </w:tc>
        <w:tc>
          <w:tcPr>
            <w:tcW w:w="22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74,700</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64,932</w:t>
            </w:r>
          </w:p>
        </w:tc>
        <w:tc>
          <w:tcPr>
            <w:tcW w:w="20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-13.1</w:t>
            </w:r>
          </w:p>
        </w:tc>
        <w:tc>
          <w:tcPr>
            <w:tcW w:w="280" w:type="dxa"/>
            <w:vAlign w:val="bottom"/>
            <w:tcBorders>
              <w:bottom w:val="single" w:sz="8" w:color="CCEEFF"/>
            </w:tcBorders>
          </w:tcPr>
          <w:p>
            <w:pPr>
              <w:jc w:val="right"/>
              <w:ind w:right="32"/>
              <w:spacing w:after="0" w:line="203" w:lineRule="exact"/>
              <w:rPr>
                <w:sz w:val="20"/>
                <w:szCs w:val="20"/>
                <w:color w:val="auto"/>
              </w:rPr>
            </w:pPr>
            <w:r>
              <w:rPr>
                <w:rFonts w:ascii="Arial" w:cs="Arial" w:eastAsia="Arial" w:hAnsi="Arial"/>
                <w:sz w:val="18"/>
                <w:szCs w:val="18"/>
                <w:b w:val="1"/>
                <w:bCs w:val="1"/>
                <w:color w:val="auto"/>
                <w:w w:val="87"/>
              </w:rPr>
              <w:t>%</w:t>
            </w:r>
          </w:p>
        </w:tc>
        <w:tc>
          <w:tcPr>
            <w:tcW w:w="2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n.a</w:t>
            </w:r>
          </w:p>
        </w:tc>
        <w:tc>
          <w:tcPr>
            <w:tcW w:w="26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132,704</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184,099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38.7</w:t>
            </w:r>
          </w:p>
        </w:tc>
        <w:tc>
          <w:tcPr>
            <w:tcW w:w="18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b w:val="1"/>
                <w:bCs w:val="1"/>
                <w:color w:val="auto"/>
                <w:w w:val="99"/>
              </w:rPr>
              <w:t>%</w:t>
            </w:r>
          </w:p>
        </w:tc>
      </w:tr>
      <w:tr>
        <w:trPr>
          <w:trHeight w:val="203"/>
        </w:trPr>
        <w:tc>
          <w:tcPr>
            <w:tcW w:w="2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-14,397</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-9,314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-9,284</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-35.5%</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-23,940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-25,735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7.5%</w:t>
            </w:r>
          </w:p>
        </w:tc>
      </w:tr>
      <w:tr>
        <w:trPr>
          <w:trHeight w:val="223"/>
        </w:trPr>
        <w:tc>
          <w:tcPr>
            <w:tcW w:w="298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219</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943</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1,537</w:t>
            </w:r>
          </w:p>
        </w:tc>
        <w:tc>
          <w:tcPr>
            <w:tcW w:w="1040" w:type="dxa"/>
            <w:vAlign w:val="bottom"/>
            <w:gridSpan w:val="2"/>
          </w:tcPr>
          <w:p>
            <w:pPr>
              <w:jc w:val="right"/>
              <w:ind w:right="52"/>
              <w:spacing w:after="0"/>
              <w:rPr>
                <w:sz w:val="20"/>
                <w:szCs w:val="20"/>
                <w:color w:val="auto"/>
              </w:rPr>
            </w:pPr>
            <w:r>
              <w:rPr>
                <w:rFonts w:ascii="Arial" w:cs="Arial" w:eastAsia="Arial" w:hAnsi="Arial"/>
                <w:sz w:val="18"/>
                <w:szCs w:val="18"/>
                <w:color w:val="auto"/>
              </w:rPr>
              <w:t>63.0%</w:t>
            </w:r>
          </w:p>
        </w:tc>
        <w:tc>
          <w:tcPr>
            <w:tcW w:w="22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92"/>
              <w:spacing w:after="0"/>
              <w:rPr>
                <w:sz w:val="20"/>
                <w:szCs w:val="20"/>
                <w:color w:val="auto"/>
              </w:rPr>
            </w:pPr>
            <w:r>
              <w:rPr>
                <w:rFonts w:ascii="Arial" w:cs="Arial" w:eastAsia="Arial" w:hAnsi="Arial"/>
                <w:sz w:val="18"/>
                <w:szCs w:val="18"/>
                <w:color w:val="auto"/>
              </w:rPr>
              <w:t>n.a</w:t>
            </w:r>
          </w:p>
        </w:tc>
      </w:tr>
      <w:tr>
        <w:trPr>
          <w:trHeight w:val="217"/>
        </w:trPr>
        <w:tc>
          <w:tcPr>
            <w:tcW w:w="2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-34,167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64,443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54,111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280" w:type="dxa"/>
            <w:vAlign w:val="bottom"/>
            <w:tcBorders>
              <w:top w:val="single" w:sz="8" w:color="CCEEFF"/>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87"/>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n.a</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108,401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155,255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43.2</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17837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 Unaudited results.</w:t>
      </w:r>
    </w:p>
    <w:p>
      <w:pPr>
        <w:spacing w:after="0" w:line="15" w:lineRule="exact"/>
        <w:rPr>
          <w:sz w:val="20"/>
          <w:szCs w:val="20"/>
          <w:color w:val="auto"/>
        </w:rPr>
      </w:pPr>
    </w:p>
    <w:p>
      <w:pPr>
        <w:ind w:firstLine="5"/>
        <w:spacing w:after="0" w:line="247" w:lineRule="auto"/>
        <w:tabs>
          <w:tab w:leader="none" w:pos="252"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Includes: Salaries and employee benefits + Administrative expenses + Assigned expenses + Depreciation and amortization + Tax and contributions + Other expenses.</w:t>
      </w:r>
    </w:p>
    <w:p>
      <w:pPr>
        <w:spacing w:after="0" w:line="192"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1361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28"/>
        </w:trPr>
        <w:tc>
          <w:tcPr>
            <w:tcW w:w="3160" w:type="dxa"/>
            <w:vAlign w:val="bottom"/>
          </w:tcPr>
          <w:p>
            <w:pPr>
              <w:spacing w:after="0"/>
              <w:rPr>
                <w:sz w:val="20"/>
                <w:szCs w:val="20"/>
                <w:color w:val="auto"/>
              </w:rPr>
            </w:pPr>
            <w:r>
              <w:rPr>
                <w:rFonts w:ascii="Arial" w:cs="Arial" w:eastAsia="Arial" w:hAnsi="Arial"/>
                <w:sz w:val="18"/>
                <w:szCs w:val="18"/>
                <w:b w:val="1"/>
                <w:bCs w:val="1"/>
                <w:color w:val="auto"/>
              </w:rPr>
              <w:t>12.9. Grupo Pacifico</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33"/>
        </w:trPr>
        <w:tc>
          <w:tcPr>
            <w:tcW w:w="3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As of</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60" w:type="dxa"/>
            <w:vAlign w:val="bottom"/>
            <w:gridSpan w:val="4"/>
          </w:tcPr>
          <w:p>
            <w:pPr>
              <w:jc w:val="right"/>
              <w:ind w:right="3580"/>
              <w:spacing w:after="0"/>
              <w:rPr>
                <w:sz w:val="20"/>
                <w:szCs w:val="20"/>
                <w:color w:val="auto"/>
              </w:rPr>
            </w:pPr>
            <w:r>
              <w:rPr>
                <w:rFonts w:ascii="Arial" w:cs="Arial" w:eastAsia="Arial" w:hAnsi="Arial"/>
                <w:sz w:val="18"/>
                <w:szCs w:val="18"/>
                <w:b w:val="1"/>
                <w:bCs w:val="1"/>
                <w:color w:val="auto"/>
              </w:rPr>
              <w:t>% change</w:t>
            </w:r>
          </w:p>
        </w:tc>
      </w:tr>
      <w:tr>
        <w:trPr>
          <w:trHeight w:val="217"/>
        </w:trPr>
        <w:tc>
          <w:tcPr>
            <w:tcW w:w="31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Sep 20</w:t>
            </w:r>
          </w:p>
        </w:tc>
        <w:tc>
          <w:tcPr>
            <w:tcW w:w="22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Jun 21</w:t>
            </w:r>
          </w:p>
        </w:tc>
        <w:tc>
          <w:tcPr>
            <w:tcW w:w="22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Sep 21</w:t>
            </w:r>
          </w:p>
        </w:tc>
        <w:tc>
          <w:tcPr>
            <w:tcW w:w="22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QoQ</w:t>
            </w:r>
          </w:p>
        </w:tc>
        <w:tc>
          <w:tcPr>
            <w:tcW w:w="320" w:type="dxa"/>
            <w:vAlign w:val="bottom"/>
            <w:tcBorders>
              <w:top w:val="single" w:sz="8" w:color="auto"/>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YoY</w:t>
            </w:r>
          </w:p>
        </w:tc>
        <w:tc>
          <w:tcPr>
            <w:tcW w:w="3140" w:type="dxa"/>
            <w:vAlign w:val="bottom"/>
            <w:tcBorders>
              <w:bottom w:val="single" w:sz="8" w:color="CCEEFF"/>
            </w:tcBorders>
          </w:tcPr>
          <w:p>
            <w:pPr>
              <w:spacing w:after="0"/>
              <w:rPr>
                <w:sz w:val="18"/>
                <w:szCs w:val="18"/>
                <w:color w:val="auto"/>
              </w:rPr>
            </w:pPr>
          </w:p>
        </w:tc>
      </w:tr>
      <w:tr>
        <w:trPr>
          <w:trHeight w:val="203"/>
        </w:trPr>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15,115,751</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15,775,105</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15,949,391</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1.1%</w:t>
            </w:r>
          </w:p>
        </w:tc>
        <w:tc>
          <w:tcPr>
            <w:tcW w:w="3800" w:type="dxa"/>
            <w:vAlign w:val="bottom"/>
            <w:gridSpan w:val="2"/>
            <w:shd w:val="clear" w:color="auto" w:fill="CCEEFF"/>
          </w:tcPr>
          <w:p>
            <w:pPr>
              <w:jc w:val="right"/>
              <w:ind w:right="3000"/>
              <w:spacing w:after="0" w:line="203" w:lineRule="exact"/>
              <w:rPr>
                <w:sz w:val="20"/>
                <w:szCs w:val="20"/>
                <w:color w:val="auto"/>
              </w:rPr>
            </w:pPr>
            <w:r>
              <w:rPr>
                <w:rFonts w:ascii="Arial" w:cs="Arial" w:eastAsia="Arial" w:hAnsi="Arial"/>
                <w:sz w:val="18"/>
                <w:szCs w:val="18"/>
                <w:color w:val="auto"/>
              </w:rPr>
              <w:t>5.5%</w:t>
            </w:r>
          </w:p>
        </w:tc>
      </w:tr>
      <w:tr>
        <w:trPr>
          <w:trHeight w:val="249"/>
        </w:trPr>
        <w:tc>
          <w:tcPr>
            <w:tcW w:w="3160" w:type="dxa"/>
            <w:vAlign w:val="bottom"/>
          </w:tcPr>
          <w:p>
            <w:pPr>
              <w:spacing w:after="0" w:line="249" w:lineRule="exact"/>
              <w:rPr>
                <w:sz w:val="20"/>
                <w:szCs w:val="20"/>
                <w:color w:val="auto"/>
              </w:rPr>
            </w:pPr>
            <w:r>
              <w:rPr>
                <w:rFonts w:ascii="Arial" w:cs="Arial" w:eastAsia="Arial" w:hAnsi="Arial"/>
                <w:sz w:val="17"/>
                <w:szCs w:val="17"/>
                <w:color w:val="auto"/>
              </w:rPr>
              <w:t xml:space="preserve">Invesment on securities </w:t>
            </w:r>
            <w:r>
              <w:rPr>
                <w:rFonts w:ascii="Arial" w:cs="Arial" w:eastAsia="Arial" w:hAnsi="Arial"/>
                <w:sz w:val="28"/>
                <w:szCs w:val="28"/>
                <w:color w:val="auto"/>
                <w:vertAlign w:val="superscript"/>
              </w:rPr>
              <w:t>(6)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11,625,405</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12,102,502</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12,129,220</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3800" w:type="dxa"/>
            <w:vAlign w:val="bottom"/>
            <w:gridSpan w:val="2"/>
          </w:tcPr>
          <w:p>
            <w:pPr>
              <w:jc w:val="right"/>
              <w:ind w:right="3000"/>
              <w:spacing w:after="0"/>
              <w:rPr>
                <w:sz w:val="20"/>
                <w:szCs w:val="20"/>
                <w:color w:val="auto"/>
              </w:rPr>
            </w:pPr>
            <w:r>
              <w:rPr>
                <w:rFonts w:ascii="Arial" w:cs="Arial" w:eastAsia="Arial" w:hAnsi="Arial"/>
                <w:sz w:val="18"/>
                <w:szCs w:val="18"/>
                <w:color w:val="auto"/>
              </w:rPr>
              <w:t>4.3%</w:t>
            </w: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Technical reserves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11,098,905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12,173,277</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12,531,003</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3800" w:type="dxa"/>
            <w:vAlign w:val="bottom"/>
            <w:gridSpan w:val="2"/>
            <w:shd w:val="clear" w:color="auto" w:fill="CCEEFF"/>
          </w:tcPr>
          <w:p>
            <w:pPr>
              <w:jc w:val="right"/>
              <w:ind w:right="3000"/>
              <w:spacing w:after="0"/>
              <w:rPr>
                <w:sz w:val="20"/>
                <w:szCs w:val="20"/>
                <w:color w:val="auto"/>
              </w:rPr>
            </w:pPr>
            <w:r>
              <w:rPr>
                <w:rFonts w:ascii="Arial" w:cs="Arial" w:eastAsia="Arial" w:hAnsi="Arial"/>
                <w:sz w:val="18"/>
                <w:szCs w:val="18"/>
                <w:color w:val="auto"/>
              </w:rPr>
              <w:t>12.9%</w:t>
            </w:r>
          </w:p>
        </w:tc>
      </w:t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Net equity</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2,829,498</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2,125,685</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1,895,643</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-10.8%</w:t>
            </w:r>
          </w:p>
        </w:tc>
        <w:tc>
          <w:tcPr>
            <w:tcW w:w="3800" w:type="dxa"/>
            <w:vAlign w:val="bottom"/>
            <w:gridSpan w:val="2"/>
          </w:tcPr>
          <w:p>
            <w:pPr>
              <w:jc w:val="right"/>
              <w:ind w:right="3000"/>
              <w:spacing w:after="0"/>
              <w:rPr>
                <w:sz w:val="20"/>
                <w:szCs w:val="20"/>
                <w:color w:val="auto"/>
              </w:rPr>
            </w:pPr>
            <w:r>
              <w:rPr>
                <w:rFonts w:ascii="Arial" w:cs="Arial" w:eastAsia="Arial" w:hAnsi="Arial"/>
                <w:sz w:val="18"/>
                <w:szCs w:val="18"/>
                <w:color w:val="auto"/>
              </w:rPr>
              <w:t>-33.0%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5280025</wp:posOffset>
            </wp:positionH>
            <wp:positionV relativeFrom="paragraph">
              <wp:posOffset>-574040</wp:posOffset>
            </wp:positionV>
            <wp:extent cx="1859280" cy="1416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859280" cy="141605"/>
                    </a:xfrm>
                    <a:prstGeom prst="rect">
                      <a:avLst/>
                    </a:prstGeom>
                    <a:noFill/>
                  </pic:spPr>
                </pic:pic>
              </a:graphicData>
            </a:graphic>
          </wp:anchor>
        </w:drawing>
        <w:drawing>
          <wp:anchor simplePos="0" relativeHeight="251657728" behindDoc="1" locked="0" layoutInCell="0" allowOverlap="1">
            <wp:simplePos x="0" y="0"/>
            <wp:positionH relativeFrom="column">
              <wp:posOffset>5280025</wp:posOffset>
            </wp:positionH>
            <wp:positionV relativeFrom="paragraph">
              <wp:posOffset>-273685</wp:posOffset>
            </wp:positionV>
            <wp:extent cx="1859280" cy="133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859280" cy="133350"/>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Quarter</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3"/>
          </w:tcPr>
          <w:p>
            <w:pPr>
              <w:ind w:left="480"/>
              <w:spacing w:after="0"/>
              <w:rPr>
                <w:sz w:val="20"/>
                <w:szCs w:val="20"/>
                <w:color w:val="auto"/>
              </w:rPr>
            </w:pPr>
            <w:r>
              <w:rPr>
                <w:rFonts w:ascii="Arial" w:cs="Arial" w:eastAsia="Arial" w:hAnsi="Arial"/>
                <w:sz w:val="16"/>
                <w:szCs w:val="16"/>
                <w:b w:val="1"/>
                <w:bCs w:val="1"/>
                <w:color w:val="auto"/>
                <w:w w:val="90"/>
              </w:rPr>
              <w:t>% change</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ind w:left="740"/>
              <w:spacing w:after="0"/>
              <w:rPr>
                <w:sz w:val="20"/>
                <w:szCs w:val="20"/>
                <w:color w:val="auto"/>
              </w:rPr>
            </w:pPr>
            <w:r>
              <w:rPr>
                <w:rFonts w:ascii="Arial" w:cs="Arial" w:eastAsia="Arial" w:hAnsi="Arial"/>
                <w:sz w:val="16"/>
                <w:szCs w:val="16"/>
                <w:b w:val="1"/>
                <w:bCs w:val="1"/>
                <w:color w:val="auto"/>
              </w:rPr>
              <w:t>YTD</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6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3Q20</w:t>
            </w:r>
          </w:p>
        </w:tc>
        <w:tc>
          <w:tcPr>
            <w:tcW w:w="220" w:type="dxa"/>
            <w:vAlign w:val="bottom"/>
            <w:tcBorders>
              <w:top w:val="single" w:sz="8" w:color="auto"/>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2Q21</w:t>
            </w:r>
          </w:p>
        </w:tc>
        <w:tc>
          <w:tcPr>
            <w:tcW w:w="240" w:type="dxa"/>
            <w:vAlign w:val="bottom"/>
            <w:tcBorders>
              <w:top w:val="single" w:sz="8" w:color="auto"/>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3Q21</w:t>
            </w:r>
          </w:p>
        </w:tc>
        <w:tc>
          <w:tcPr>
            <w:tcW w:w="240" w:type="dxa"/>
            <w:vAlign w:val="bottom"/>
            <w:tcBorders>
              <w:bottom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b w:val="1"/>
                <w:bCs w:val="1"/>
                <w:color w:val="auto"/>
              </w:rPr>
              <w:t>QoQ</w:t>
            </w:r>
          </w:p>
        </w:tc>
        <w:tc>
          <w:tcPr>
            <w:tcW w:w="34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YoY</w:t>
            </w:r>
          </w:p>
        </w:tc>
        <w:tc>
          <w:tcPr>
            <w:tcW w:w="34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Sep20</w:t>
            </w:r>
          </w:p>
        </w:tc>
        <w:tc>
          <w:tcPr>
            <w:tcW w:w="24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Sep21</w:t>
            </w:r>
          </w:p>
        </w:tc>
        <w:tc>
          <w:tcPr>
            <w:tcW w:w="24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Sep 21 / Sep 20</w:t>
            </w:r>
          </w:p>
        </w:tc>
        <w:tc>
          <w:tcPr>
            <w:tcW w:w="2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Net earned premiums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602,361</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643,970</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677,204</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5.2%</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12.4%</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1,803,822</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1,972,683</w:t>
            </w:r>
          </w:p>
        </w:tc>
        <w:tc>
          <w:tcPr>
            <w:tcW w:w="2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Arial" w:cs="Arial" w:eastAsia="Arial" w:hAnsi="Arial"/>
                <w:sz w:val="16"/>
                <w:szCs w:val="16"/>
                <w:color w:val="auto"/>
              </w:rPr>
              <w:t>Net claims</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(517,735)</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(691,450)</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(517,950)</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-25.1%</w:t>
            </w:r>
          </w:p>
        </w:tc>
        <w:tc>
          <w:tcPr>
            <w:tcW w:w="2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0.0%</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(1,236,412)</w:t>
            </w:r>
          </w:p>
        </w:tc>
        <w:tc>
          <w:tcPr>
            <w:tcW w:w="8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w w:val="90"/>
              </w:rPr>
              <w:t>(1,837,191)</w:t>
            </w: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Net fees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(123,463)</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(144,590)</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(149,570)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3.4%</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21.1%</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(398,378)</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(436,859)</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Arial" w:cs="Arial" w:eastAsia="Arial" w:hAnsi="Arial"/>
                <w:sz w:val="16"/>
                <w:szCs w:val="16"/>
                <w:color w:val="auto"/>
              </w:rPr>
              <w:t>Net underwriting expenses</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(26,991)</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(31,136)</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(35,798)</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15.0%</w:t>
            </w:r>
          </w:p>
        </w:tc>
        <w:tc>
          <w:tcPr>
            <w:tcW w:w="2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32.6%</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(117,255)</w:t>
            </w:r>
          </w:p>
        </w:tc>
        <w:tc>
          <w:tcPr>
            <w:tcW w:w="8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(97,152)</w:t>
            </w: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Underwriting result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(65,828)</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(223,206)</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(26,115)</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-88.3%</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-60.3%</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51,776</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(398,519)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n.a.</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Arial" w:cs="Arial" w:eastAsia="Arial" w:hAnsi="Arial"/>
                <w:sz w:val="16"/>
                <w:szCs w:val="16"/>
                <w:color w:val="auto"/>
              </w:rPr>
              <w:t>Net financial income</w:t>
            </w:r>
          </w:p>
        </w:tc>
        <w:tc>
          <w:tcPr>
            <w:tcW w:w="680" w:type="dxa"/>
            <w:vAlign w:val="bottom"/>
          </w:tcPr>
          <w:p>
            <w:pPr>
              <w:jc w:val="right"/>
              <w:spacing w:after="0"/>
              <w:rPr>
                <w:sz w:val="20"/>
                <w:szCs w:val="20"/>
                <w:color w:val="auto"/>
              </w:rPr>
            </w:pPr>
            <w:r>
              <w:rPr>
                <w:rFonts w:ascii="Arial" w:cs="Arial" w:eastAsia="Arial" w:hAnsi="Arial"/>
                <w:sz w:val="16"/>
                <w:szCs w:val="16"/>
                <w:color w:val="auto"/>
              </w:rPr>
              <w:t>149,354</w:t>
            </w:r>
          </w:p>
        </w:tc>
        <w:tc>
          <w:tcPr>
            <w:tcW w:w="2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159,184</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182,019</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14.3%</w:t>
            </w:r>
          </w:p>
        </w:tc>
        <w:tc>
          <w:tcPr>
            <w:tcW w:w="2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21.9%</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422,101</w:t>
            </w:r>
          </w:p>
        </w:tc>
        <w:tc>
          <w:tcPr>
            <w:tcW w:w="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490,661</w:t>
            </w: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Total expenses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(105,640)</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(103,844)</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(111,326)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7.2%</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5.4%</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(323,726)</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(324,006)</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Arial" w:cs="Arial" w:eastAsia="Arial" w:hAnsi="Arial"/>
                <w:sz w:val="16"/>
                <w:szCs w:val="16"/>
                <w:color w:val="auto"/>
              </w:rPr>
              <w:t>Other income</w:t>
            </w:r>
          </w:p>
        </w:tc>
        <w:tc>
          <w:tcPr>
            <w:tcW w:w="680" w:type="dxa"/>
            <w:vAlign w:val="bottom"/>
          </w:tcPr>
          <w:p>
            <w:pPr>
              <w:jc w:val="right"/>
              <w:spacing w:after="0"/>
              <w:rPr>
                <w:sz w:val="20"/>
                <w:szCs w:val="20"/>
                <w:color w:val="auto"/>
              </w:rPr>
            </w:pPr>
            <w:r>
              <w:rPr>
                <w:rFonts w:ascii="Arial" w:cs="Arial" w:eastAsia="Arial" w:hAnsi="Arial"/>
                <w:sz w:val="16"/>
                <w:szCs w:val="16"/>
                <w:color w:val="auto"/>
              </w:rPr>
              <w:t>9,972</w:t>
            </w:r>
          </w:p>
        </w:tc>
        <w:tc>
          <w:tcPr>
            <w:tcW w:w="2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10,177</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16,413</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61.3%</w:t>
            </w:r>
          </w:p>
        </w:tc>
        <w:tc>
          <w:tcPr>
            <w:tcW w:w="2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64.6%</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29,746</w:t>
            </w:r>
          </w:p>
        </w:tc>
        <w:tc>
          <w:tcPr>
            <w:tcW w:w="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29,832</w:t>
            </w: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Traslations results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(1,500)</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(92)</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547</w:t>
            </w:r>
          </w:p>
        </w:tc>
        <w:tc>
          <w:tcPr>
            <w:tcW w:w="1180" w:type="dxa"/>
            <w:vAlign w:val="bottom"/>
            <w:gridSpan w:val="3"/>
            <w:shd w:val="clear" w:color="auto" w:fill="CCEEFF"/>
          </w:tcPr>
          <w:p>
            <w:pPr>
              <w:ind w:left="420"/>
              <w:spacing w:after="0"/>
              <w:rPr>
                <w:sz w:val="20"/>
                <w:szCs w:val="20"/>
                <w:color w:val="auto"/>
              </w:rPr>
            </w:pPr>
            <w:r>
              <w:rPr>
                <w:rFonts w:ascii="Arial" w:cs="Arial" w:eastAsia="Arial" w:hAnsi="Arial"/>
                <w:sz w:val="16"/>
                <w:szCs w:val="16"/>
                <w:color w:val="auto"/>
              </w:rPr>
              <w:t>n.a.</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3"/>
              </w:rPr>
              <w:t>-136.5%</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241</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1,022</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324.6%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Arial" w:cs="Arial" w:eastAsia="Arial" w:hAnsi="Arial"/>
                <w:sz w:val="16"/>
                <w:szCs w:val="16"/>
                <w:color w:val="auto"/>
              </w:rPr>
              <w:t>EPS business &amp; Medical Services deduction</w:t>
            </w:r>
          </w:p>
        </w:tc>
        <w:tc>
          <w:tcPr>
            <w:tcW w:w="680" w:type="dxa"/>
            <w:vAlign w:val="bottom"/>
          </w:tcPr>
          <w:p>
            <w:pPr>
              <w:jc w:val="right"/>
              <w:spacing w:after="0"/>
              <w:rPr>
                <w:sz w:val="20"/>
                <w:szCs w:val="20"/>
                <w:color w:val="auto"/>
              </w:rPr>
            </w:pPr>
            <w:r>
              <w:rPr>
                <w:rFonts w:ascii="Arial" w:cs="Arial" w:eastAsia="Arial" w:hAnsi="Arial"/>
                <w:sz w:val="16"/>
                <w:szCs w:val="16"/>
                <w:color w:val="auto"/>
              </w:rPr>
              <w:t>9,417</w:t>
            </w:r>
          </w:p>
        </w:tc>
        <w:tc>
          <w:tcPr>
            <w:tcW w:w="2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8,800</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12,994</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47.7%</w:t>
            </w:r>
          </w:p>
        </w:tc>
        <w:tc>
          <w:tcPr>
            <w:tcW w:w="2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38.0%</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43,409</w:t>
            </w:r>
          </w:p>
        </w:tc>
        <w:tc>
          <w:tcPr>
            <w:tcW w:w="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45,171</w:t>
            </w: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Medical Assistance insurance deduction</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(10,566)</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(8,879)</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(10,426)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17.4%</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(34,940)</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(33,211)</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Arial" w:cs="Arial" w:eastAsia="Arial" w:hAnsi="Arial"/>
                <w:sz w:val="16"/>
                <w:szCs w:val="16"/>
                <w:color w:val="auto"/>
              </w:rPr>
              <w:t>Income tax</w:t>
            </w:r>
          </w:p>
        </w:tc>
        <w:tc>
          <w:tcPr>
            <w:tcW w:w="680" w:type="dxa"/>
            <w:vAlign w:val="bottom"/>
          </w:tcPr>
          <w:p>
            <w:pPr>
              <w:jc w:val="right"/>
              <w:spacing w:after="0"/>
              <w:rPr>
                <w:sz w:val="20"/>
                <w:szCs w:val="20"/>
                <w:color w:val="auto"/>
              </w:rPr>
            </w:pPr>
            <w:r>
              <w:rPr>
                <w:rFonts w:ascii="Arial" w:cs="Arial" w:eastAsia="Arial" w:hAnsi="Arial"/>
                <w:sz w:val="16"/>
                <w:szCs w:val="16"/>
                <w:color w:val="auto"/>
              </w:rPr>
              <w:t>86</w:t>
            </w: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(2,029)</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(333)</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-83.6%</w:t>
            </w:r>
          </w:p>
        </w:tc>
        <w:tc>
          <w:tcPr>
            <w:tcW w:w="200" w:type="dxa"/>
            <w:vAlign w:val="bottom"/>
          </w:tcPr>
          <w:p>
            <w:pPr>
              <w:spacing w:after="0"/>
              <w:rPr>
                <w:sz w:val="17"/>
                <w:szCs w:val="17"/>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6"/>
                <w:szCs w:val="16"/>
                <w:color w:val="auto"/>
              </w:rPr>
              <w:t>n.a.</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(2,589)</w:t>
            </w:r>
          </w:p>
        </w:tc>
        <w:tc>
          <w:tcPr>
            <w:tcW w:w="8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(3,761)</w:t>
            </w: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160" w:type="dxa"/>
            <w:vAlign w:val="bottom"/>
          </w:tcPr>
          <w:p>
            <w:pPr>
              <w:spacing w:after="0"/>
              <w:rPr>
                <w:sz w:val="20"/>
                <w:szCs w:val="20"/>
                <w:color w:val="auto"/>
              </w:rPr>
            </w:pPr>
            <w:r>
              <w:rPr>
                <w:rFonts w:ascii="Arial" w:cs="Arial" w:eastAsia="Arial" w:hAnsi="Arial"/>
                <w:sz w:val="16"/>
                <w:szCs w:val="16"/>
                <w:b w:val="1"/>
                <w:bCs w:val="1"/>
                <w:color w:val="auto"/>
              </w:rPr>
              <w:t>Income before minority interest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(14,705)</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(159,887)</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63,773</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-139.9%</w:t>
            </w:r>
          </w:p>
        </w:tc>
        <w:tc>
          <w:tcPr>
            <w:tcW w:w="200" w:type="dxa"/>
            <w:vAlign w:val="bottom"/>
          </w:tcPr>
          <w:p>
            <w:pPr>
              <w:spacing w:after="0"/>
              <w:rPr>
                <w:sz w:val="17"/>
                <w:szCs w:val="17"/>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n.a.</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186,018</w:t>
            </w:r>
          </w:p>
        </w:tc>
        <w:tc>
          <w:tcPr>
            <w:tcW w:w="8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(192,812)</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-203.7%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(659)</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(1,245)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89.0%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3"/>
              </w:rPr>
              <w:t>-183.2%</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(2,875)</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(3,633)</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(13,209)</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(160,546)</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62,529</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-138.9%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n.a.</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183,143</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(196,445)</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-207.3%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Arial" w:cs="Arial" w:eastAsia="Arial" w:hAnsi="Arial"/>
                <w:sz w:val="16"/>
                <w:szCs w:val="16"/>
                <w:b w:val="1"/>
                <w:bCs w:val="1"/>
                <w:color w:val="auto"/>
              </w:rPr>
              <w:t>Ratios</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Ceded</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16.8%</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130bps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440bps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14.3%</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260bps</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3160" w:type="dxa"/>
            <w:vAlign w:val="bottom"/>
            <w:shd w:val="clear" w:color="auto" w:fill="CCEEFF"/>
          </w:tcPr>
          <w:p>
            <w:pPr>
              <w:spacing w:after="0" w:line="236" w:lineRule="exact"/>
              <w:rPr>
                <w:sz w:val="20"/>
                <w:szCs w:val="20"/>
                <w:color w:val="auto"/>
              </w:rPr>
            </w:pPr>
            <w:r>
              <w:rPr>
                <w:rFonts w:ascii="Arial" w:cs="Arial" w:eastAsia="Arial" w:hAnsi="Arial"/>
                <w:sz w:val="16"/>
                <w:szCs w:val="16"/>
                <w:color w:val="auto"/>
              </w:rPr>
              <w:t xml:space="preserve">Loss ratio </w:t>
            </w:r>
            <w:r>
              <w:rPr>
                <w:rFonts w:ascii="Arial" w:cs="Arial" w:eastAsia="Arial" w:hAnsi="Arial"/>
                <w:sz w:val="26"/>
                <w:szCs w:val="26"/>
                <w:color w:val="auto"/>
                <w:vertAlign w:val="superscript"/>
              </w:rPr>
              <w:t>(1)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86.0%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107.4%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76.5%</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-3090bps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-950bps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68.5%</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93.1%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2460bps</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w w:val="93"/>
              </w:rPr>
              <w:t>Fees + underwriting expenses, net / net earned</w:t>
            </w: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premiums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27.4%</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10bps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240bps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28.6%</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-150bps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Arial" w:cs="Arial" w:eastAsia="Arial" w:hAnsi="Arial"/>
                <w:sz w:val="16"/>
                <w:szCs w:val="16"/>
                <w:color w:val="auto"/>
              </w:rPr>
              <w:t>Operating expenses / net earned premiums</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17.5%</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16.1%</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16.4%</w:t>
            </w:r>
          </w:p>
        </w:tc>
        <w:tc>
          <w:tcPr>
            <w:tcW w:w="1180" w:type="dxa"/>
            <w:vAlign w:val="bottom"/>
            <w:gridSpan w:val="3"/>
          </w:tcPr>
          <w:p>
            <w:pPr>
              <w:jc w:val="right"/>
              <w:ind w:right="320"/>
              <w:spacing w:after="0"/>
              <w:rPr>
                <w:sz w:val="20"/>
                <w:szCs w:val="20"/>
                <w:color w:val="auto"/>
              </w:rPr>
            </w:pPr>
            <w:r>
              <w:rPr>
                <w:rFonts w:ascii="Arial" w:cs="Arial" w:eastAsia="Arial" w:hAnsi="Arial"/>
                <w:sz w:val="16"/>
                <w:szCs w:val="16"/>
                <w:color w:val="auto"/>
              </w:rPr>
              <w:t>30bps</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-110bps</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17.9%</w:t>
            </w:r>
          </w:p>
        </w:tc>
        <w:tc>
          <w:tcPr>
            <w:tcW w:w="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16.4%</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-150bps</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60" w:type="dxa"/>
            <w:vAlign w:val="bottom"/>
            <w:shd w:val="clear" w:color="auto" w:fill="CCEEFF"/>
          </w:tcPr>
          <w:p>
            <w:pPr>
              <w:spacing w:after="0" w:line="236" w:lineRule="exact"/>
              <w:rPr>
                <w:sz w:val="20"/>
                <w:szCs w:val="20"/>
                <w:color w:val="auto"/>
              </w:rPr>
            </w:pPr>
            <w:r>
              <w:rPr>
                <w:rFonts w:ascii="Arial" w:cs="Arial" w:eastAsia="Arial" w:hAnsi="Arial"/>
                <w:sz w:val="27"/>
                <w:szCs w:val="27"/>
                <w:color w:val="auto"/>
                <w:vertAlign w:val="subscript"/>
              </w:rPr>
              <w:t>ROAE</w:t>
            </w:r>
            <w:r>
              <w:rPr>
                <w:rFonts w:ascii="Arial" w:cs="Arial" w:eastAsia="Arial" w:hAnsi="Arial"/>
                <w:sz w:val="12"/>
                <w:szCs w:val="12"/>
                <w:color w:val="auto"/>
              </w:rPr>
              <w:t xml:space="preserve"> (2)(3)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13.1%</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4150bps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1520bps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1520bps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Arial" w:cs="Arial" w:eastAsia="Arial" w:hAnsi="Arial"/>
                <w:sz w:val="16"/>
                <w:szCs w:val="16"/>
                <w:color w:val="auto"/>
              </w:rPr>
              <w:t>Return on written premiums</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-1.5%</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-17.0%</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5.6%</w:t>
            </w:r>
          </w:p>
        </w:tc>
        <w:tc>
          <w:tcPr>
            <w:tcW w:w="1180" w:type="dxa"/>
            <w:vAlign w:val="bottom"/>
            <w:gridSpan w:val="3"/>
          </w:tcPr>
          <w:p>
            <w:pPr>
              <w:jc w:val="right"/>
              <w:ind w:right="320"/>
              <w:spacing w:after="0"/>
              <w:rPr>
                <w:sz w:val="20"/>
                <w:szCs w:val="20"/>
                <w:color w:val="auto"/>
              </w:rPr>
            </w:pPr>
            <w:r>
              <w:rPr>
                <w:rFonts w:ascii="Arial" w:cs="Arial" w:eastAsia="Arial" w:hAnsi="Arial"/>
                <w:sz w:val="16"/>
                <w:szCs w:val="16"/>
                <w:color w:val="auto"/>
              </w:rPr>
              <w:t>2260bps</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710bps</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-6.4%</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-1350bps</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60" w:type="dxa"/>
            <w:vAlign w:val="bottom"/>
            <w:shd w:val="clear" w:color="auto" w:fill="CCEEFF"/>
          </w:tcPr>
          <w:p>
            <w:pPr>
              <w:spacing w:after="0" w:line="236" w:lineRule="exact"/>
              <w:rPr>
                <w:sz w:val="20"/>
                <w:szCs w:val="20"/>
                <w:color w:val="auto"/>
              </w:rPr>
            </w:pPr>
            <w:r>
              <w:rPr>
                <w:rFonts w:ascii="Arial" w:cs="Arial" w:eastAsia="Arial" w:hAnsi="Arial"/>
                <w:sz w:val="16"/>
                <w:szCs w:val="16"/>
                <w:color w:val="auto"/>
              </w:rPr>
              <w:t xml:space="preserve">Combined ratio of Life </w:t>
            </w:r>
            <w:r>
              <w:rPr>
                <w:rFonts w:ascii="Arial" w:cs="Arial" w:eastAsia="Arial" w:hAnsi="Arial"/>
                <w:sz w:val="26"/>
                <w:szCs w:val="26"/>
                <w:color w:val="auto"/>
                <w:vertAlign w:val="superscript"/>
              </w:rPr>
              <w:t>(4)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115.4%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143.3%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95.1%</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-4820bps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5"/>
              </w:rPr>
              <w:t>-2030bps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115.4%</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95.1%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-2030bps</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60" w:type="dxa"/>
            <w:vAlign w:val="bottom"/>
          </w:tcPr>
          <w:p>
            <w:pPr>
              <w:spacing w:after="0" w:line="236" w:lineRule="exact"/>
              <w:rPr>
                <w:sz w:val="20"/>
                <w:szCs w:val="20"/>
                <w:color w:val="auto"/>
              </w:rPr>
            </w:pPr>
            <w:r>
              <w:rPr>
                <w:rFonts w:ascii="Arial" w:cs="Arial" w:eastAsia="Arial" w:hAnsi="Arial"/>
                <w:sz w:val="16"/>
                <w:szCs w:val="16"/>
                <w:color w:val="auto"/>
              </w:rPr>
              <w:t xml:space="preserve">Combined ratio of P&amp;C </w:t>
            </w:r>
            <w:r>
              <w:rPr>
                <w:rFonts w:ascii="Arial" w:cs="Arial" w:eastAsia="Arial" w:hAnsi="Arial"/>
                <w:sz w:val="26"/>
                <w:szCs w:val="26"/>
                <w:color w:val="auto"/>
                <w:vertAlign w:val="superscript"/>
              </w:rPr>
              <w:t>(5)</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84.8%</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88.9%</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94.1%</w:t>
            </w:r>
          </w:p>
        </w:tc>
        <w:tc>
          <w:tcPr>
            <w:tcW w:w="1180" w:type="dxa"/>
            <w:vAlign w:val="bottom"/>
            <w:gridSpan w:val="3"/>
          </w:tcPr>
          <w:p>
            <w:pPr>
              <w:jc w:val="right"/>
              <w:ind w:right="320"/>
              <w:spacing w:after="0"/>
              <w:rPr>
                <w:sz w:val="20"/>
                <w:szCs w:val="20"/>
                <w:color w:val="auto"/>
              </w:rPr>
            </w:pPr>
            <w:r>
              <w:rPr>
                <w:rFonts w:ascii="Arial" w:cs="Arial" w:eastAsia="Arial" w:hAnsi="Arial"/>
                <w:sz w:val="16"/>
                <w:szCs w:val="16"/>
                <w:color w:val="auto"/>
              </w:rPr>
              <w:t>520bps</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930bps</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84.8%</w:t>
            </w:r>
          </w:p>
        </w:tc>
        <w:tc>
          <w:tcPr>
            <w:tcW w:w="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94.1%</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930bps</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60" w:type="dxa"/>
            <w:vAlign w:val="bottom"/>
            <w:shd w:val="clear" w:color="auto" w:fill="CCEEFF"/>
          </w:tcPr>
          <w:p>
            <w:pPr>
              <w:spacing w:after="0" w:line="236" w:lineRule="exact"/>
              <w:rPr>
                <w:sz w:val="20"/>
                <w:szCs w:val="20"/>
                <w:color w:val="auto"/>
              </w:rPr>
            </w:pPr>
            <w:r>
              <w:rPr>
                <w:rFonts w:ascii="Arial" w:cs="Arial" w:eastAsia="Arial" w:hAnsi="Arial"/>
                <w:sz w:val="16"/>
                <w:szCs w:val="16"/>
                <w:color w:val="auto"/>
              </w:rPr>
              <w:t xml:space="preserve">Equity requirement ratio </w:t>
            </w:r>
            <w:r>
              <w:rPr>
                <w:rFonts w:ascii="Arial" w:cs="Arial" w:eastAsia="Arial" w:hAnsi="Arial"/>
                <w:sz w:val="26"/>
                <w:szCs w:val="26"/>
                <w:color w:val="auto"/>
                <w:vertAlign w:val="superscript"/>
              </w:rPr>
              <w:t>(7)</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1.22</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1.19</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-200bps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5"/>
              </w:rPr>
              <w:t>-1380bps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1.33</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-1380bps</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without consolidation adjustments.</w:t>
      </w:r>
    </w:p>
    <w:p>
      <w:pPr>
        <w:spacing w:after="0" w:line="15" w:lineRule="exact"/>
        <w:rPr>
          <w:sz w:val="20"/>
          <w:szCs w:val="20"/>
          <w:color w:val="auto"/>
        </w:rPr>
      </w:pPr>
    </w:p>
    <w:p>
      <w:pPr>
        <w:ind w:left="260" w:hanging="255"/>
        <w:spacing w:after="0"/>
        <w:tabs>
          <w:tab w:leader="none" w:pos="2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Net claims / Net earned premiums.</w:t>
      </w:r>
    </w:p>
    <w:p>
      <w:pPr>
        <w:spacing w:after="0" w:line="3" w:lineRule="exact"/>
        <w:rPr>
          <w:rFonts w:ascii="Arial" w:cs="Arial" w:eastAsia="Arial" w:hAnsi="Arial"/>
          <w:sz w:val="18"/>
          <w:szCs w:val="18"/>
          <w:color w:val="auto"/>
        </w:rPr>
      </w:pPr>
    </w:p>
    <w:p>
      <w:pPr>
        <w:ind w:left="260" w:hanging="255"/>
        <w:spacing w:after="0"/>
        <w:tabs>
          <w:tab w:leader="none" w:pos="2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Includes unrealized gains.</w:t>
      </w:r>
    </w:p>
    <w:p>
      <w:pPr>
        <w:spacing w:after="0" w:line="3" w:lineRule="exact"/>
        <w:rPr>
          <w:rFonts w:ascii="Arial" w:cs="Arial" w:eastAsia="Arial" w:hAnsi="Arial"/>
          <w:sz w:val="18"/>
          <w:szCs w:val="18"/>
          <w:color w:val="auto"/>
        </w:rPr>
      </w:pPr>
    </w:p>
    <w:p>
      <w:pPr>
        <w:ind w:left="260" w:hanging="255"/>
        <w:spacing w:after="0"/>
        <w:tabs>
          <w:tab w:leader="none" w:pos="2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Annualized and average are determined as the average of period beginning and period ending.</w:t>
      </w:r>
    </w:p>
    <w:p>
      <w:pPr>
        <w:spacing w:after="0" w:line="3" w:lineRule="exact"/>
        <w:rPr>
          <w:rFonts w:ascii="Arial" w:cs="Arial" w:eastAsia="Arial" w:hAnsi="Arial"/>
          <w:sz w:val="18"/>
          <w:szCs w:val="18"/>
          <w:color w:val="auto"/>
        </w:rPr>
      </w:pPr>
    </w:p>
    <w:p>
      <w:pPr>
        <w:ind w:firstLine="5"/>
        <w:spacing w:after="0" w:line="243" w:lineRule="auto"/>
        <w:tabs>
          <w:tab w:leader="none" w:pos="265" w:val="left"/>
        </w:tabs>
        <w:numPr>
          <w:ilvl w:val="0"/>
          <w:numId w:val="88"/>
        </w:numPr>
        <w:rPr>
          <w:rFonts w:ascii="Arial" w:cs="Arial" w:eastAsia="Arial" w:hAnsi="Arial"/>
          <w:sz w:val="18"/>
          <w:szCs w:val="18"/>
          <w:color w:val="auto"/>
        </w:rPr>
      </w:pPr>
      <w:r>
        <w:rPr>
          <w:rFonts w:ascii="Arial" w:cs="Arial" w:eastAsia="Arial" w:hAnsi="Arial"/>
          <w:sz w:val="18"/>
          <w:szCs w:val="18"/>
          <w:color w:val="auto"/>
        </w:rPr>
        <w:t>(Net claims / Net earned premiums) + Reserves / Net earned premiums) + [(Acquisition cost + total expenses) / Net earned premiums] - (Net Financial Income without real state sales, securities sales, impairment loss and fluctuation / Net earned premiums).</w:t>
      </w:r>
    </w:p>
    <w:p>
      <w:pPr>
        <w:ind w:left="260" w:hanging="255"/>
        <w:spacing w:after="0"/>
        <w:tabs>
          <w:tab w:leader="none" w:pos="2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(Net claims / Net earned premiums) + [(Acquisition cost + total expenses) / Net earned premiums].</w:t>
      </w:r>
    </w:p>
    <w:p>
      <w:pPr>
        <w:spacing w:after="0" w:line="3" w:lineRule="exact"/>
        <w:rPr>
          <w:rFonts w:ascii="Arial" w:cs="Arial" w:eastAsia="Arial" w:hAnsi="Arial"/>
          <w:sz w:val="18"/>
          <w:szCs w:val="18"/>
          <w:color w:val="auto"/>
        </w:rPr>
      </w:pPr>
    </w:p>
    <w:p>
      <w:pPr>
        <w:ind w:left="260" w:hanging="255"/>
        <w:spacing w:after="0"/>
        <w:tabs>
          <w:tab w:leader="none" w:pos="2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Excluding investments in real estate.</w:t>
      </w:r>
    </w:p>
    <w:p>
      <w:pPr>
        <w:spacing w:after="0" w:line="3" w:lineRule="exact"/>
        <w:rPr>
          <w:rFonts w:ascii="Arial" w:cs="Arial" w:eastAsia="Arial" w:hAnsi="Arial"/>
          <w:sz w:val="18"/>
          <w:szCs w:val="18"/>
          <w:color w:val="auto"/>
        </w:rPr>
      </w:pPr>
    </w:p>
    <w:p>
      <w:pPr>
        <w:ind w:left="260" w:hanging="255"/>
        <w:spacing w:after="0"/>
        <w:tabs>
          <w:tab w:leader="none" w:pos="2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Support to cover credit risk, market risk and operational risk.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From 1Q15 and on, Grupo Pacifico’s financial statements reflect the association with Banmedica. This partnership includes:</w:t>
      </w:r>
    </w:p>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private health insurance business, which is managed by Grupo Pacifico and incorporated in each line of Grupo Pacifico’s financial statements; corporate health insurance for payroll employees; and medical services.</w:t>
      </w:r>
    </w:p>
    <w:p>
      <w:pPr>
        <w:spacing w:after="0" w:line="182"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13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As explained before, corporate health insurance and medical services businesses are consolidated by Banmedica. The following table reflects the consolidated results from which Grupo Pacifico receives the 50% net income.</w:t>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Corporate health insurance and Medical services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thousands, IFRS)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Quarter</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 change</w:t>
            </w:r>
          </w:p>
        </w:tc>
        <w:tc>
          <w:tcPr>
            <w:tcW w:w="1040" w:type="dxa"/>
            <w:vAlign w:val="bottom"/>
            <w:gridSpan w:val="3"/>
          </w:tcPr>
          <w:p>
            <w:pPr>
              <w:ind w:left="660"/>
              <w:spacing w:after="0"/>
              <w:rPr>
                <w:sz w:val="20"/>
                <w:szCs w:val="20"/>
                <w:color w:val="auto"/>
              </w:rPr>
            </w:pPr>
            <w:r>
              <w:rPr>
                <w:rFonts w:ascii="Arial" w:cs="Arial" w:eastAsia="Arial" w:hAnsi="Arial"/>
                <w:sz w:val="18"/>
                <w:szCs w:val="18"/>
                <w:b w:val="1"/>
                <w:bCs w:val="1"/>
                <w:color w:val="auto"/>
                <w:w w:val="99"/>
              </w:rPr>
              <w:t>YTD</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9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3Q20</w:t>
            </w:r>
          </w:p>
        </w:tc>
        <w:tc>
          <w:tcPr>
            <w:tcW w:w="9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2Q21</w:t>
            </w:r>
          </w:p>
        </w:tc>
        <w:tc>
          <w:tcPr>
            <w:tcW w:w="740" w:type="dxa"/>
            <w:vAlign w:val="bottom"/>
            <w:tcBorders>
              <w:top w:val="single" w:sz="8" w:color="auto"/>
            </w:tcBorders>
          </w:tcPr>
          <w:p>
            <w:pPr>
              <w:ind w:left="220"/>
              <w:spacing w:after="0"/>
              <w:rPr>
                <w:sz w:val="20"/>
                <w:szCs w:val="20"/>
                <w:color w:val="auto"/>
              </w:rPr>
            </w:pPr>
            <w:r>
              <w:rPr>
                <w:rFonts w:ascii="Arial" w:cs="Arial" w:eastAsia="Arial" w:hAnsi="Arial"/>
                <w:sz w:val="18"/>
                <w:szCs w:val="18"/>
                <w:b w:val="1"/>
                <w:bCs w:val="1"/>
                <w:color w:val="auto"/>
              </w:rPr>
              <w:t>3Q21</w:t>
            </w:r>
          </w:p>
        </w:tc>
        <w:tc>
          <w:tcPr>
            <w:tcW w:w="220" w:type="dxa"/>
            <w:vAlign w:val="bottom"/>
          </w:tcPr>
          <w:p>
            <w:pPr>
              <w:spacing w:after="0"/>
              <w:rPr>
                <w:sz w:val="18"/>
                <w:szCs w:val="18"/>
                <w:color w:val="auto"/>
              </w:rPr>
            </w:pPr>
          </w:p>
        </w:tc>
        <w:tc>
          <w:tcPr>
            <w:tcW w:w="9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QoQ</w:t>
            </w:r>
          </w:p>
        </w:tc>
        <w:tc>
          <w:tcPr>
            <w:tcW w:w="6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YoY</w:t>
            </w:r>
          </w:p>
        </w:tc>
        <w:tc>
          <w:tcPr>
            <w:tcW w:w="280" w:type="dxa"/>
            <w:vAlign w:val="bottom"/>
          </w:tcPr>
          <w:p>
            <w:pPr>
              <w:spacing w:after="0"/>
              <w:rPr>
                <w:sz w:val="18"/>
                <w:szCs w:val="18"/>
                <w:color w:val="auto"/>
              </w:rPr>
            </w:pPr>
          </w:p>
        </w:tc>
        <w:tc>
          <w:tcPr>
            <w:tcW w:w="1040" w:type="dxa"/>
            <w:vAlign w:val="bottom"/>
            <w:tcBorders>
              <w:top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Set 20</w:t>
            </w:r>
          </w:p>
        </w:tc>
        <w:tc>
          <w:tcPr>
            <w:tcW w:w="6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w w:val="97"/>
              </w:rPr>
              <w:t>Set 21</w:t>
            </w:r>
          </w:p>
        </w:tc>
        <w:tc>
          <w:tcPr>
            <w:tcW w:w="22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Set20 / Set21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Results</w:t>
            </w: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Net earned premiums</w:t>
            </w:r>
          </w:p>
        </w:tc>
        <w:tc>
          <w:tcPr>
            <w:tcW w:w="720" w:type="dxa"/>
            <w:vAlign w:val="bottom"/>
          </w:tcPr>
          <w:p>
            <w:pPr>
              <w:jc w:val="right"/>
              <w:spacing w:after="0"/>
              <w:rPr>
                <w:sz w:val="20"/>
                <w:szCs w:val="20"/>
                <w:color w:val="auto"/>
              </w:rPr>
            </w:pPr>
            <w:r>
              <w:rPr>
                <w:rFonts w:ascii="Arial" w:cs="Arial" w:eastAsia="Arial" w:hAnsi="Arial"/>
                <w:sz w:val="18"/>
                <w:szCs w:val="18"/>
                <w:color w:val="auto"/>
              </w:rPr>
              <w:t>285,899</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288,352</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301,598</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830,770</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867,894</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claims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(243,096)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(273,350)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(259,820)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-630,785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-748,809</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Net fees</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(12,185)</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(12,231)</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(12,836)</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-35,758</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-37,377</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underwriting expenses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-8,421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-7,856</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b w:val="1"/>
                <w:bCs w:val="1"/>
                <w:color w:val="auto"/>
              </w:rPr>
              <w:t>Underwriting result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27,972</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358</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26,376</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n.a.</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-5.7%</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155,806</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73,853</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-52.6%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Net financial income</w:t>
            </w:r>
          </w:p>
        </w:tc>
        <w:tc>
          <w:tcPr>
            <w:tcW w:w="720" w:type="dxa"/>
            <w:vAlign w:val="bottom"/>
          </w:tcPr>
          <w:p>
            <w:pPr>
              <w:jc w:val="right"/>
              <w:spacing w:after="0"/>
              <w:rPr>
                <w:sz w:val="20"/>
                <w:szCs w:val="20"/>
                <w:color w:val="auto"/>
              </w:rPr>
            </w:pPr>
            <w:r>
              <w:rPr>
                <w:rFonts w:ascii="Arial" w:cs="Arial" w:eastAsia="Arial" w:hAnsi="Arial"/>
                <w:sz w:val="18"/>
                <w:szCs w:val="18"/>
                <w:color w:val="auto"/>
              </w:rPr>
              <w:t>1,658</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1,904</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1,775</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4,180</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4,866</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(18,340)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(19,179)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(22,725)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-57,766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-62,613</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Other income</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513</w:t>
            </w: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38.0%</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-101.5%</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-438</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Traslations results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776</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3,005</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9,477</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Income tax</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(3,655)</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3,503</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(8,175)</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123.7%</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-33,179</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-13,318</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before Medical services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8,923</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-10,422</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2,329</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-122.3%</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-73.9%</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73,041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11,828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of Medical services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9,936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27,939</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23,575</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-15.6%</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137.3%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13,532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78,264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18,860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17,517</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25,904</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47.9%</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37.3%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86,574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90,091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840"/>
        </w:trPr>
        <w:tc>
          <w:tcPr>
            <w:tcW w:w="20" w:type="dxa"/>
            <w:vAlign w:val="bottom"/>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2" w:right="339" w:bottom="1440" w:gutter="0" w:footer="0" w:header="0"/>
        </w:sectPr>
      </w:pPr>
    </w:p>
    <w:bookmarkStart w:id="82" w:name="page83"/>
    <w:bookmarkEnd w:id="82"/>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12.10. Prima AFP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Prima AFP</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thousands, IFRS)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As of</w:t>
            </w: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w w:val="88"/>
              </w:rPr>
              <w:t>% change</w:t>
            </w:r>
          </w:p>
        </w:tc>
        <w:tc>
          <w:tcPr>
            <w:tcW w:w="520" w:type="dxa"/>
            <w:vAlign w:val="bottom"/>
            <w:tcBorders>
              <w:bottom w:val="single" w:sz="8" w:color="auto"/>
            </w:tcBorders>
          </w:tcPr>
          <w:p>
            <w:pPr>
              <w:spacing w:after="0"/>
              <w:rPr>
                <w:sz w:val="19"/>
                <w:szCs w:val="19"/>
                <w:color w:val="auto"/>
              </w:rPr>
            </w:pPr>
          </w:p>
        </w:tc>
        <w:tc>
          <w:tcPr>
            <w:tcW w:w="3100" w:type="dxa"/>
            <w:vAlign w:val="bottom"/>
          </w:tcPr>
          <w:p>
            <w:pPr>
              <w:spacing w:after="0"/>
              <w:rPr>
                <w:sz w:val="19"/>
                <w:szCs w:val="19"/>
                <w:color w:val="auto"/>
              </w:rPr>
            </w:pPr>
          </w:p>
        </w:tc>
      </w:tr>
      <w:tr>
        <w:trPr>
          <w:trHeight w:val="217"/>
        </w:trPr>
        <w:tc>
          <w:tcPr>
            <w:tcW w:w="32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3Q20</w:t>
            </w:r>
          </w:p>
        </w:tc>
        <w:tc>
          <w:tcPr>
            <w:tcW w:w="2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2Q21</w:t>
            </w:r>
          </w:p>
        </w:tc>
        <w:tc>
          <w:tcPr>
            <w:tcW w:w="2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3Q21</w:t>
            </w: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YoY</w:t>
            </w:r>
          </w:p>
        </w:tc>
        <w:tc>
          <w:tcPr>
            <w:tcW w:w="3100" w:type="dxa"/>
            <w:vAlign w:val="bottom"/>
            <w:tcBorders>
              <w:bottom w:val="single" w:sz="8" w:color="CCEEFF"/>
            </w:tcBorders>
          </w:tcPr>
          <w:p>
            <w:pPr>
              <w:spacing w:after="0"/>
              <w:rPr>
                <w:sz w:val="18"/>
                <w:szCs w:val="18"/>
                <w:color w:val="auto"/>
              </w:rPr>
            </w:pP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1,015,828</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867,605</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w w:val="82"/>
              </w:rPr>
              <w:t>796,553</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17"/>
                <w:szCs w:val="17"/>
                <w:color w:val="auto"/>
              </w:rPr>
            </w:pPr>
          </w:p>
        </w:tc>
        <w:tc>
          <w:tcPr>
            <w:tcW w:w="3620" w:type="dxa"/>
            <w:vAlign w:val="bottom"/>
            <w:gridSpan w:val="2"/>
            <w:shd w:val="clear" w:color="auto" w:fill="CCEEFF"/>
          </w:tcPr>
          <w:p>
            <w:pPr>
              <w:jc w:val="right"/>
              <w:ind w:right="2960"/>
              <w:spacing w:after="0" w:line="203" w:lineRule="exact"/>
              <w:rPr>
                <w:sz w:val="20"/>
                <w:szCs w:val="20"/>
                <w:color w:val="auto"/>
              </w:rPr>
            </w:pPr>
            <w:r>
              <w:rPr>
                <w:rFonts w:ascii="Arial" w:cs="Arial" w:eastAsia="Arial" w:hAnsi="Arial"/>
                <w:sz w:val="18"/>
                <w:szCs w:val="18"/>
                <w:color w:val="auto"/>
              </w:rPr>
              <w:t>-21.6%</w:t>
            </w: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Total liabilities</w:t>
            </w:r>
          </w:p>
        </w:tc>
        <w:tc>
          <w:tcPr>
            <w:tcW w:w="840" w:type="dxa"/>
            <w:vAlign w:val="bottom"/>
          </w:tcPr>
          <w:p>
            <w:pPr>
              <w:jc w:val="right"/>
              <w:spacing w:after="0"/>
              <w:rPr>
                <w:sz w:val="20"/>
                <w:szCs w:val="20"/>
                <w:color w:val="auto"/>
              </w:rPr>
            </w:pPr>
            <w:r>
              <w:rPr>
                <w:rFonts w:ascii="Arial" w:cs="Arial" w:eastAsia="Arial" w:hAnsi="Arial"/>
                <w:sz w:val="18"/>
                <w:szCs w:val="18"/>
                <w:color w:val="auto"/>
              </w:rPr>
              <w:t>379,394</w:t>
            </w: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223,284</w:t>
            </w: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257,554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18"/>
                <w:szCs w:val="18"/>
                <w:color w:val="auto"/>
              </w:rPr>
            </w:pPr>
          </w:p>
        </w:tc>
        <w:tc>
          <w:tcPr>
            <w:tcW w:w="3620" w:type="dxa"/>
            <w:vAlign w:val="bottom"/>
            <w:gridSpan w:val="2"/>
          </w:tcPr>
          <w:p>
            <w:pPr>
              <w:jc w:val="right"/>
              <w:ind w:right="2960"/>
              <w:spacing w:after="0"/>
              <w:rPr>
                <w:sz w:val="20"/>
                <w:szCs w:val="20"/>
                <w:color w:val="auto"/>
              </w:rPr>
            </w:pPr>
            <w:r>
              <w:rPr>
                <w:rFonts w:ascii="Arial" w:cs="Arial" w:eastAsia="Arial" w:hAnsi="Arial"/>
                <w:sz w:val="18"/>
                <w:szCs w:val="18"/>
                <w:color w:val="auto"/>
              </w:rPr>
              <w:t>-32.1%</w:t>
            </w: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636,434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644,321</w:t>
            </w: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538,999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jc w:val="right"/>
              <w:ind w:right="2960"/>
              <w:spacing w:after="0"/>
              <w:rPr>
                <w:sz w:val="20"/>
                <w:szCs w:val="20"/>
                <w:color w:val="auto"/>
              </w:rPr>
            </w:pPr>
            <w:r>
              <w:rPr>
                <w:rFonts w:ascii="Arial" w:cs="Arial" w:eastAsia="Arial" w:hAnsi="Arial"/>
                <w:sz w:val="18"/>
                <w:szCs w:val="18"/>
                <w:color w:val="auto"/>
              </w:rPr>
              <w:t>-15.3%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5263515</wp:posOffset>
            </wp:positionH>
            <wp:positionV relativeFrom="paragraph">
              <wp:posOffset>-407670</wp:posOffset>
            </wp:positionV>
            <wp:extent cx="1875790" cy="1416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875790" cy="141605"/>
                    </a:xfrm>
                    <a:prstGeom prst="rect">
                      <a:avLst/>
                    </a:prstGeom>
                    <a:noFill/>
                  </pic:spPr>
                </pic:pic>
              </a:graphicData>
            </a:graphic>
          </wp:anchor>
        </w:drawing>
        <w:drawing>
          <wp:anchor simplePos="0" relativeHeight="251657728" behindDoc="1" locked="0" layoutInCell="0" allowOverlap="1">
            <wp:simplePos x="0" y="0"/>
            <wp:positionH relativeFrom="column">
              <wp:posOffset>5263515</wp:posOffset>
            </wp:positionH>
            <wp:positionV relativeFrom="paragraph">
              <wp:posOffset>-132715</wp:posOffset>
            </wp:positionV>
            <wp:extent cx="1875790" cy="133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875790" cy="133350"/>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Quarter</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ind w:left="580"/>
              <w:spacing w:after="0"/>
              <w:rPr>
                <w:sz w:val="20"/>
                <w:szCs w:val="20"/>
                <w:color w:val="auto"/>
              </w:rPr>
            </w:pPr>
            <w:r>
              <w:rPr>
                <w:rFonts w:ascii="Arial" w:cs="Arial" w:eastAsia="Arial" w:hAnsi="Arial"/>
                <w:sz w:val="16"/>
                <w:szCs w:val="16"/>
                <w:b w:val="1"/>
                <w:bCs w:val="1"/>
                <w:color w:val="auto"/>
                <w:w w:val="90"/>
              </w:rPr>
              <w:t>% change</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3"/>
          </w:tcPr>
          <w:p>
            <w:pPr>
              <w:ind w:left="720"/>
              <w:spacing w:after="0"/>
              <w:rPr>
                <w:sz w:val="20"/>
                <w:szCs w:val="20"/>
                <w:color w:val="auto"/>
              </w:rPr>
            </w:pPr>
            <w:r>
              <w:rPr>
                <w:rFonts w:ascii="Arial" w:cs="Arial" w:eastAsia="Arial" w:hAnsi="Arial"/>
                <w:sz w:val="16"/>
                <w:szCs w:val="16"/>
                <w:b w:val="1"/>
                <w:bCs w:val="1"/>
                <w:color w:val="auto"/>
              </w:rPr>
              <w:t>YTD</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 change</w:t>
            </w:r>
          </w:p>
        </w:tc>
      </w:tr>
      <w:tr>
        <w:trPr>
          <w:trHeight w:val="204"/>
        </w:trPr>
        <w:tc>
          <w:tcPr>
            <w:tcW w:w="278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3Q20</w:t>
            </w:r>
          </w:p>
        </w:tc>
        <w:tc>
          <w:tcPr>
            <w:tcW w:w="240" w:type="dxa"/>
            <w:vAlign w:val="bottom"/>
            <w:tcBorders>
              <w:top w:val="single" w:sz="8" w:color="auto"/>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2Q21</w:t>
            </w:r>
          </w:p>
        </w:tc>
        <w:tc>
          <w:tcPr>
            <w:tcW w:w="240" w:type="dxa"/>
            <w:vAlign w:val="bottom"/>
            <w:tcBorders>
              <w:top w:val="single" w:sz="8" w:color="auto"/>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3Q21</w:t>
            </w:r>
          </w:p>
        </w:tc>
        <w:tc>
          <w:tcPr>
            <w:tcW w:w="26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rPr>
              <w:t>QoQ</w:t>
            </w:r>
          </w:p>
        </w:tc>
        <w:tc>
          <w:tcPr>
            <w:tcW w:w="34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YoY</w:t>
            </w:r>
          </w:p>
        </w:tc>
        <w:tc>
          <w:tcPr>
            <w:tcW w:w="36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Sep 20</w:t>
            </w:r>
          </w:p>
        </w:tc>
        <w:tc>
          <w:tcPr>
            <w:tcW w:w="26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w w:val="92"/>
              </w:rPr>
              <w:t>Sep 21</w:t>
            </w:r>
          </w:p>
        </w:tc>
        <w:tc>
          <w:tcPr>
            <w:tcW w:w="26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Sep 21 / Sep 20</w:t>
            </w:r>
          </w:p>
        </w:tc>
        <w:tc>
          <w:tcPr>
            <w:tcW w:w="240" w:type="dxa"/>
            <w:vAlign w:val="bottom"/>
            <w:tcBorders>
              <w:bottom w:val="single" w:sz="8" w:color="CCEEFF"/>
            </w:tcBorders>
          </w:tcPr>
          <w:p>
            <w:pPr>
              <w:spacing w:after="0"/>
              <w:rPr>
                <w:sz w:val="17"/>
                <w:szCs w:val="17"/>
                <w:color w:val="auto"/>
              </w:rPr>
            </w:pPr>
          </w:p>
        </w:tc>
      </w:tr>
      <w:tr>
        <w:trPr>
          <w:trHeight w:val="193"/>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Income from commissions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89,242</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97,331</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94,620</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264,771</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289,552</w:t>
            </w:r>
          </w:p>
        </w:tc>
        <w:tc>
          <w:tcPr>
            <w:tcW w:w="2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9.4%</w:t>
            </w:r>
          </w:p>
        </w:tc>
      </w:tr>
      <w:tr>
        <w:trPr>
          <w:trHeight w:val="197"/>
        </w:trPr>
        <w:tc>
          <w:tcPr>
            <w:tcW w:w="2780" w:type="dxa"/>
            <w:vAlign w:val="bottom"/>
          </w:tcPr>
          <w:p>
            <w:pPr>
              <w:spacing w:after="0"/>
              <w:rPr>
                <w:sz w:val="20"/>
                <w:szCs w:val="20"/>
                <w:color w:val="auto"/>
              </w:rPr>
            </w:pPr>
            <w:r>
              <w:rPr>
                <w:rFonts w:ascii="Arial" w:cs="Arial" w:eastAsia="Arial" w:hAnsi="Arial"/>
                <w:sz w:val="16"/>
                <w:szCs w:val="16"/>
                <w:color w:val="auto"/>
              </w:rPr>
              <w:t>Administrative and sale expenses</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(36,958)</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(38,412)</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(42,006)</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9.4%</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13.7%</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(102,893)</w:t>
            </w:r>
          </w:p>
        </w:tc>
        <w:tc>
          <w:tcPr>
            <w:tcW w:w="10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(119,296)</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15.9%</w:t>
            </w:r>
          </w:p>
        </w:tc>
      </w:tr>
      <w:tr>
        <w:trPr>
          <w:trHeight w:val="197"/>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(5,982)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(5,541)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(5,845)</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(18,208)</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(17,310)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w:t>
            </w:r>
          </w:p>
        </w:tc>
      </w:tr>
      <w:tr>
        <w:trPr>
          <w:trHeight w:val="197"/>
        </w:trPr>
        <w:tc>
          <w:tcPr>
            <w:tcW w:w="278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46,302</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53,378</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46,769</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-12.4%</w:t>
            </w:r>
          </w:p>
        </w:tc>
        <w:tc>
          <w:tcPr>
            <w:tcW w:w="20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1.0%</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143,670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152,946</w:t>
            </w:r>
          </w:p>
        </w:tc>
        <w:tc>
          <w:tcPr>
            <w:tcW w:w="26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6.5%</w:t>
            </w:r>
          </w:p>
        </w:tc>
      </w:tr>
      <w:tr>
        <w:trPr>
          <w:trHeight w:val="187"/>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Other income and expenses, net</w:t>
            </w: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07"/>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(profitability of lace)</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4,855</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6,577</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(2,371)</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-136.1%</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-148.8%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(16,058)</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w:t>
            </w: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-116.5%</w:t>
            </w:r>
          </w:p>
        </w:tc>
      </w:tr>
      <w:tr>
        <w:trPr>
          <w:trHeight w:val="197"/>
        </w:trPr>
        <w:tc>
          <w:tcPr>
            <w:tcW w:w="2780" w:type="dxa"/>
            <w:vAlign w:val="bottom"/>
          </w:tcPr>
          <w:p>
            <w:pPr>
              <w:spacing w:after="0"/>
              <w:rPr>
                <w:sz w:val="20"/>
                <w:szCs w:val="20"/>
                <w:color w:val="auto"/>
              </w:rPr>
            </w:pPr>
            <w:r>
              <w:rPr>
                <w:rFonts w:ascii="Arial" w:cs="Arial" w:eastAsia="Arial" w:hAnsi="Arial"/>
                <w:sz w:val="16"/>
                <w:szCs w:val="16"/>
                <w:color w:val="auto"/>
              </w:rPr>
              <w:t>Income tax</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(12,918)</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(16,134)</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(13,592)</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-15.8%</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5.2%</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(41,832)</w:t>
            </w:r>
          </w:p>
        </w:tc>
        <w:tc>
          <w:tcPr>
            <w:tcW w:w="10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(45,953)</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9.9%</w:t>
            </w:r>
          </w:p>
        </w:tc>
      </w:tr>
      <w:tr>
        <w:trPr>
          <w:trHeight w:val="197"/>
        </w:trPr>
        <w:tc>
          <w:tcPr>
            <w:tcW w:w="2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7"/>
              </w:rPr>
              <w:t>Net income before translation results</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38,239</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43,822</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30,806</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-29.7%</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-19.4%</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85,779</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109,646</w:t>
            </w: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27.8%</w:t>
            </w:r>
          </w:p>
        </w:tc>
      </w:tr>
      <w:tr>
        <w:trPr>
          <w:trHeight w:val="197"/>
        </w:trPr>
        <w:tc>
          <w:tcPr>
            <w:tcW w:w="2780" w:type="dxa"/>
            <w:vAlign w:val="bottom"/>
          </w:tcPr>
          <w:p>
            <w:pPr>
              <w:spacing w:after="0"/>
              <w:rPr>
                <w:sz w:val="20"/>
                <w:szCs w:val="20"/>
                <w:color w:val="auto"/>
              </w:rPr>
            </w:pPr>
            <w:r>
              <w:rPr>
                <w:rFonts w:ascii="Arial" w:cs="Arial" w:eastAsia="Arial" w:hAnsi="Arial"/>
                <w:sz w:val="16"/>
                <w:szCs w:val="16"/>
                <w:color w:val="auto"/>
              </w:rPr>
              <w:t>Translations results</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(202)</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479</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891</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85.9%</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-541.3%</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948</w:t>
            </w:r>
          </w:p>
        </w:tc>
        <w:tc>
          <w:tcPr>
            <w:tcW w:w="26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-261.0%</w:t>
            </w:r>
          </w:p>
        </w:tc>
      </w:tr>
      <w:tr>
        <w:trPr>
          <w:trHeight w:val="197"/>
        </w:trPr>
        <w:tc>
          <w:tcPr>
            <w:tcW w:w="2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38,037</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44,301</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31,697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-28.5%</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-16.7%</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85,190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110,594</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29.8%</w:t>
            </w:r>
          </w:p>
        </w:tc>
      </w:tr>
      <w:tr>
        <w:trPr>
          <w:trHeight w:val="344"/>
        </w:trPr>
        <w:tc>
          <w:tcPr>
            <w:tcW w:w="2780" w:type="dxa"/>
            <w:vAlign w:val="bottom"/>
          </w:tcPr>
          <w:p>
            <w:pPr>
              <w:spacing w:after="0"/>
              <w:rPr>
                <w:sz w:val="20"/>
                <w:szCs w:val="20"/>
                <w:color w:val="auto"/>
              </w:rPr>
            </w:pPr>
            <w:r>
              <w:rPr>
                <w:rFonts w:ascii="Arial" w:cs="Arial" w:eastAsia="Arial" w:hAnsi="Arial"/>
                <w:sz w:val="16"/>
                <w:szCs w:val="16"/>
                <w:b w:val="1"/>
                <w:bCs w:val="1"/>
                <w:color w:val="auto"/>
              </w:rPr>
              <w:t xml:space="preserve">ROAE </w:t>
            </w:r>
            <w:r>
              <w:rPr>
                <w:rFonts w:ascii="Arial" w:cs="Arial" w:eastAsia="Arial" w:hAnsi="Arial"/>
                <w:sz w:val="26"/>
                <w:szCs w:val="26"/>
                <w:b w:val="1"/>
                <w:bCs w:val="1"/>
                <w:color w:val="auto"/>
                <w:vertAlign w:val="superscript"/>
              </w:rPr>
              <w:t>(1)</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24.6%</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28.5%</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21.4%</w:t>
            </w:r>
          </w:p>
        </w:tc>
        <w:tc>
          <w:tcPr>
            <w:tcW w:w="1280" w:type="dxa"/>
            <w:vAlign w:val="bottom"/>
            <w:gridSpan w:val="3"/>
          </w:tcPr>
          <w:p>
            <w:pPr>
              <w:ind w:left="440"/>
              <w:spacing w:after="0"/>
              <w:rPr>
                <w:sz w:val="20"/>
                <w:szCs w:val="20"/>
                <w:color w:val="auto"/>
              </w:rPr>
            </w:pPr>
            <w:r>
              <w:rPr>
                <w:rFonts w:ascii="Arial" w:cs="Arial" w:eastAsia="Arial" w:hAnsi="Arial"/>
                <w:sz w:val="16"/>
                <w:szCs w:val="16"/>
                <w:b w:val="1"/>
                <w:bCs w:val="1"/>
                <w:color w:val="auto"/>
              </w:rPr>
              <w:t>-706pbs</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-321pbs</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17.0%</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23.8%</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rPr>
              <w:t>678pbs</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(1) Net shareholders' equity includes unrealized gains from Prima's investment portfolio.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 The net profitability of lace and mutual funds is being presented net of taxes, for which the retroactive change was made (it was presented gross before).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w w:val="95"/>
              </w:rPr>
              <w:t>Funds under management</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w w:val="95"/>
              </w:rPr>
              <w:t>Funds under management</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Jun 21</w:t>
            </w:r>
          </w:p>
        </w:tc>
        <w:tc>
          <w:tcPr>
            <w:tcW w:w="100" w:type="dxa"/>
            <w:vAlign w:val="bottom"/>
          </w:tcPr>
          <w:p>
            <w:pPr>
              <w:spacing w:after="0"/>
              <w:rPr>
                <w:sz w:val="24"/>
                <w:szCs w:val="24"/>
                <w:color w:val="auto"/>
              </w:rPr>
            </w:pPr>
          </w:p>
        </w:tc>
        <w:tc>
          <w:tcPr>
            <w:tcW w:w="120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w w:val="98"/>
              </w:rPr>
              <w:t>% share</w:t>
            </w:r>
          </w:p>
        </w:tc>
        <w:tc>
          <w:tcPr>
            <w:tcW w:w="900" w:type="dxa"/>
            <w:vAlign w:val="bottom"/>
            <w:gridSpan w:val="2"/>
          </w:tcPr>
          <w:p>
            <w:pPr>
              <w:ind w:left="340"/>
              <w:spacing w:after="0"/>
              <w:rPr>
                <w:sz w:val="20"/>
                <w:szCs w:val="20"/>
                <w:color w:val="auto"/>
              </w:rPr>
            </w:pPr>
            <w:r>
              <w:rPr>
                <w:rFonts w:ascii="Arial" w:cs="Arial" w:eastAsia="Arial" w:hAnsi="Arial"/>
                <w:sz w:val="18"/>
                <w:szCs w:val="18"/>
                <w:b w:val="1"/>
                <w:bCs w:val="1"/>
                <w:color w:val="auto"/>
                <w:w w:val="92"/>
              </w:rPr>
              <w:t>Sep 21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6"/>
          </w:tcPr>
          <w:p>
            <w:pPr>
              <w:ind w:left="260"/>
              <w:spacing w:after="0"/>
              <w:rPr>
                <w:sz w:val="20"/>
                <w:szCs w:val="20"/>
                <w:color w:val="auto"/>
              </w:rPr>
            </w:pPr>
            <w:r>
              <w:rPr>
                <w:rFonts w:ascii="Arial" w:cs="Arial" w:eastAsia="Arial" w:hAnsi="Arial"/>
                <w:sz w:val="18"/>
                <w:szCs w:val="18"/>
                <w:b w:val="1"/>
                <w:bCs w:val="1"/>
                <w:color w:val="auto"/>
              </w:rPr>
              <w:t>% share</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Fund 0</w:t>
            </w: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1,175</w:t>
            </w:r>
          </w:p>
        </w:tc>
        <w:tc>
          <w:tcPr>
            <w:tcW w:w="140" w:type="dxa"/>
            <w:vAlign w:val="bottom"/>
            <w:tcBorders>
              <w:right w:val="single" w:sz="8" w:color="CCEEFF"/>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tcBorders>
              <w:right w:val="single" w:sz="8" w:color="CCEEFF"/>
            </w:tcBorders>
            <w:gridSpan w:val="5"/>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2.5%</w:t>
            </w:r>
          </w:p>
        </w:tc>
        <w:tc>
          <w:tcPr>
            <w:tcW w:w="1160" w:type="dxa"/>
            <w:vAlign w:val="bottom"/>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rPr>
              <w:t>1,205</w:t>
            </w:r>
          </w:p>
        </w:tc>
        <w:tc>
          <w:tcPr>
            <w:tcW w:w="16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Fund 1</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5"/>
          </w:tcPr>
          <w:p>
            <w:pPr>
              <w:jc w:val="right"/>
              <w:ind w:right="100"/>
              <w:spacing w:after="0"/>
              <w:rPr>
                <w:sz w:val="20"/>
                <w:szCs w:val="20"/>
                <w:color w:val="auto"/>
              </w:rPr>
            </w:pPr>
            <w:r>
              <w:rPr>
                <w:rFonts w:ascii="Arial" w:cs="Arial" w:eastAsia="Arial" w:hAnsi="Arial"/>
                <w:sz w:val="18"/>
                <w:szCs w:val="18"/>
                <w:color w:val="auto"/>
              </w:rPr>
              <w:t>15.2%</w:t>
            </w:r>
          </w:p>
        </w:tc>
        <w:tc>
          <w:tcPr>
            <w:tcW w:w="1320" w:type="dxa"/>
            <w:vAlign w:val="bottom"/>
            <w:gridSpan w:val="5"/>
          </w:tcPr>
          <w:p>
            <w:pPr>
              <w:jc w:val="right"/>
              <w:ind w:right="160"/>
              <w:spacing w:after="0"/>
              <w:rPr>
                <w:sz w:val="20"/>
                <w:szCs w:val="20"/>
                <w:color w:val="auto"/>
              </w:rPr>
            </w:pPr>
            <w:r>
              <w:rPr>
                <w:rFonts w:ascii="Arial" w:cs="Arial" w:eastAsia="Arial" w:hAnsi="Arial"/>
                <w:sz w:val="18"/>
                <w:szCs w:val="18"/>
                <w:color w:val="auto"/>
              </w:rPr>
              <w:t>6,394</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Fund 2</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33,757</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c>
          <w:tcPr>
            <w:tcW w:w="13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26,698</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Fund 3</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5"/>
          </w:tcPr>
          <w:p>
            <w:pPr>
              <w:jc w:val="right"/>
              <w:ind w:right="100"/>
              <w:spacing w:after="0"/>
              <w:rPr>
                <w:sz w:val="20"/>
                <w:szCs w:val="20"/>
                <w:color w:val="auto"/>
              </w:rPr>
            </w:pPr>
            <w:r>
              <w:rPr>
                <w:rFonts w:ascii="Arial" w:cs="Arial" w:eastAsia="Arial" w:hAnsi="Arial"/>
                <w:sz w:val="18"/>
                <w:szCs w:val="18"/>
                <w:color w:val="auto"/>
              </w:rPr>
              <w:t>10.7%</w:t>
            </w:r>
          </w:p>
        </w:tc>
        <w:tc>
          <w:tcPr>
            <w:tcW w:w="1320" w:type="dxa"/>
            <w:vAlign w:val="bottom"/>
            <w:gridSpan w:val="5"/>
          </w:tcPr>
          <w:p>
            <w:pPr>
              <w:jc w:val="right"/>
              <w:ind w:right="160"/>
              <w:spacing w:after="0"/>
              <w:rPr>
                <w:sz w:val="20"/>
                <w:szCs w:val="20"/>
                <w:color w:val="auto"/>
              </w:rPr>
            </w:pPr>
            <w:r>
              <w:rPr>
                <w:rFonts w:ascii="Arial" w:cs="Arial" w:eastAsia="Arial" w:hAnsi="Arial"/>
                <w:sz w:val="18"/>
                <w:szCs w:val="18"/>
                <w:color w:val="auto"/>
              </w:rPr>
              <w:t>4,421</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Total S/ Millions</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47,114</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3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38,719</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0"/>
        </w:trPr>
        <w:tc>
          <w:tcPr>
            <w:tcW w:w="2180" w:type="dxa"/>
            <w:vAlign w:val="bottom"/>
            <w:gridSpan w:val="2"/>
          </w:tcPr>
          <w:p>
            <w:pPr>
              <w:spacing w:after="0"/>
              <w:rPr>
                <w:sz w:val="20"/>
                <w:szCs w:val="20"/>
                <w:color w:val="auto"/>
              </w:rPr>
            </w:pPr>
            <w:r>
              <w:rPr>
                <w:rFonts w:ascii="Arial" w:cs="Arial" w:eastAsia="Arial" w:hAnsi="Arial"/>
                <w:sz w:val="18"/>
                <w:szCs w:val="18"/>
                <w:i w:val="1"/>
                <w:iCs w:val="1"/>
                <w:color w:val="auto"/>
              </w:rPr>
              <w:t>Source: SBS</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3660" w:type="dxa"/>
            <w:vAlign w:val="bottom"/>
            <w:gridSpan w:val="5"/>
          </w:tcPr>
          <w:p>
            <w:pPr>
              <w:spacing w:after="0"/>
              <w:rPr>
                <w:sz w:val="20"/>
                <w:szCs w:val="20"/>
                <w:color w:val="auto"/>
              </w:rPr>
            </w:pPr>
            <w:r>
              <w:rPr>
                <w:rFonts w:ascii="Arial" w:cs="Arial" w:eastAsia="Arial" w:hAnsi="Arial"/>
                <w:sz w:val="18"/>
                <w:szCs w:val="18"/>
                <w:b w:val="1"/>
                <w:bCs w:val="1"/>
                <w:color w:val="auto"/>
                <w:w w:val="95"/>
              </w:rPr>
              <w:t>Nominal profitability over the last 12 months</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16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1"/>
              </w:rPr>
              <w:t>Jun 21 / Jun 20</w:t>
            </w:r>
          </w:p>
        </w:tc>
        <w:tc>
          <w:tcPr>
            <w:tcW w:w="22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1"/>
              </w:rPr>
              <w:t>Sep 21 / Sep 20</w:t>
            </w:r>
          </w:p>
        </w:tc>
        <w:tc>
          <w:tcPr>
            <w:tcW w:w="100" w:type="dxa"/>
            <w:vAlign w:val="bottom"/>
            <w:tcBorders>
              <w:bottom w:val="single" w:sz="8" w:color="CCEEFF"/>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Fund 0</w:t>
            </w:r>
          </w:p>
        </w:tc>
        <w:tc>
          <w:tcPr>
            <w:tcW w:w="82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1.5%</w:t>
            </w:r>
          </w:p>
        </w:tc>
        <w:tc>
          <w:tcPr>
            <w:tcW w:w="1400" w:type="dxa"/>
            <w:vAlign w:val="bottom"/>
            <w:gridSpan w:val="3"/>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Fund 1</w:t>
            </w:r>
          </w:p>
        </w:tc>
        <w:tc>
          <w:tcPr>
            <w:tcW w:w="8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Fund 2</w:t>
            </w:r>
          </w:p>
        </w:tc>
        <w:tc>
          <w:tcPr>
            <w:tcW w:w="8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Fund 3</w:t>
            </w:r>
          </w:p>
        </w:tc>
        <w:tc>
          <w:tcPr>
            <w:tcW w:w="82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17.2%</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AFP fees</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gridSpan w:val="6"/>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Fee based on flow</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260" w:type="dxa"/>
            <w:vAlign w:val="bottom"/>
            <w:gridSpan w:val="12"/>
            <w:shd w:val="clear" w:color="auto" w:fill="CCEEFF"/>
          </w:tcPr>
          <w:p>
            <w:pPr>
              <w:ind w:left="60"/>
              <w:spacing w:after="0"/>
              <w:rPr>
                <w:sz w:val="20"/>
                <w:szCs w:val="20"/>
                <w:color w:val="auto"/>
              </w:rPr>
            </w:pPr>
            <w:r>
              <w:rPr>
                <w:rFonts w:ascii="Arial" w:cs="Arial" w:eastAsia="Arial" w:hAnsi="Arial"/>
                <w:sz w:val="18"/>
                <w:szCs w:val="18"/>
                <w:color w:val="auto"/>
              </w:rPr>
              <w:t>Applied to the affiliates’ monthly remuneration.</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b w:val="1"/>
                <w:bCs w:val="1"/>
                <w:color w:val="auto"/>
              </w:rPr>
              <w:t>Mixed fee</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60" w:type="dxa"/>
            <w:vAlign w:val="bottom"/>
            <w:gridSpan w:val="6"/>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660" w:type="dxa"/>
            <w:vAlign w:val="bottom"/>
            <w:gridSpan w:val="3"/>
            <w:shd w:val="clear" w:color="auto" w:fill="CCEEFF"/>
          </w:tcPr>
          <w:p>
            <w:pPr>
              <w:spacing w:after="0"/>
              <w:rPr>
                <w:sz w:val="18"/>
                <w:szCs w:val="18"/>
                <w:color w:val="auto"/>
              </w:rPr>
            </w:pPr>
          </w:p>
        </w:tc>
        <w:tc>
          <w:tcPr>
            <w:tcW w:w="1080" w:type="dxa"/>
            <w:vAlign w:val="bottom"/>
            <w:gridSpan w:val="4"/>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b w:val="1"/>
                <w:bCs w:val="1"/>
                <w:color w:val="auto"/>
              </w:rPr>
              <w:t>Flow</w:t>
            </w:r>
          </w:p>
        </w:tc>
        <w:tc>
          <w:tcPr>
            <w:tcW w:w="820" w:type="dxa"/>
            <w:vAlign w:val="bottom"/>
          </w:tcPr>
          <w:p>
            <w:pPr>
              <w:jc w:val="right"/>
              <w:spacing w:after="0"/>
              <w:rPr>
                <w:sz w:val="20"/>
                <w:szCs w:val="20"/>
                <w:color w:val="auto"/>
              </w:rPr>
            </w:pPr>
            <w:r>
              <w:rPr>
                <w:rFonts w:ascii="Arial" w:cs="Arial" w:eastAsia="Arial" w:hAnsi="Arial"/>
                <w:sz w:val="18"/>
                <w:szCs w:val="18"/>
                <w:color w:val="auto"/>
              </w:rPr>
              <w:t>0.18%</w:t>
            </w:r>
          </w:p>
        </w:tc>
        <w:tc>
          <w:tcPr>
            <w:tcW w:w="6400" w:type="dxa"/>
            <w:vAlign w:val="bottom"/>
            <w:gridSpan w:val="21"/>
          </w:tcPr>
          <w:p>
            <w:pPr>
              <w:ind w:left="60"/>
              <w:spacing w:after="0"/>
              <w:rPr>
                <w:sz w:val="20"/>
                <w:szCs w:val="20"/>
                <w:color w:val="auto"/>
              </w:rPr>
            </w:pPr>
            <w:r>
              <w:rPr>
                <w:rFonts w:ascii="Arial" w:cs="Arial" w:eastAsia="Arial" w:hAnsi="Arial"/>
                <w:sz w:val="18"/>
                <w:szCs w:val="18"/>
                <w:color w:val="auto"/>
                <w:w w:val="89"/>
              </w:rPr>
              <w:t>Applied to the affiliates’ monthly remuneration since June 2017. Feb 17- may 17 =0.87%.</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240" w:type="dxa"/>
            <w:vAlign w:val="bottom"/>
            <w:gridSpan w:val="26"/>
            <w:shd w:val="clear" w:color="auto" w:fill="CCEEFF"/>
          </w:tcPr>
          <w:p>
            <w:pPr>
              <w:ind w:left="60"/>
              <w:spacing w:after="0" w:line="198" w:lineRule="exact"/>
              <w:rPr>
                <w:sz w:val="20"/>
                <w:szCs w:val="20"/>
                <w:color w:val="auto"/>
              </w:rPr>
            </w:pPr>
            <w:r>
              <w:rPr>
                <w:rFonts w:ascii="Arial" w:cs="Arial" w:eastAsia="Arial" w:hAnsi="Arial"/>
                <w:sz w:val="18"/>
                <w:szCs w:val="18"/>
                <w:color w:val="auto"/>
                <w:w w:val="87"/>
              </w:rPr>
              <w:t>Applies annualy to the new balance since February 2013 for new affiliates to the system and beginning on June 2013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Balance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260" w:type="dxa"/>
            <w:vAlign w:val="bottom"/>
            <w:gridSpan w:val="12"/>
            <w:shd w:val="clear" w:color="auto" w:fill="CCEEFF"/>
          </w:tcPr>
          <w:p>
            <w:pPr>
              <w:ind w:left="60"/>
              <w:spacing w:after="0"/>
              <w:rPr>
                <w:sz w:val="20"/>
                <w:szCs w:val="20"/>
                <w:color w:val="auto"/>
              </w:rPr>
            </w:pPr>
            <w:r>
              <w:rPr>
                <w:rFonts w:ascii="Arial" w:cs="Arial" w:eastAsia="Arial" w:hAnsi="Arial"/>
                <w:sz w:val="18"/>
                <w:szCs w:val="18"/>
                <w:color w:val="auto"/>
                <w:w w:val="88"/>
              </w:rPr>
              <w:t>for old affiliates who have chosen this commission scheme.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Main Indicators</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Prima</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System</w:t>
            </w:r>
          </w:p>
        </w:tc>
        <w:tc>
          <w:tcPr>
            <w:tcW w:w="110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2"/>
              </w:rPr>
              <w:t>% share</w:t>
            </w:r>
          </w:p>
        </w:tc>
        <w:tc>
          <w:tcPr>
            <w:tcW w:w="1040" w:type="dxa"/>
            <w:vAlign w:val="bottom"/>
            <w:gridSpan w:val="4"/>
          </w:tcPr>
          <w:p>
            <w:pPr>
              <w:ind w:left="80"/>
              <w:spacing w:after="0"/>
              <w:rPr>
                <w:sz w:val="20"/>
                <w:szCs w:val="20"/>
                <w:color w:val="auto"/>
              </w:rPr>
            </w:pPr>
            <w:r>
              <w:rPr>
                <w:rFonts w:ascii="Arial" w:cs="Arial" w:eastAsia="Arial" w:hAnsi="Arial"/>
                <w:sz w:val="18"/>
                <w:szCs w:val="18"/>
                <w:b w:val="1"/>
                <w:bCs w:val="1"/>
                <w:color w:val="auto"/>
              </w:rPr>
              <w:t>Prima</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4"/>
              </w:rPr>
              <w:t>System</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 share</w:t>
            </w:r>
          </w:p>
        </w:tc>
        <w:tc>
          <w:tcPr>
            <w:tcW w:w="0" w:type="dxa"/>
            <w:vAlign w:val="bottom"/>
          </w:tcPr>
          <w:p>
            <w:pPr>
              <w:spacing w:after="0"/>
              <w:rPr>
                <w:sz w:val="1"/>
                <w:szCs w:val="1"/>
                <w:color w:val="auto"/>
              </w:rPr>
            </w:pPr>
          </w:p>
        </w:tc>
      </w:tr>
      <w:tr>
        <w:trPr>
          <w:trHeight w:val="228"/>
        </w:trPr>
        <w:tc>
          <w:tcPr>
            <w:tcW w:w="3000" w:type="dxa"/>
            <w:vAlign w:val="bottom"/>
            <w:gridSpan w:val="3"/>
          </w:tcPr>
          <w:p>
            <w:pPr>
              <w:spacing w:after="0"/>
              <w:rPr>
                <w:sz w:val="20"/>
                <w:szCs w:val="20"/>
                <w:color w:val="auto"/>
              </w:rPr>
            </w:pPr>
            <w:r>
              <w:rPr>
                <w:rFonts w:ascii="Arial" w:cs="Arial" w:eastAsia="Arial" w:hAnsi="Arial"/>
                <w:sz w:val="18"/>
                <w:szCs w:val="18"/>
                <w:b w:val="1"/>
                <w:bCs w:val="1"/>
                <w:color w:val="auto"/>
              </w:rPr>
              <w:t>Main indicators and market share</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2Q21</w:t>
            </w: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2Q21</w:t>
            </w:r>
          </w:p>
        </w:tc>
        <w:tc>
          <w:tcPr>
            <w:tcW w:w="80" w:type="dxa"/>
            <w:vAlign w:val="bottom"/>
          </w:tcPr>
          <w:p>
            <w:pPr>
              <w:spacing w:after="0"/>
              <w:rPr>
                <w:sz w:val="19"/>
                <w:szCs w:val="19"/>
                <w:color w:val="auto"/>
              </w:rPr>
            </w:pPr>
          </w:p>
        </w:tc>
        <w:tc>
          <w:tcPr>
            <w:tcW w:w="102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2Q21</w:t>
            </w:r>
          </w:p>
        </w:tc>
        <w:tc>
          <w:tcPr>
            <w:tcW w:w="1040" w:type="dxa"/>
            <w:vAlign w:val="bottom"/>
            <w:gridSpan w:val="4"/>
          </w:tcPr>
          <w:p>
            <w:pPr>
              <w:ind w:left="160"/>
              <w:spacing w:after="0"/>
              <w:rPr>
                <w:sz w:val="20"/>
                <w:szCs w:val="20"/>
                <w:color w:val="auto"/>
              </w:rPr>
            </w:pPr>
            <w:r>
              <w:rPr>
                <w:rFonts w:ascii="Arial" w:cs="Arial" w:eastAsia="Arial" w:hAnsi="Arial"/>
                <w:sz w:val="18"/>
                <w:szCs w:val="18"/>
                <w:b w:val="1"/>
                <w:bCs w:val="1"/>
                <w:color w:val="auto"/>
              </w:rPr>
              <w:t>3Q21</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3Q21</w:t>
            </w:r>
          </w:p>
        </w:tc>
        <w:tc>
          <w:tcPr>
            <w:tcW w:w="18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3Q21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Affiliates</w:t>
            </w: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2,353,808</w:t>
            </w:r>
          </w:p>
        </w:tc>
        <w:tc>
          <w:tcPr>
            <w:tcW w:w="80" w:type="dxa"/>
            <w:vAlign w:val="bottom"/>
            <w:vMerge w:val="continue"/>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7,987,142</w:t>
            </w:r>
          </w:p>
        </w:tc>
        <w:tc>
          <w:tcPr>
            <w:tcW w:w="24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020" w:type="dxa"/>
            <w:vAlign w:val="bottom"/>
            <w:gridSpan w:val="4"/>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29.5%</w:t>
            </w:r>
          </w:p>
        </w:tc>
        <w:tc>
          <w:tcPr>
            <w:tcW w:w="72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2,351,087</w:t>
            </w:r>
          </w:p>
        </w:tc>
        <w:tc>
          <w:tcPr>
            <w:tcW w:w="32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8,120,364</w:t>
            </w:r>
          </w:p>
        </w:tc>
        <w:tc>
          <w:tcPr>
            <w:tcW w:w="14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160" w:type="dxa"/>
            <w:vAlign w:val="bottom"/>
          </w:tcPr>
          <w:p>
            <w:pPr>
              <w:spacing w:after="0" w:line="249" w:lineRule="exact"/>
              <w:rPr>
                <w:sz w:val="20"/>
                <w:szCs w:val="20"/>
                <w:color w:val="auto"/>
              </w:rPr>
            </w:pPr>
            <w:r>
              <w:rPr>
                <w:rFonts w:ascii="Arial" w:cs="Arial" w:eastAsia="Arial" w:hAnsi="Arial"/>
                <w:sz w:val="17"/>
                <w:szCs w:val="17"/>
                <w:color w:val="auto"/>
              </w:rPr>
              <w:t xml:space="preserve">New affiliations </w:t>
            </w:r>
            <w:r>
              <w:rPr>
                <w:rFonts w:ascii="Arial" w:cs="Arial" w:eastAsia="Arial" w:hAnsi="Arial"/>
                <w:sz w:val="28"/>
                <w:szCs w:val="28"/>
                <w:color w:val="auto"/>
                <w:vertAlign w:val="superscript"/>
              </w:rPr>
              <w:t>(2)</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114,820</w:t>
            </w:r>
          </w:p>
        </w:tc>
        <w:tc>
          <w:tcPr>
            <w:tcW w:w="1100" w:type="dxa"/>
            <w:vAlign w:val="bottom"/>
            <w:gridSpan w:val="5"/>
          </w:tcPr>
          <w:p>
            <w:pPr>
              <w:jc w:val="right"/>
              <w:ind w:right="220"/>
              <w:spacing w:after="0"/>
              <w:rPr>
                <w:sz w:val="20"/>
                <w:szCs w:val="20"/>
                <w:color w:val="auto"/>
              </w:rPr>
            </w:pPr>
            <w:r>
              <w:rPr>
                <w:rFonts w:ascii="Arial" w:cs="Arial" w:eastAsia="Arial" w:hAnsi="Arial"/>
                <w:sz w:val="18"/>
                <w:szCs w:val="18"/>
                <w:color w:val="auto"/>
              </w:rPr>
              <w:t>0.0%</w:t>
            </w:r>
          </w:p>
        </w:tc>
        <w:tc>
          <w:tcPr>
            <w:tcW w:w="104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139,360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Funds under management (S/ Millions)</w:t>
            </w:r>
          </w:p>
        </w:tc>
        <w:tc>
          <w:tcPr>
            <w:tcW w:w="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47,114</w:t>
            </w:r>
          </w:p>
        </w:tc>
        <w:tc>
          <w:tcPr>
            <w:tcW w:w="24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158,148</w:t>
            </w:r>
          </w:p>
        </w:tc>
        <w:tc>
          <w:tcPr>
            <w:tcW w:w="24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29.8%</w:t>
            </w:r>
          </w:p>
        </w:tc>
        <w:tc>
          <w:tcPr>
            <w:tcW w:w="10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38,719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129,169</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160" w:type="dxa"/>
            <w:vAlign w:val="bottom"/>
          </w:tcPr>
          <w:p>
            <w:pPr>
              <w:spacing w:after="0" w:line="249" w:lineRule="exact"/>
              <w:rPr>
                <w:sz w:val="20"/>
                <w:szCs w:val="20"/>
                <w:color w:val="auto"/>
              </w:rPr>
            </w:pPr>
            <w:r>
              <w:rPr>
                <w:rFonts w:ascii="Arial" w:cs="Arial" w:eastAsia="Arial" w:hAnsi="Arial"/>
                <w:sz w:val="17"/>
                <w:szCs w:val="17"/>
                <w:color w:val="auto"/>
              </w:rPr>
              <w:t xml:space="preserve">Collections (S/ Millions) </w:t>
            </w:r>
            <w:r>
              <w:rPr>
                <w:rFonts w:ascii="Arial" w:cs="Arial" w:eastAsia="Arial" w:hAnsi="Arial"/>
                <w:sz w:val="28"/>
                <w:szCs w:val="28"/>
                <w:color w:val="auto"/>
                <w:vertAlign w:val="superscript"/>
              </w:rPr>
              <w:t>(1)</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689</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3,295</w:t>
            </w:r>
          </w:p>
        </w:tc>
        <w:tc>
          <w:tcPr>
            <w:tcW w:w="240" w:type="dxa"/>
            <w:vAlign w:val="bottom"/>
          </w:tcPr>
          <w:p>
            <w:pPr>
              <w:spacing w:after="0"/>
              <w:rPr>
                <w:sz w:val="21"/>
                <w:szCs w:val="21"/>
                <w:color w:val="auto"/>
              </w:rPr>
            </w:pPr>
          </w:p>
        </w:tc>
        <w:tc>
          <w:tcPr>
            <w:tcW w:w="1100" w:type="dxa"/>
            <w:vAlign w:val="bottom"/>
            <w:gridSpan w:val="5"/>
          </w:tcPr>
          <w:p>
            <w:pPr>
              <w:jc w:val="right"/>
              <w:ind w:right="220"/>
              <w:spacing w:after="0"/>
              <w:rPr>
                <w:sz w:val="20"/>
                <w:szCs w:val="20"/>
                <w:color w:val="auto"/>
              </w:rPr>
            </w:pPr>
            <w:r>
              <w:rPr>
                <w:rFonts w:ascii="Arial" w:cs="Arial" w:eastAsia="Arial" w:hAnsi="Arial"/>
                <w:sz w:val="18"/>
                <w:szCs w:val="18"/>
                <w:color w:val="auto"/>
              </w:rPr>
              <w:t>20.9%</w:t>
            </w:r>
          </w:p>
        </w:tc>
        <w:tc>
          <w:tcPr>
            <w:tcW w:w="1040" w:type="dxa"/>
            <w:vAlign w:val="bottom"/>
            <w:gridSpan w:val="4"/>
          </w:tcPr>
          <w:p>
            <w:pPr>
              <w:jc w:val="right"/>
              <w:ind w:right="320"/>
              <w:spacing w:after="0"/>
              <w:rPr>
                <w:sz w:val="20"/>
                <w:szCs w:val="20"/>
                <w:color w:val="auto"/>
              </w:rPr>
            </w:pPr>
            <w:r>
              <w:rPr>
                <w:rFonts w:ascii="Arial" w:cs="Arial" w:eastAsia="Arial" w:hAnsi="Arial"/>
                <w:sz w:val="18"/>
                <w:szCs w:val="18"/>
                <w:color w:val="auto"/>
              </w:rPr>
              <w:t>1,016</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3,591</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98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 xml:space="preserve">Voluntary contributions (S/ Millions) </w:t>
            </w:r>
            <w:r>
              <w:rPr>
                <w:rFonts w:ascii="Arial" w:cs="Arial" w:eastAsia="Arial" w:hAnsi="Arial"/>
                <w:sz w:val="28"/>
                <w:szCs w:val="28"/>
                <w:color w:val="auto"/>
                <w:vertAlign w:val="superscript"/>
              </w:rPr>
              <w:t>(1)</w:t>
            </w:r>
          </w:p>
        </w:tc>
        <w:tc>
          <w:tcPr>
            <w:tcW w:w="44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1,011</w:t>
            </w:r>
          </w:p>
        </w:tc>
        <w:tc>
          <w:tcPr>
            <w:tcW w:w="240" w:type="dxa"/>
            <w:vAlign w:val="bottom"/>
            <w:tcBorders>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240" w:type="dxa"/>
            <w:vAlign w:val="bottom"/>
            <w:shd w:val="clear" w:color="auto" w:fill="CCEEFF"/>
          </w:tcPr>
          <w:p>
            <w:pPr>
              <w:spacing w:after="0"/>
              <w:rPr>
                <w:sz w:val="21"/>
                <w:szCs w:val="21"/>
                <w:color w:val="auto"/>
              </w:rPr>
            </w:pPr>
          </w:p>
        </w:tc>
        <w:tc>
          <w:tcPr>
            <w:tcW w:w="11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40.8%</w:t>
            </w:r>
          </w:p>
        </w:tc>
        <w:tc>
          <w:tcPr>
            <w:tcW w:w="10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1,073</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 xml:space="preserve">RAM (S/ Millions) </w:t>
            </w:r>
            <w:r>
              <w:rPr>
                <w:rFonts w:ascii="Arial" w:cs="Arial" w:eastAsia="Arial" w:hAnsi="Arial"/>
                <w:sz w:val="29"/>
                <w:szCs w:val="29"/>
                <w:color w:val="auto"/>
                <w:vertAlign w:val="superscript"/>
              </w:rPr>
              <w:t>(3)</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1,379</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4,479</w:t>
            </w:r>
          </w:p>
        </w:tc>
        <w:tc>
          <w:tcPr>
            <w:tcW w:w="240" w:type="dxa"/>
            <w:vAlign w:val="bottom"/>
          </w:tcPr>
          <w:p>
            <w:pPr>
              <w:spacing w:after="0"/>
              <w:rPr>
                <w:sz w:val="24"/>
                <w:szCs w:val="24"/>
                <w:color w:val="auto"/>
              </w:rPr>
            </w:pPr>
          </w:p>
        </w:tc>
        <w:tc>
          <w:tcPr>
            <w:tcW w:w="1100" w:type="dxa"/>
            <w:vAlign w:val="bottom"/>
            <w:gridSpan w:val="5"/>
          </w:tcPr>
          <w:p>
            <w:pPr>
              <w:jc w:val="right"/>
              <w:ind w:right="220"/>
              <w:spacing w:after="0"/>
              <w:rPr>
                <w:sz w:val="20"/>
                <w:szCs w:val="20"/>
                <w:color w:val="auto"/>
              </w:rPr>
            </w:pPr>
            <w:r>
              <w:rPr>
                <w:rFonts w:ascii="Arial" w:cs="Arial" w:eastAsia="Arial" w:hAnsi="Arial"/>
                <w:sz w:val="18"/>
                <w:szCs w:val="18"/>
                <w:color w:val="auto"/>
              </w:rPr>
              <w:t>30.8%</w:t>
            </w:r>
          </w:p>
        </w:tc>
        <w:tc>
          <w:tcPr>
            <w:tcW w:w="1040" w:type="dxa"/>
            <w:vAlign w:val="bottom"/>
            <w:gridSpan w:val="4"/>
          </w:tcPr>
          <w:p>
            <w:pPr>
              <w:jc w:val="right"/>
              <w:ind w:right="320"/>
              <w:spacing w:after="0"/>
              <w:rPr>
                <w:sz w:val="20"/>
                <w:szCs w:val="20"/>
                <w:color w:val="auto"/>
              </w:rPr>
            </w:pPr>
            <w:r>
              <w:rPr>
                <w:rFonts w:ascii="Arial" w:cs="Arial" w:eastAsia="Arial" w:hAnsi="Arial"/>
                <w:sz w:val="18"/>
                <w:szCs w:val="18"/>
                <w:color w:val="auto"/>
              </w:rPr>
              <w:t>1,316</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4,322</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SBS</w:t>
      </w:r>
    </w:p>
    <w:p>
      <w:pPr>
        <w:spacing w:after="0" w:line="15" w:lineRule="exact"/>
        <w:rPr>
          <w:sz w:val="20"/>
          <w:szCs w:val="20"/>
          <w:color w:val="auto"/>
        </w:rPr>
      </w:pPr>
    </w:p>
    <w:p>
      <w:pPr>
        <w:ind w:left="260" w:hanging="255"/>
        <w:spacing w:after="0"/>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Information available as of August 2021.</w:t>
      </w:r>
    </w:p>
    <w:p>
      <w:pPr>
        <w:spacing w:after="0" w:line="3" w:lineRule="exact"/>
        <w:rPr>
          <w:rFonts w:ascii="Arial" w:cs="Arial" w:eastAsia="Arial" w:hAnsi="Arial"/>
          <w:sz w:val="18"/>
          <w:szCs w:val="18"/>
          <w:color w:val="auto"/>
        </w:rPr>
      </w:pPr>
    </w:p>
    <w:p>
      <w:pPr>
        <w:ind w:left="240" w:hanging="235"/>
        <w:spacing w:after="0"/>
        <w:tabs>
          <w:tab w:leader="none" w:pos="2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of June 2021, another AFP has the exclusivity of affiliations.</w:t>
      </w:r>
    </w:p>
    <w:p>
      <w:pPr>
        <w:spacing w:after="0" w:line="3" w:lineRule="exact"/>
        <w:rPr>
          <w:rFonts w:ascii="Arial" w:cs="Arial" w:eastAsia="Arial" w:hAnsi="Arial"/>
          <w:sz w:val="18"/>
          <w:szCs w:val="18"/>
          <w:color w:val="auto"/>
        </w:rPr>
      </w:pPr>
    </w:p>
    <w:p>
      <w:pPr>
        <w:ind w:left="260" w:hanging="255"/>
        <w:spacing w:after="0"/>
        <w:tabs>
          <w:tab w:leader="none" w:pos="2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Prima AFP estimate: Average of aggregated income for flow during the last 4 months, excluding special collections and voluntary contribution fees.</w:t>
      </w:r>
    </w:p>
    <w:p>
      <w:pPr>
        <w:sectPr>
          <w:pgSz w:w="11900" w:h="16838" w:orient="portrait"/>
          <w:cols w:equalWidth="0" w:num="1">
            <w:col w:w="11240"/>
          </w:cols>
          <w:pgMar w:left="320" w:top="1440" w:right="339" w:bottom="0" w:gutter="0" w:footer="0" w:header="0"/>
        </w:sectPr>
      </w:pPr>
    </w:p>
    <w:bookmarkStart w:id="83" w:name="page84"/>
    <w:bookmarkEnd w:id="83"/>
    <w:p>
      <w:pPr>
        <w:ind w:left="9940"/>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24130</wp:posOffset>
            </wp:positionV>
            <wp:extent cx="713613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120"/>
          </w:cols>
          <w:pgMar w:left="1440" w:top="547"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12.11. Portfolio Quality indicators by Business Segment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Wholesale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13970</wp:posOffset>
            </wp:positionV>
            <wp:extent cx="5685790" cy="2200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85790" cy="2200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SME-Business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744855</wp:posOffset>
            </wp:positionH>
            <wp:positionV relativeFrom="paragraph">
              <wp:posOffset>13970</wp:posOffset>
            </wp:positionV>
            <wp:extent cx="5652135" cy="21088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65213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SME-Pyme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736600</wp:posOffset>
            </wp:positionH>
            <wp:positionV relativeFrom="paragraph">
              <wp:posOffset>13970</wp:posOffset>
            </wp:positionV>
            <wp:extent cx="5668645" cy="21590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6864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85" w:name="page86"/>
    <w:bookmarkEnd w:id="85"/>
    <w:p>
      <w:pPr>
        <w:ind w:left="4140"/>
        <w:spacing w:after="0"/>
        <w:rPr>
          <w:sz w:val="20"/>
          <w:szCs w:val="20"/>
          <w:color w:val="auto"/>
        </w:rPr>
      </w:pPr>
      <w:r>
        <w:rPr>
          <w:rFonts w:ascii="Arial" w:cs="Arial" w:eastAsia="Arial" w:hAnsi="Arial"/>
          <w:sz w:val="18"/>
          <w:szCs w:val="18"/>
          <w:b w:val="1"/>
          <w:bCs w:val="1"/>
          <w:color w:val="auto"/>
        </w:rPr>
        <w:t>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13970</wp:posOffset>
            </wp:positionV>
            <wp:extent cx="5635625" cy="20339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35625" cy="2033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13335</wp:posOffset>
            </wp:positionV>
            <wp:extent cx="5685790" cy="21590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85790"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Credit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13970</wp:posOffset>
            </wp:positionV>
            <wp:extent cx="5652135" cy="2167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652135" cy="216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9525</wp:posOffset>
            </wp:positionV>
            <wp:extent cx="713613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120"/>
          </w:cols>
          <w:pgMar w:left="1440" w:top="882" w:right="339" w:bottom="1440" w:gutter="0" w:footer="0" w:header="0"/>
        </w:sectPr>
      </w:pPr>
    </w:p>
    <w:bookmarkStart w:id="86" w:name="page87"/>
    <w:bookmarkEnd w:id="86"/>
    <w:p>
      <w:pPr>
        <w:ind w:left="4180"/>
        <w:spacing w:after="0"/>
        <w:rPr>
          <w:sz w:val="20"/>
          <w:szCs w:val="20"/>
          <w:color w:val="auto"/>
        </w:rPr>
      </w:pPr>
      <w:r>
        <w:rPr>
          <w:rFonts w:ascii="Arial" w:cs="Arial" w:eastAsia="Arial" w:hAnsi="Arial"/>
          <w:sz w:val="18"/>
          <w:szCs w:val="18"/>
          <w:b w:val="1"/>
          <w:bCs w:val="1"/>
          <w:color w:val="auto"/>
        </w:rPr>
        <w:t>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13335</wp:posOffset>
            </wp:positionV>
            <wp:extent cx="5652135" cy="22339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652135" cy="2233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BCP Bolivia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13970</wp:posOffset>
            </wp:positionV>
            <wp:extent cx="5619115" cy="23507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619115" cy="235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9525</wp:posOffset>
            </wp:positionV>
            <wp:extent cx="713613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120"/>
          </w:cols>
          <w:pgMar w:left="1440" w:top="883"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12.12. Table of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753745</wp:posOffset>
            </wp:positionH>
            <wp:positionV relativeFrom="paragraph">
              <wp:posOffset>147320</wp:posOffset>
            </wp:positionV>
            <wp:extent cx="5635625" cy="55524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635625" cy="5552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40" w:hanging="235"/>
        <w:spacing w:after="0"/>
        <w:tabs>
          <w:tab w:leader="none" w:pos="2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14" w:lineRule="exact"/>
        <w:rPr>
          <w:rFonts w:ascii="Arial" w:cs="Arial" w:eastAsia="Arial" w:hAnsi="Arial"/>
          <w:sz w:val="18"/>
          <w:szCs w:val="18"/>
          <w:color w:val="auto"/>
        </w:rPr>
      </w:pPr>
    </w:p>
    <w:p>
      <w:pPr>
        <w:ind w:left="260" w:hanging="255"/>
        <w:spacing w:after="0"/>
        <w:tabs>
          <w:tab w:leader="none" w:pos="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total deposits, due to banks and correspondents, BCRP instruments, repurchase agreements and bonds and notes issued.</w:t>
      </w:r>
    </w:p>
    <w:p>
      <w:pPr>
        <w:spacing w:after="0" w:line="3" w:lineRule="exact"/>
        <w:rPr>
          <w:rFonts w:ascii="Arial" w:cs="Arial" w:eastAsia="Arial" w:hAnsi="Arial"/>
          <w:sz w:val="18"/>
          <w:szCs w:val="18"/>
          <w:color w:val="auto"/>
        </w:rPr>
      </w:pPr>
    </w:p>
    <w:p>
      <w:pPr>
        <w:ind w:left="260" w:hanging="255"/>
        <w:spacing w:after="0"/>
        <w:tabs>
          <w:tab w:leader="none" w:pos="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Does not include Life insurance business.</w:t>
      </w:r>
    </w:p>
    <w:p>
      <w:pPr>
        <w:spacing w:after="0" w:line="3" w:lineRule="exact"/>
        <w:rPr>
          <w:rFonts w:ascii="Arial" w:cs="Arial" w:eastAsia="Arial" w:hAnsi="Arial"/>
          <w:sz w:val="18"/>
          <w:szCs w:val="18"/>
          <w:color w:val="auto"/>
        </w:rPr>
      </w:pPr>
    </w:p>
    <w:p>
      <w:pPr>
        <w:jc w:val="both"/>
        <w:ind w:firstLine="5"/>
        <w:spacing w:after="0" w:line="274" w:lineRule="auto"/>
        <w:tabs>
          <w:tab w:leader="none" w:pos="264" w:val="left"/>
        </w:tabs>
        <w:numPr>
          <w:ilvl w:val="0"/>
          <w:numId w:val="90"/>
        </w:numPr>
        <w:rPr>
          <w:rFonts w:ascii="Arial" w:cs="Arial" w:eastAsia="Arial" w:hAnsi="Arial"/>
          <w:sz w:val="16"/>
          <w:szCs w:val="16"/>
          <w:color w:val="auto"/>
        </w:rPr>
      </w:pPr>
      <w:r>
        <w:rPr>
          <w:rFonts w:ascii="Arial" w:cs="Arial" w:eastAsia="Arial" w:hAnsi="Arial"/>
          <w:sz w:val="16"/>
          <w:szCs w:val="16"/>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60" w:hanging="255"/>
        <w:spacing w:after="0"/>
        <w:tabs>
          <w:tab w:leader="none" w:pos="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investment in subsidiaries, goodwill, intangibles and deferred tax that rely on future profitability.</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13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12.13. Glossary of terms</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4180" w:type="dxa"/>
            <w:vAlign w:val="bottom"/>
            <w:tcBorders>
              <w:top w:val="single" w:sz="8" w:color="auto"/>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w w:val="98"/>
              </w:rPr>
              <w:t>Government Program Loans (“GP or GP loans”)</w:t>
            </w:r>
          </w:p>
        </w:tc>
        <w:tc>
          <w:tcPr>
            <w:tcW w:w="70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9"/>
              </w:rPr>
              <w:t>Loan Portfolio related to Reactiva Peru and FAE-Mype programs to respond quickly and</w:t>
            </w:r>
          </w:p>
        </w:tc>
        <w:tc>
          <w:tcPr>
            <w:tcW w:w="0" w:type="dxa"/>
            <w:vAlign w:val="bottom"/>
          </w:tcPr>
          <w:p>
            <w:pPr>
              <w:spacing w:after="0"/>
              <w:rPr>
                <w:sz w:val="1"/>
                <w:szCs w:val="1"/>
                <w:color w:val="auto"/>
              </w:rPr>
            </w:pPr>
          </w:p>
        </w:tc>
      </w:tr>
      <w:tr>
        <w:trPr>
          <w:trHeight w:val="117"/>
        </w:trPr>
        <w:tc>
          <w:tcPr>
            <w:tcW w:w="4180" w:type="dxa"/>
            <w:vAlign w:val="bottom"/>
            <w:tcBorders>
              <w:left w:val="single" w:sz="8" w:color="auto"/>
              <w:right w:val="single" w:sz="8" w:color="auto"/>
            </w:tcBorders>
            <w:vMerge w:val="continue"/>
          </w:tcPr>
          <w:p>
            <w:pPr>
              <w:spacing w:after="0"/>
              <w:rPr>
                <w:sz w:val="10"/>
                <w:szCs w:val="10"/>
                <w:color w:val="auto"/>
              </w:rPr>
            </w:pPr>
          </w:p>
        </w:tc>
        <w:tc>
          <w:tcPr>
            <w:tcW w:w="7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effectively to liquidity needs and maintain the payment chain.</w:t>
            </w:r>
          </w:p>
        </w:tc>
        <w:tc>
          <w:tcPr>
            <w:tcW w:w="0" w:type="dxa"/>
            <w:vAlign w:val="bottom"/>
          </w:tcPr>
          <w:p>
            <w:pPr>
              <w:spacing w:after="0"/>
              <w:rPr>
                <w:sz w:val="1"/>
                <w:szCs w:val="1"/>
                <w:color w:val="auto"/>
              </w:rPr>
            </w:pPr>
          </w:p>
        </w:tc>
      </w:tr>
      <w:tr>
        <w:trPr>
          <w:trHeight w:val="105"/>
        </w:trPr>
        <w:tc>
          <w:tcPr>
            <w:tcW w:w="4180" w:type="dxa"/>
            <w:vAlign w:val="bottom"/>
            <w:tcBorders>
              <w:left w:val="single" w:sz="8" w:color="auto"/>
              <w:right w:val="single" w:sz="8" w:color="auto"/>
            </w:tcBorders>
          </w:tcPr>
          <w:p>
            <w:pPr>
              <w:spacing w:after="0"/>
              <w:rPr>
                <w:sz w:val="9"/>
                <w:szCs w:val="9"/>
                <w:color w:val="auto"/>
              </w:rPr>
            </w:pPr>
          </w:p>
        </w:tc>
        <w:tc>
          <w:tcPr>
            <w:tcW w:w="70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7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Structural Loans</w:t>
            </w:r>
          </w:p>
        </w:tc>
        <w:tc>
          <w:tcPr>
            <w:tcW w:w="7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Loan Portfolio excluding GP Loans.</w:t>
            </w:r>
          </w:p>
        </w:tc>
        <w:tc>
          <w:tcPr>
            <w:tcW w:w="0" w:type="dxa"/>
            <w:vAlign w:val="bottom"/>
          </w:tcPr>
          <w:p>
            <w:pPr>
              <w:spacing w:after="0"/>
              <w:rPr>
                <w:sz w:val="1"/>
                <w:szCs w:val="1"/>
                <w:color w:val="auto"/>
              </w:rPr>
            </w:pPr>
          </w:p>
        </w:tc>
      </w:tr>
      <w:tr>
        <w:trPr>
          <w:trHeight w:val="27"/>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7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Non-Recurring Events at Interest Income</w:t>
            </w:r>
          </w:p>
        </w:tc>
        <w:tc>
          <w:tcPr>
            <w:tcW w:w="7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Impairment charge (related to the government facility that allowed for deferrement of certain</w:t>
            </w:r>
          </w:p>
        </w:tc>
        <w:tc>
          <w:tcPr>
            <w:tcW w:w="0" w:type="dxa"/>
            <w:vAlign w:val="bottom"/>
          </w:tcPr>
          <w:p>
            <w:pPr>
              <w:spacing w:after="0"/>
              <w:rPr>
                <w:sz w:val="1"/>
                <w:szCs w:val="1"/>
                <w:color w:val="auto"/>
              </w:rPr>
            </w:pPr>
          </w:p>
        </w:tc>
      </w:tr>
      <w:tr>
        <w:trPr>
          <w:trHeight w:val="117"/>
        </w:trPr>
        <w:tc>
          <w:tcPr>
            <w:tcW w:w="4180" w:type="dxa"/>
            <w:vAlign w:val="bottom"/>
            <w:tcBorders>
              <w:left w:val="single" w:sz="8" w:color="auto"/>
              <w:right w:val="single" w:sz="8" w:color="auto"/>
            </w:tcBorders>
            <w:vMerge w:val="continue"/>
          </w:tcPr>
          <w:p>
            <w:pPr>
              <w:spacing w:after="0"/>
              <w:rPr>
                <w:sz w:val="10"/>
                <w:szCs w:val="10"/>
                <w:color w:val="auto"/>
              </w:rPr>
            </w:pPr>
          </w:p>
        </w:tc>
        <w:tc>
          <w:tcPr>
            <w:tcW w:w="7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installments at zero cost) and subsequent amortization thereof.</w:t>
            </w:r>
          </w:p>
        </w:tc>
        <w:tc>
          <w:tcPr>
            <w:tcW w:w="0" w:type="dxa"/>
            <w:vAlign w:val="bottom"/>
          </w:tcPr>
          <w:p>
            <w:pPr>
              <w:spacing w:after="0"/>
              <w:rPr>
                <w:sz w:val="1"/>
                <w:szCs w:val="1"/>
                <w:color w:val="auto"/>
              </w:rPr>
            </w:pPr>
          </w:p>
        </w:tc>
      </w:tr>
      <w:tr>
        <w:trPr>
          <w:trHeight w:val="105"/>
        </w:trPr>
        <w:tc>
          <w:tcPr>
            <w:tcW w:w="4180" w:type="dxa"/>
            <w:vAlign w:val="bottom"/>
            <w:tcBorders>
              <w:left w:val="single" w:sz="8" w:color="auto"/>
              <w:right w:val="single" w:sz="8" w:color="auto"/>
            </w:tcBorders>
          </w:tcPr>
          <w:p>
            <w:pPr>
              <w:spacing w:after="0"/>
              <w:rPr>
                <w:sz w:val="9"/>
                <w:szCs w:val="9"/>
                <w:color w:val="auto"/>
              </w:rPr>
            </w:pPr>
          </w:p>
        </w:tc>
        <w:tc>
          <w:tcPr>
            <w:tcW w:w="70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7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Non-Recurring Events at Interest Expense</w:t>
            </w:r>
          </w:p>
        </w:tc>
        <w:tc>
          <w:tcPr>
            <w:tcW w:w="7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Charges related to the liability management operation at BCP (3Q20,1Q21).</w:t>
            </w:r>
          </w:p>
        </w:tc>
        <w:tc>
          <w:tcPr>
            <w:tcW w:w="0" w:type="dxa"/>
            <w:vAlign w:val="bottom"/>
          </w:tcPr>
          <w:p>
            <w:pPr>
              <w:spacing w:after="0"/>
              <w:rPr>
                <w:sz w:val="1"/>
                <w:szCs w:val="1"/>
                <w:color w:val="auto"/>
              </w:rPr>
            </w:pPr>
          </w:p>
        </w:tc>
      </w:tr>
      <w:tr>
        <w:trPr>
          <w:trHeight w:val="27"/>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7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Structural Cost of risk</w:t>
            </w:r>
          </w:p>
        </w:tc>
        <w:tc>
          <w:tcPr>
            <w:tcW w:w="7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Cost of Risk related to the Structural Loans. It excludes, in the numerator, provisions for credit</w:t>
            </w:r>
          </w:p>
        </w:tc>
        <w:tc>
          <w:tcPr>
            <w:tcW w:w="0" w:type="dxa"/>
            <w:vAlign w:val="bottom"/>
          </w:tcPr>
          <w:p>
            <w:pPr>
              <w:spacing w:after="0"/>
              <w:rPr>
                <w:sz w:val="1"/>
                <w:szCs w:val="1"/>
                <w:color w:val="auto"/>
              </w:rPr>
            </w:pPr>
          </w:p>
        </w:tc>
      </w:tr>
      <w:tr>
        <w:trPr>
          <w:trHeight w:val="117"/>
        </w:trPr>
        <w:tc>
          <w:tcPr>
            <w:tcW w:w="4180" w:type="dxa"/>
            <w:vAlign w:val="bottom"/>
            <w:tcBorders>
              <w:left w:val="single" w:sz="8" w:color="auto"/>
              <w:right w:val="single" w:sz="8" w:color="auto"/>
            </w:tcBorders>
            <w:vMerge w:val="continue"/>
          </w:tcPr>
          <w:p>
            <w:pPr>
              <w:spacing w:after="0"/>
              <w:rPr>
                <w:sz w:val="10"/>
                <w:szCs w:val="10"/>
                <w:color w:val="auto"/>
              </w:rPr>
            </w:pPr>
          </w:p>
        </w:tc>
        <w:tc>
          <w:tcPr>
            <w:tcW w:w="7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losses on GP loans, and in the denominator, the total amount of GP Loans.</w:t>
            </w:r>
          </w:p>
        </w:tc>
        <w:tc>
          <w:tcPr>
            <w:tcW w:w="0" w:type="dxa"/>
            <w:vAlign w:val="bottom"/>
          </w:tcPr>
          <w:p>
            <w:pPr>
              <w:spacing w:after="0"/>
              <w:rPr>
                <w:sz w:val="1"/>
                <w:szCs w:val="1"/>
                <w:color w:val="auto"/>
              </w:rPr>
            </w:pPr>
          </w:p>
        </w:tc>
      </w:tr>
      <w:tr>
        <w:trPr>
          <w:trHeight w:val="105"/>
        </w:trPr>
        <w:tc>
          <w:tcPr>
            <w:tcW w:w="4180" w:type="dxa"/>
            <w:vAlign w:val="bottom"/>
            <w:tcBorders>
              <w:left w:val="single" w:sz="8" w:color="auto"/>
              <w:right w:val="single" w:sz="8" w:color="auto"/>
            </w:tcBorders>
          </w:tcPr>
          <w:p>
            <w:pPr>
              <w:spacing w:after="0"/>
              <w:rPr>
                <w:sz w:val="9"/>
                <w:szCs w:val="9"/>
                <w:color w:val="auto"/>
              </w:rPr>
            </w:pPr>
          </w:p>
        </w:tc>
        <w:tc>
          <w:tcPr>
            <w:tcW w:w="70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7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Structural NPL ratio</w:t>
            </w:r>
          </w:p>
        </w:tc>
        <w:tc>
          <w:tcPr>
            <w:tcW w:w="7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NPL Ratio related to Structural Loans. It excludes the impact of GP Loans.</w:t>
            </w:r>
          </w:p>
        </w:tc>
        <w:tc>
          <w:tcPr>
            <w:tcW w:w="0" w:type="dxa"/>
            <w:vAlign w:val="bottom"/>
          </w:tcPr>
          <w:p>
            <w:pPr>
              <w:spacing w:after="0"/>
              <w:rPr>
                <w:sz w:val="1"/>
                <w:szCs w:val="1"/>
                <w:color w:val="auto"/>
              </w:rPr>
            </w:pPr>
          </w:p>
        </w:tc>
      </w:tr>
      <w:tr>
        <w:trPr>
          <w:trHeight w:val="27"/>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7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Structural NIM</w:t>
            </w:r>
          </w:p>
        </w:tc>
        <w:tc>
          <w:tcPr>
            <w:tcW w:w="7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NIM related to structural loans and other interest earning assets. It deducts the impact from GP</w:t>
            </w:r>
          </w:p>
        </w:tc>
        <w:tc>
          <w:tcPr>
            <w:tcW w:w="0" w:type="dxa"/>
            <w:vAlign w:val="bottom"/>
          </w:tcPr>
          <w:p>
            <w:pPr>
              <w:spacing w:after="0"/>
              <w:rPr>
                <w:sz w:val="1"/>
                <w:szCs w:val="1"/>
                <w:color w:val="auto"/>
              </w:rPr>
            </w:pPr>
          </w:p>
        </w:tc>
      </w:tr>
      <w:tr>
        <w:trPr>
          <w:trHeight w:val="117"/>
        </w:trPr>
        <w:tc>
          <w:tcPr>
            <w:tcW w:w="4180" w:type="dxa"/>
            <w:vAlign w:val="bottom"/>
            <w:tcBorders>
              <w:left w:val="single" w:sz="8" w:color="auto"/>
              <w:right w:val="single" w:sz="8" w:color="auto"/>
            </w:tcBorders>
            <w:vMerge w:val="continue"/>
          </w:tcPr>
          <w:p>
            <w:pPr>
              <w:spacing w:after="0"/>
              <w:rPr>
                <w:sz w:val="10"/>
                <w:szCs w:val="10"/>
                <w:color w:val="auto"/>
              </w:rPr>
            </w:pPr>
          </w:p>
        </w:tc>
        <w:tc>
          <w:tcPr>
            <w:tcW w:w="7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loans and non-recurring events from Interest Income and Interest Expenses.</w:t>
            </w:r>
          </w:p>
        </w:tc>
        <w:tc>
          <w:tcPr>
            <w:tcW w:w="0" w:type="dxa"/>
            <w:vAlign w:val="bottom"/>
          </w:tcPr>
          <w:p>
            <w:pPr>
              <w:spacing w:after="0"/>
              <w:rPr>
                <w:sz w:val="1"/>
                <w:szCs w:val="1"/>
                <w:color w:val="auto"/>
              </w:rPr>
            </w:pPr>
          </w:p>
        </w:tc>
      </w:tr>
      <w:tr>
        <w:trPr>
          <w:trHeight w:val="105"/>
        </w:trPr>
        <w:tc>
          <w:tcPr>
            <w:tcW w:w="4180" w:type="dxa"/>
            <w:vAlign w:val="bottom"/>
            <w:tcBorders>
              <w:left w:val="single" w:sz="8" w:color="auto"/>
              <w:right w:val="single" w:sz="8" w:color="auto"/>
            </w:tcBorders>
          </w:tcPr>
          <w:p>
            <w:pPr>
              <w:spacing w:after="0"/>
              <w:rPr>
                <w:sz w:val="9"/>
                <w:szCs w:val="9"/>
                <w:color w:val="auto"/>
              </w:rPr>
            </w:pPr>
          </w:p>
        </w:tc>
        <w:tc>
          <w:tcPr>
            <w:tcW w:w="70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7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Structural Funding Cost</w:t>
            </w:r>
          </w:p>
        </w:tc>
        <w:tc>
          <w:tcPr>
            <w:tcW w:w="7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1"/>
              </w:rPr>
              <w:t>Funding Cost deducting the impact in expenses and funding related to GP Loans and deducting</w:t>
            </w:r>
          </w:p>
        </w:tc>
        <w:tc>
          <w:tcPr>
            <w:tcW w:w="0" w:type="dxa"/>
            <w:vAlign w:val="bottom"/>
          </w:tcPr>
          <w:p>
            <w:pPr>
              <w:spacing w:after="0"/>
              <w:rPr>
                <w:sz w:val="1"/>
                <w:szCs w:val="1"/>
                <w:color w:val="auto"/>
              </w:rPr>
            </w:pPr>
          </w:p>
        </w:tc>
      </w:tr>
      <w:tr>
        <w:trPr>
          <w:trHeight w:val="117"/>
        </w:trPr>
        <w:tc>
          <w:tcPr>
            <w:tcW w:w="4180" w:type="dxa"/>
            <w:vAlign w:val="bottom"/>
            <w:tcBorders>
              <w:left w:val="single" w:sz="8" w:color="auto"/>
              <w:right w:val="single" w:sz="8" w:color="auto"/>
            </w:tcBorders>
            <w:vMerge w:val="continue"/>
          </w:tcPr>
          <w:p>
            <w:pPr>
              <w:spacing w:after="0"/>
              <w:rPr>
                <w:sz w:val="10"/>
                <w:szCs w:val="10"/>
                <w:color w:val="auto"/>
              </w:rPr>
            </w:pPr>
          </w:p>
        </w:tc>
        <w:tc>
          <w:tcPr>
            <w:tcW w:w="7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non-recurring events from Interest Expense.</w:t>
            </w:r>
          </w:p>
        </w:tc>
        <w:tc>
          <w:tcPr>
            <w:tcW w:w="0" w:type="dxa"/>
            <w:vAlign w:val="bottom"/>
          </w:tcPr>
          <w:p>
            <w:pPr>
              <w:spacing w:after="0"/>
              <w:rPr>
                <w:sz w:val="1"/>
                <w:szCs w:val="1"/>
                <w:color w:val="auto"/>
              </w:rPr>
            </w:pPr>
          </w:p>
        </w:tc>
      </w:tr>
      <w:tr>
        <w:trPr>
          <w:trHeight w:val="105"/>
        </w:trPr>
        <w:tc>
          <w:tcPr>
            <w:tcW w:w="4180" w:type="dxa"/>
            <w:vAlign w:val="bottom"/>
            <w:tcBorders>
              <w:left w:val="single" w:sz="8" w:color="auto"/>
              <w:right w:val="single" w:sz="8" w:color="auto"/>
            </w:tcBorders>
          </w:tcPr>
          <w:p>
            <w:pPr>
              <w:spacing w:after="0"/>
              <w:rPr>
                <w:sz w:val="9"/>
                <w:szCs w:val="9"/>
                <w:color w:val="auto"/>
              </w:rPr>
            </w:pPr>
          </w:p>
        </w:tc>
        <w:tc>
          <w:tcPr>
            <w:tcW w:w="70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7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23"/>
        </w:trPr>
        <w:tc>
          <w:tcPr>
            <w:tcW w:w="418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ind w:left="6880"/>
              <w:spacing w:after="0"/>
              <w:rPr>
                <w:sz w:val="20"/>
                <w:szCs w:val="20"/>
                <w:color w:val="auto"/>
              </w:rPr>
            </w:pPr>
            <w:r>
              <w:rPr>
                <w:rFonts w:ascii="Arial" w:cs="Arial" w:eastAsia="Arial" w:hAnsi="Arial"/>
                <w:sz w:val="16"/>
                <w:szCs w:val="16"/>
                <w:color w:val="auto"/>
                <w:w w:val="78"/>
              </w:rPr>
              <w:t>83</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1)"/>
      <w:numFmt w:val="decimal"/>
      <w:start w:val="1"/>
    </w:lvl>
  </w:abstractNum>
  <w:abstractNum w:abstractNumId="2">
    <w:nsid w:val="542289EC"/>
    <w:multiLevelType w:val="hybridMultilevel"/>
    <w:lvl w:ilvl="0">
      <w:lvlJc w:val="left"/>
      <w:lvlText w:val="(%1)"/>
      <w:numFmt w:val="lowerRoman"/>
      <w:start w:val="1"/>
    </w:lvl>
  </w:abstractNum>
  <w:abstractNum w:abstractNumId="3">
    <w:nsid w:val="6DE91B18"/>
    <w:multiLevelType w:val="hybridMultilevel"/>
    <w:lvl w:ilvl="0">
      <w:lvlJc w:val="left"/>
      <w:lvlText w:val="(%1)"/>
      <w:numFmt w:val="lowerRoman"/>
      <w:start w:val="1"/>
    </w:lvl>
  </w:abstractNum>
  <w:abstractNum w:abstractNumId="4">
    <w:nsid w:val="38437FDB"/>
    <w:multiLevelType w:val="hybridMultilevel"/>
    <w:lvl w:ilvl="0">
      <w:lvlJc w:val="left"/>
      <w:lvlText w:val="1"/>
      <w:numFmt w:val="bullet"/>
      <w:start w:val="1"/>
    </w:lvl>
  </w:abstractNum>
  <w:abstractNum w:abstractNumId="5">
    <w:nsid w:val="7644A45C"/>
    <w:multiLevelType w:val="hybridMultilevel"/>
    <w:lvl w:ilvl="0">
      <w:lvlJc w:val="left"/>
      <w:lvlText w:val="(%1)"/>
      <w:numFmt w:val="lowerRoman"/>
      <w:start w:val="2"/>
    </w:lvl>
  </w:abstractNum>
  <w:abstractNum w:abstractNumId="6">
    <w:nsid w:val="32FFF902"/>
    <w:multiLevelType w:val="hybridMultilevel"/>
    <w:lvl w:ilvl="0">
      <w:lvlJc w:val="left"/>
      <w:lvlText w:val="(%1)"/>
      <w:numFmt w:val="decimal"/>
      <w:start w:val="1"/>
    </w:lvl>
  </w:abstractNum>
  <w:abstractNum w:abstractNumId="7">
    <w:nsid w:val="684A481A"/>
    <w:multiLevelType w:val="hybridMultilevel"/>
    <w:lvl w:ilvl="0">
      <w:lvlJc w:val="left"/>
      <w:lvlText w:val="(%1)"/>
      <w:numFmt w:val="lowerRoman"/>
      <w:start w:val="1"/>
    </w:lvl>
  </w:abstractNum>
  <w:abstractNum w:abstractNumId="8">
    <w:nsid w:val="579478FE"/>
    <w:multiLevelType w:val="hybridMultilevel"/>
    <w:lvl w:ilvl="0">
      <w:lvlJc w:val="left"/>
      <w:lvlText w:val="(%1)"/>
      <w:numFmt w:val="lowerRoman"/>
      <w:start w:val="1"/>
    </w:lvl>
  </w:abstractNum>
  <w:abstractNum w:abstractNumId="9">
    <w:nsid w:val="749ABB43"/>
    <w:multiLevelType w:val="hybridMultilevel"/>
    <w:lvl w:ilvl="0">
      <w:lvlJc w:val="left"/>
      <w:lvlText w:val="(%1)"/>
      <w:numFmt w:val="decimal"/>
      <w:start w:val="1"/>
    </w:lvl>
  </w:abstractNum>
  <w:abstractNum w:abstractNumId="10">
    <w:nsid w:val="3DC240FB"/>
    <w:multiLevelType w:val="hybridMultilevel"/>
    <w:lvl w:ilvl="0">
      <w:lvlJc w:val="left"/>
      <w:lvlText w:val="(%1)"/>
      <w:numFmt w:val="decimal"/>
      <w:start w:val="1"/>
    </w:lvl>
  </w:abstractNum>
  <w:abstractNum w:abstractNumId="11">
    <w:nsid w:val="1BA026FA"/>
    <w:multiLevelType w:val="hybridMultilevel"/>
    <w:lvl w:ilvl="0">
      <w:lvlJc w:val="left"/>
      <w:lvlText w:val="(%1)"/>
      <w:numFmt w:val="lowerRoman"/>
      <w:start w:val="1"/>
    </w:lvl>
  </w:abstractNum>
  <w:abstractNum w:abstractNumId="12">
    <w:nsid w:val="79A1DEAA"/>
    <w:multiLevelType w:val="hybridMultilevel"/>
    <w:lvl w:ilvl="0">
      <w:lvlJc w:val="left"/>
      <w:lvlText w:val="(%1)"/>
      <w:numFmt w:val="lowerRoman"/>
      <w:start w:val="4"/>
    </w:lvl>
  </w:abstractNum>
  <w:abstractNum w:abstractNumId="13">
    <w:nsid w:val="75C6C33A"/>
    <w:multiLevelType w:val="hybridMultilevel"/>
    <w:lvl w:ilvl="0">
      <w:lvlJc w:val="left"/>
      <w:lvlText w:val="(%1)"/>
      <w:numFmt w:val="decimal"/>
      <w:start w:val="1"/>
    </w:lvl>
  </w:abstractNum>
  <w:abstractNum w:abstractNumId="14">
    <w:nsid w:val="12E685FB"/>
    <w:multiLevelType w:val="hybridMultilevel"/>
    <w:lvl w:ilvl="0">
      <w:lvlJc w:val="left"/>
      <w:lvlText w:val="(%1)"/>
      <w:numFmt w:val="decimal"/>
      <w:start w:val="1"/>
    </w:lvl>
  </w:abstractNum>
  <w:abstractNum w:abstractNumId="15">
    <w:nsid w:val="70C6A529"/>
    <w:multiLevelType w:val="hybridMultilevel"/>
    <w:lvl w:ilvl="0">
      <w:lvlJc w:val="left"/>
      <w:lvlText w:val="(%1)"/>
      <w:numFmt w:val="decimal"/>
      <w:start w:val="1"/>
    </w:lvl>
  </w:abstractNum>
  <w:abstractNum w:abstractNumId="16">
    <w:nsid w:val="520EEDD1"/>
    <w:multiLevelType w:val="hybridMultilevel"/>
    <w:lvl w:ilvl="0">
      <w:lvlJc w:val="left"/>
      <w:lvlText w:val="2"/>
      <w:numFmt w:val="bullet"/>
      <w:start w:val="1"/>
    </w:lvl>
  </w:abstractNum>
  <w:abstractNum w:abstractNumId="17">
    <w:nsid w:val="374A3FE6"/>
    <w:multiLevelType w:val="hybridMultilevel"/>
    <w:lvl w:ilvl="0">
      <w:lvlJc w:val="left"/>
      <w:lvlText w:val="%1"/>
      <w:numFmt w:val="lowerRoman"/>
      <w:start w:val="1"/>
    </w:lvl>
    <w:lvl w:ilvl="1">
      <w:lvlJc w:val="left"/>
      <w:lvlText w:val="(%2)"/>
      <w:numFmt w:val="decimal"/>
      <w:start w:val="1"/>
    </w:lvl>
  </w:abstractNum>
  <w:abstractNum w:abstractNumId="18">
    <w:nsid w:val="4F4EF005"/>
    <w:multiLevelType w:val="hybridMultilevel"/>
    <w:lvl w:ilvl="0">
      <w:lvlJc w:val="left"/>
      <w:lvlText w:val="(%1)"/>
      <w:numFmt w:val="lowerRoman"/>
      <w:start w:val="1"/>
    </w:lvl>
    <w:lvl w:ilvl="1">
      <w:lvlJc w:val="left"/>
      <w:lvlText w:val="%2"/>
      <w:numFmt w:val="decimal"/>
      <w:start w:val="1"/>
    </w:lvl>
  </w:abstractNum>
  <w:abstractNum w:abstractNumId="19">
    <w:nsid w:val="23F9C13C"/>
    <w:multiLevelType w:val="hybridMultilevel"/>
    <w:lvl w:ilvl="0">
      <w:lvlJc w:val="left"/>
      <w:lvlText w:val="(%1)"/>
      <w:numFmt w:val="decimal"/>
      <w:start w:val="1"/>
    </w:lvl>
  </w:abstractNum>
  <w:abstractNum w:abstractNumId="20">
    <w:nsid w:val="649BB77C"/>
    <w:multiLevelType w:val="hybridMultilevel"/>
    <w:lvl w:ilvl="0">
      <w:lvlJc w:val="left"/>
      <w:lvlText w:val="(%1)"/>
      <w:numFmt w:val="lowerRoman"/>
      <w:start w:val="1"/>
    </w:lvl>
  </w:abstractNum>
  <w:abstractNum w:abstractNumId="21">
    <w:nsid w:val="275AC794"/>
    <w:multiLevelType w:val="hybridMultilevel"/>
    <w:lvl w:ilvl="0">
      <w:lvlJc w:val="left"/>
      <w:lvlText w:val="(%1)"/>
      <w:numFmt w:val="lowerRoman"/>
      <w:start w:val="1"/>
    </w:lvl>
  </w:abstractNum>
  <w:abstractNum w:abstractNumId="22">
    <w:nsid w:val="39386575"/>
    <w:multiLevelType w:val="hybridMultilevel"/>
    <w:lvl w:ilvl="0">
      <w:lvlJc w:val="left"/>
      <w:lvlText w:val="(%1)"/>
      <w:numFmt w:val="lowerRoman"/>
      <w:start w:val="1"/>
    </w:lvl>
  </w:abstractNum>
  <w:abstractNum w:abstractNumId="23">
    <w:nsid w:val="1CF10FD8"/>
    <w:multiLevelType w:val="hybridMultilevel"/>
    <w:lvl w:ilvl="0">
      <w:lvlJc w:val="left"/>
      <w:lvlText w:val="(%1)"/>
      <w:numFmt w:val="lowerRoman"/>
      <w:start w:val="1"/>
    </w:lvl>
  </w:abstractNum>
  <w:abstractNum w:abstractNumId="24">
    <w:nsid w:val="180115BE"/>
    <w:multiLevelType w:val="hybridMultilevel"/>
    <w:lvl w:ilvl="0">
      <w:lvlJc w:val="left"/>
      <w:lvlText w:val="(%1)"/>
      <w:numFmt w:val="lowerRoman"/>
      <w:start w:val="1"/>
    </w:lvl>
    <w:lvl w:ilvl="1">
      <w:lvlJc w:val="left"/>
      <w:lvlText w:val="%2)"/>
      <w:numFmt w:val="lowerLetter"/>
      <w:start w:val="1"/>
    </w:lvl>
  </w:abstractNum>
  <w:abstractNum w:abstractNumId="25">
    <w:nsid w:val="235BA861"/>
    <w:multiLevelType w:val="hybridMultilevel"/>
    <w:lvl w:ilvl="0">
      <w:lvlJc w:val="left"/>
      <w:lvlText w:val="(%1)"/>
      <w:numFmt w:val="lowerRoman"/>
      <w:start w:val="1"/>
    </w:lvl>
  </w:abstractNum>
  <w:abstractNum w:abstractNumId="26">
    <w:nsid w:val="47398C89"/>
    <w:multiLevelType w:val="hybridMultilevel"/>
    <w:lvl w:ilvl="0">
      <w:lvlJc w:val="left"/>
      <w:lvlText w:val="3"/>
      <w:numFmt w:val="bullet"/>
      <w:start w:val="1"/>
    </w:lvl>
  </w:abstractNum>
  <w:abstractNum w:abstractNumId="27">
    <w:nsid w:val="354FE9F9"/>
    <w:multiLevelType w:val="hybridMultilevel"/>
    <w:lvl w:ilvl="0">
      <w:lvlJc w:val="left"/>
      <w:lvlText w:val="(%1)"/>
      <w:numFmt w:val="decimal"/>
      <w:start w:val="1"/>
    </w:lvl>
  </w:abstractNum>
  <w:abstractNum w:abstractNumId="28">
    <w:nsid w:val="15B5AF5C"/>
    <w:multiLevelType w:val="hybridMultilevel"/>
    <w:lvl w:ilvl="0">
      <w:lvlJc w:val="left"/>
      <w:lvlText w:val="(%1)"/>
      <w:numFmt w:val="lowerRoman"/>
      <w:start w:val="1"/>
    </w:lvl>
  </w:abstractNum>
  <w:abstractNum w:abstractNumId="29">
    <w:nsid w:val="741226BB"/>
    <w:multiLevelType w:val="hybridMultilevel"/>
    <w:lvl w:ilvl="0">
      <w:lvlJc w:val="left"/>
      <w:lvlText w:val="(%1)"/>
      <w:numFmt w:val="lowerRoman"/>
      <w:start w:val="1"/>
    </w:lvl>
  </w:abstractNum>
  <w:abstractNum w:abstractNumId="30">
    <w:nsid w:val="D34B6A8"/>
    <w:multiLevelType w:val="hybridMultilevel"/>
    <w:lvl w:ilvl="0">
      <w:lvlJc w:val="left"/>
      <w:lvlText w:val="(%1)"/>
      <w:numFmt w:val="lowerRoman"/>
      <w:start w:val="3"/>
    </w:lvl>
  </w:abstractNum>
  <w:abstractNum w:abstractNumId="31">
    <w:nsid w:val="10233C99"/>
    <w:multiLevelType w:val="hybridMultilevel"/>
    <w:lvl w:ilvl="0">
      <w:lvlJc w:val="left"/>
      <w:lvlText w:val="(%1)"/>
      <w:numFmt w:val="decimal"/>
      <w:start w:val="1"/>
    </w:lvl>
  </w:abstractNum>
  <w:abstractNum w:abstractNumId="32">
    <w:nsid w:val="3F6AB60F"/>
    <w:multiLevelType w:val="hybridMultilevel"/>
    <w:lvl w:ilvl="0">
      <w:lvlJc w:val="left"/>
      <w:lvlText w:val="(%1)"/>
      <w:numFmt w:val="lowerRoman"/>
      <w:start w:val="1"/>
    </w:lvl>
  </w:abstractNum>
  <w:abstractNum w:abstractNumId="33">
    <w:nsid w:val="61574095"/>
    <w:multiLevelType w:val="hybridMultilevel"/>
    <w:lvl w:ilvl="0">
      <w:lvlJc w:val="left"/>
      <w:lvlText w:val="(%1)"/>
      <w:numFmt w:val="lowerRoman"/>
      <w:start w:val="1"/>
    </w:lvl>
  </w:abstractNum>
  <w:abstractNum w:abstractNumId="34">
    <w:nsid w:val="7E0C57B1"/>
    <w:multiLevelType w:val="hybridMultilevel"/>
    <w:lvl w:ilvl="0">
      <w:lvlJc w:val="left"/>
      <w:lvlText w:val="(%1)"/>
      <w:numFmt w:val="decimal"/>
      <w:start w:val="1"/>
    </w:lvl>
    <w:lvl w:ilvl="1">
      <w:lvlJc w:val="left"/>
      <w:lvlText w:val="(%2)"/>
      <w:numFmt w:val="lowerRoman"/>
      <w:start w:val="1"/>
    </w:lvl>
  </w:abstractNum>
  <w:abstractNum w:abstractNumId="35">
    <w:nsid w:val="77AE35EB"/>
    <w:multiLevelType w:val="hybridMultilevel"/>
    <w:lvl w:ilvl="0">
      <w:lvlJc w:val="left"/>
      <w:lvlText w:val="(%1)"/>
      <w:numFmt w:val="decimal"/>
      <w:start w:val="1"/>
    </w:lvl>
  </w:abstractNum>
  <w:abstractNum w:abstractNumId="36">
    <w:nsid w:val="579BE4F1"/>
    <w:multiLevelType w:val="hybridMultilevel"/>
    <w:lvl w:ilvl="0">
      <w:lvlJc w:val="left"/>
      <w:lvlText w:val="(%1)"/>
      <w:numFmt w:val="decimal"/>
      <w:start w:val="1"/>
    </w:lvl>
  </w:abstractNum>
  <w:abstractNum w:abstractNumId="37">
    <w:nsid w:val="310C50B3"/>
    <w:multiLevelType w:val="hybridMultilevel"/>
    <w:lvl w:ilvl="0">
      <w:lvlJc w:val="left"/>
      <w:lvlText w:val="(%1)"/>
      <w:numFmt w:val="lowerRoman"/>
      <w:start w:val="1"/>
    </w:lvl>
  </w:abstractNum>
  <w:abstractNum w:abstractNumId="38">
    <w:nsid w:val="5FF87E05"/>
    <w:multiLevelType w:val="hybridMultilevel"/>
    <w:lvl w:ilvl="0">
      <w:lvlJc w:val="left"/>
      <w:lvlText w:val="(%1)"/>
      <w:numFmt w:val="lowerRoman"/>
      <w:start w:val="1"/>
    </w:lvl>
  </w:abstractNum>
  <w:abstractNum w:abstractNumId="39">
    <w:nsid w:val="2F305DEF"/>
    <w:multiLevelType w:val="hybridMultilevel"/>
    <w:lvl w:ilvl="0">
      <w:lvlJc w:val="left"/>
      <w:lvlText w:val="4"/>
      <w:numFmt w:val="bullet"/>
      <w:start w:val="1"/>
    </w:lvl>
  </w:abstractNum>
  <w:abstractNum w:abstractNumId="40">
    <w:nsid w:val="25A70BF7"/>
    <w:multiLevelType w:val="hybridMultilevel"/>
    <w:lvl w:ilvl="0">
      <w:lvlJc w:val="left"/>
      <w:lvlText w:val="5"/>
      <w:numFmt w:val="bullet"/>
      <w:start w:val="1"/>
    </w:lvl>
  </w:abstractNum>
  <w:abstractNum w:abstractNumId="41">
    <w:nsid w:val="1DBABF00"/>
    <w:multiLevelType w:val="hybridMultilevel"/>
    <w:lvl w:ilvl="0">
      <w:lvlJc w:val="left"/>
      <w:lvlText w:val="6"/>
      <w:numFmt w:val="bullet"/>
      <w:start w:val="1"/>
    </w:lvl>
  </w:abstractNum>
  <w:abstractNum w:abstractNumId="42">
    <w:nsid w:val="4AD084E9"/>
    <w:multiLevelType w:val="hybridMultilevel"/>
    <w:lvl w:ilvl="0">
      <w:lvlJc w:val="left"/>
      <w:lvlText w:val="7"/>
      <w:numFmt w:val="bullet"/>
      <w:start w:val="1"/>
    </w:lvl>
  </w:abstractNum>
  <w:abstractNum w:abstractNumId="43">
    <w:nsid w:val="1F48EAA1"/>
    <w:multiLevelType w:val="hybridMultilevel"/>
    <w:lvl w:ilvl="0">
      <w:lvlJc w:val="left"/>
      <w:lvlText w:val="8"/>
      <w:numFmt w:val="bullet"/>
      <w:start w:val="1"/>
    </w:lvl>
  </w:abstractNum>
  <w:abstractNum w:abstractNumId="44">
    <w:nsid w:val="1381823A"/>
    <w:multiLevelType w:val="hybridMultilevel"/>
    <w:lvl w:ilvl="0">
      <w:lvlJc w:val="left"/>
      <w:lvlText w:val="(%1)"/>
      <w:numFmt w:val="decimal"/>
      <w:start w:val="1"/>
    </w:lvl>
  </w:abstractNum>
  <w:abstractNum w:abstractNumId="45">
    <w:nsid w:val="5DB70AE5"/>
    <w:multiLevelType w:val="hybridMultilevel"/>
    <w:lvl w:ilvl="0">
      <w:lvlJc w:val="left"/>
      <w:lvlText w:val="(%1)"/>
      <w:numFmt w:val="decimal"/>
      <w:start w:val="1"/>
    </w:lvl>
  </w:abstractNum>
  <w:abstractNum w:abstractNumId="46">
    <w:nsid w:val="100F8FCA"/>
    <w:multiLevelType w:val="hybridMultilevel"/>
    <w:lvl w:ilvl="0">
      <w:lvlJc w:val="left"/>
      <w:lvlText w:val="(%1)"/>
      <w:numFmt w:val="decimal"/>
      <w:start w:val="1"/>
    </w:lvl>
  </w:abstractNum>
  <w:abstractNum w:abstractNumId="47">
    <w:nsid w:val="6590700B"/>
    <w:multiLevelType w:val="hybridMultilevel"/>
    <w:lvl w:ilvl="0">
      <w:lvlJc w:val="left"/>
      <w:lvlText w:val="(%1)"/>
      <w:numFmt w:val="lowerRoman"/>
      <w:start w:val="1"/>
    </w:lvl>
  </w:abstractNum>
  <w:abstractNum w:abstractNumId="48">
    <w:nsid w:val="15014ACB"/>
    <w:multiLevelType w:val="hybridMultilevel"/>
    <w:lvl w:ilvl="0">
      <w:lvlJc w:val="left"/>
      <w:lvlText w:val="9"/>
      <w:numFmt w:val="bullet"/>
      <w:start w:val="1"/>
    </w:lvl>
  </w:abstractNum>
  <w:abstractNum w:abstractNumId="49">
    <w:nsid w:val="5F5E7FD0"/>
    <w:multiLevelType w:val="hybridMultilevel"/>
    <w:lvl w:ilvl="0">
      <w:lvlJc w:val="left"/>
      <w:lvlText w:val="(%1)"/>
      <w:numFmt w:val="decimal"/>
      <w:start w:val="1"/>
    </w:lvl>
  </w:abstractNum>
  <w:abstractNum w:abstractNumId="50">
    <w:nsid w:val="98A3148"/>
    <w:multiLevelType w:val="hybridMultilevel"/>
    <w:lvl w:ilvl="0">
      <w:lvlJc w:val="left"/>
      <w:lvlText w:val="(%1)"/>
      <w:numFmt w:val="lowerRoman"/>
      <w:start w:val="1"/>
    </w:lvl>
  </w:abstractNum>
  <w:abstractNum w:abstractNumId="51">
    <w:nsid w:val="799D0247"/>
    <w:multiLevelType w:val="hybridMultilevel"/>
    <w:lvl w:ilvl="0">
      <w:lvlJc w:val="left"/>
      <w:lvlText w:val="(%1)"/>
      <w:numFmt w:val="lowerRoman"/>
      <w:start w:val="1"/>
    </w:lvl>
  </w:abstractNum>
  <w:abstractNum w:abstractNumId="52">
    <w:nsid w:val="6B94764"/>
    <w:multiLevelType w:val="hybridMultilevel"/>
    <w:lvl w:ilvl="0">
      <w:lvlJc w:val="left"/>
      <w:lvlText w:val="(%1)"/>
      <w:numFmt w:val="decimal"/>
      <w:start w:val="1"/>
    </w:lvl>
  </w:abstractNum>
  <w:abstractNum w:abstractNumId="53">
    <w:nsid w:val="42C296BD"/>
    <w:multiLevelType w:val="hybridMultilevel"/>
    <w:lvl w:ilvl="0">
      <w:lvlJc w:val="left"/>
      <w:lvlText w:val="(%1)"/>
      <w:numFmt w:val="decimal"/>
      <w:start w:val="1"/>
    </w:lvl>
  </w:abstractNum>
  <w:abstractNum w:abstractNumId="54">
    <w:nsid w:val="168E121F"/>
    <w:multiLevelType w:val="hybridMultilevel"/>
    <w:lvl w:ilvl="0">
      <w:lvlJc w:val="left"/>
      <w:lvlText w:val="(%1)"/>
      <w:numFmt w:val="lowerRoman"/>
      <w:start w:val="1"/>
    </w:lvl>
  </w:abstractNum>
  <w:abstractNum w:abstractNumId="55">
    <w:nsid w:val="1EBA5D23"/>
    <w:multiLevelType w:val="hybridMultilevel"/>
    <w:lvl w:ilvl="0">
      <w:lvlJc w:val="left"/>
      <w:lvlText w:val="(%1)"/>
      <w:numFmt w:val="decimal"/>
      <w:start w:val="1"/>
    </w:lvl>
  </w:abstractNum>
  <w:abstractNum w:abstractNumId="56">
    <w:nsid w:val="661E3F1E"/>
    <w:multiLevelType w:val="hybridMultilevel"/>
    <w:lvl w:ilvl="0">
      <w:lvlJc w:val="left"/>
      <w:lvlText w:val="(%1)"/>
      <w:numFmt w:val="decimal"/>
      <w:start w:val="10"/>
    </w:lvl>
  </w:abstractNum>
  <w:abstractNum w:abstractNumId="57">
    <w:nsid w:val="5DC79EA8"/>
    <w:multiLevelType w:val="hybridMultilevel"/>
    <w:lvl w:ilvl="0">
      <w:lvlJc w:val="left"/>
      <w:lvlText w:val="(%1)"/>
      <w:numFmt w:val="decimal"/>
      <w:start w:val="12"/>
    </w:lvl>
  </w:abstractNum>
  <w:abstractNum w:abstractNumId="58">
    <w:nsid w:val="540A471C"/>
    <w:multiLevelType w:val="hybridMultilevel"/>
    <w:lvl w:ilvl="0">
      <w:lvlJc w:val="left"/>
      <w:lvlText w:val="(%1)"/>
      <w:numFmt w:val="decimal"/>
      <w:start w:val="1"/>
    </w:lvl>
  </w:abstractNum>
  <w:abstractNum w:abstractNumId="59">
    <w:nsid w:val="7BD3EE7B"/>
    <w:multiLevelType w:val="hybridMultilevel"/>
    <w:lvl w:ilvl="0">
      <w:lvlJc w:val="left"/>
      <w:lvlText w:val="(%1)"/>
      <w:numFmt w:val="lowerRoman"/>
      <w:start w:val="1"/>
    </w:lvl>
  </w:abstractNum>
  <w:abstractNum w:abstractNumId="60">
    <w:nsid w:val="51D9C564"/>
    <w:multiLevelType w:val="hybridMultilevel"/>
    <w:lvl w:ilvl="0">
      <w:lvlJc w:val="left"/>
      <w:lvlText w:val="(%1)"/>
      <w:numFmt w:val="decimal"/>
      <w:start w:val="1"/>
    </w:lvl>
  </w:abstractNum>
  <w:abstractNum w:abstractNumId="61">
    <w:nsid w:val="613EFDC5"/>
    <w:multiLevelType w:val="hybridMultilevel"/>
    <w:lvl w:ilvl="0">
      <w:lvlJc w:val="left"/>
      <w:lvlText w:val="(%1)"/>
      <w:numFmt w:val="lowerRoman"/>
      <w:start w:val="1"/>
    </w:lvl>
  </w:abstractNum>
  <w:abstractNum w:abstractNumId="62">
    <w:nsid w:val="BF72B14"/>
    <w:multiLevelType w:val="hybridMultilevel"/>
    <w:lvl w:ilvl="0">
      <w:lvlJc w:val="left"/>
      <w:lvlText w:val="(%1)"/>
      <w:numFmt w:val="decimal"/>
      <w:start w:val="1"/>
    </w:lvl>
  </w:abstractNum>
  <w:abstractNum w:abstractNumId="63">
    <w:nsid w:val="11447B73"/>
    <w:multiLevelType w:val="hybridMultilevel"/>
    <w:lvl w:ilvl="0">
      <w:lvlJc w:val="left"/>
      <w:lvlText w:val="(%1)"/>
      <w:numFmt w:val="decimal"/>
      <w:start w:val="1"/>
    </w:lvl>
  </w:abstractNum>
  <w:abstractNum w:abstractNumId="64">
    <w:nsid w:val="42963E5A"/>
    <w:multiLevelType w:val="hybridMultilevel"/>
    <w:lvl w:ilvl="0">
      <w:lvlJc w:val="left"/>
      <w:lvlText w:val="(%1)"/>
      <w:numFmt w:val="lowerRoman"/>
      <w:start w:val="1"/>
    </w:lvl>
  </w:abstractNum>
  <w:abstractNum w:abstractNumId="65">
    <w:nsid w:val="A0382C5"/>
    <w:multiLevelType w:val="hybridMultilevel"/>
    <w:lvl w:ilvl="0">
      <w:lvlJc w:val="left"/>
      <w:lvlText w:val="%1"/>
      <w:numFmt w:val="decimal"/>
      <w:start w:val="14"/>
    </w:lvl>
  </w:abstractNum>
  <w:abstractNum w:abstractNumId="66">
    <w:nsid w:val="8F2B15E"/>
    <w:multiLevelType w:val="hybridMultilevel"/>
    <w:lvl w:ilvl="0">
      <w:lvlJc w:val="left"/>
      <w:lvlText w:val="(%1)"/>
      <w:numFmt w:val="decimal"/>
      <w:start w:val="1"/>
    </w:lvl>
  </w:abstractNum>
  <w:abstractNum w:abstractNumId="67">
    <w:nsid w:val="1A32234B"/>
    <w:multiLevelType w:val="hybridMultilevel"/>
    <w:lvl w:ilvl="0">
      <w:lvlJc w:val="left"/>
      <w:lvlText w:val="(%1)"/>
      <w:numFmt w:val="lowerRoman"/>
      <w:start w:val="1"/>
    </w:lvl>
  </w:abstractNum>
  <w:abstractNum w:abstractNumId="68">
    <w:nsid w:val="3B0FD379"/>
    <w:multiLevelType w:val="hybridMultilevel"/>
    <w:lvl w:ilvl="0">
      <w:lvlJc w:val="left"/>
      <w:lvlText w:val="(%1)"/>
      <w:numFmt w:val="decimal"/>
      <w:start w:val="1"/>
    </w:lvl>
  </w:abstractNum>
  <w:abstractNum w:abstractNumId="69">
    <w:nsid w:val="68EB2F63"/>
    <w:multiLevelType w:val="hybridMultilevel"/>
    <w:lvl w:ilvl="0">
      <w:lvlJc w:val="left"/>
      <w:lvlText w:val="(%1)"/>
      <w:numFmt w:val="decimal"/>
      <w:start w:val="1"/>
    </w:lvl>
  </w:abstractNum>
  <w:abstractNum w:abstractNumId="70">
    <w:nsid w:val="4962813B"/>
    <w:multiLevelType w:val="hybridMultilevel"/>
    <w:lvl w:ilvl="0">
      <w:lvlJc w:val="left"/>
      <w:lvlText w:val="(%1)"/>
      <w:numFmt w:val="decimal"/>
      <w:start w:val="1"/>
    </w:lvl>
  </w:abstractNum>
  <w:abstractNum w:abstractNumId="71">
    <w:nsid w:val="60B6DF70"/>
    <w:multiLevelType w:val="hybridMultilevel"/>
    <w:lvl w:ilvl="0">
      <w:lvlJc w:val="left"/>
      <w:lvlText w:val="(%1)"/>
      <w:numFmt w:val="lowerRoman"/>
      <w:start w:val="1"/>
    </w:lvl>
  </w:abstractNum>
  <w:abstractNum w:abstractNumId="72">
    <w:nsid w:val="6A5EE64"/>
    <w:multiLevelType w:val="hybridMultilevel"/>
    <w:lvl w:ilvl="0">
      <w:lvlJc w:val="left"/>
      <w:lvlText w:val="(%1)"/>
      <w:numFmt w:val="lowerRoman"/>
      <w:start w:val="1"/>
    </w:lvl>
  </w:abstractNum>
  <w:abstractNum w:abstractNumId="73">
    <w:nsid w:val="14330624"/>
    <w:multiLevelType w:val="hybridMultilevel"/>
    <w:lvl w:ilvl="0">
      <w:lvlJc w:val="left"/>
      <w:lvlText w:val="(%1)"/>
      <w:numFmt w:val="decimal"/>
      <w:start w:val="1"/>
    </w:lvl>
  </w:abstractNum>
  <w:abstractNum w:abstractNumId="74">
    <w:nsid w:val="7FFFCA11"/>
    <w:multiLevelType w:val="hybridMultilevel"/>
    <w:lvl w:ilvl="0">
      <w:lvlJc w:val="left"/>
      <w:lvlText w:val="(%1)"/>
      <w:numFmt w:val="lowerRoman"/>
      <w:start w:val="1"/>
    </w:lvl>
  </w:abstractNum>
  <w:abstractNum w:abstractNumId="75">
    <w:nsid w:val="1A27709E"/>
    <w:multiLevelType w:val="hybridMultilevel"/>
    <w:lvl w:ilvl="0">
      <w:lvlJc w:val="left"/>
      <w:lvlText w:val="(%1)"/>
      <w:numFmt w:val="decimal"/>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1)"/>
      <w:numFmt w:val="decimal"/>
      <w:start w:val="1"/>
    </w:lvl>
  </w:abstractNum>
  <w:abstractNum w:abstractNumId="78">
    <w:nsid w:val="7FB7E0AA"/>
    <w:multiLevelType w:val="hybridMultilevel"/>
    <w:lvl w:ilvl="0">
      <w:lvlJc w:val="left"/>
      <w:lvlText w:val="(%1)"/>
      <w:numFmt w:val="decimal"/>
      <w:start w:val="1"/>
    </w:lvl>
  </w:abstractNum>
  <w:abstractNum w:abstractNumId="79">
    <w:nsid w:val="6EB5BD4"/>
    <w:multiLevelType w:val="hybridMultilevel"/>
    <w:lvl w:ilvl="0">
      <w:lvlJc w:val="left"/>
      <w:lvlText w:val="(%1)"/>
      <w:numFmt w:val="decimal"/>
      <w:start w:val="1"/>
    </w:lvl>
  </w:abstractNum>
  <w:abstractNum w:abstractNumId="80">
    <w:nsid w:val="6F6DD9AC"/>
    <w:multiLevelType w:val="hybridMultilevel"/>
    <w:lvl w:ilvl="0">
      <w:lvlJc w:val="left"/>
      <w:lvlText w:val="(%1)"/>
      <w:numFmt w:val="decimal"/>
      <w:start w:val="1"/>
    </w:lvl>
  </w:abstractNum>
  <w:abstractNum w:abstractNumId="81">
    <w:nsid w:val="94211F2"/>
    <w:multiLevelType w:val="hybridMultilevel"/>
    <w:lvl w:ilvl="0">
      <w:lvlJc w:val="left"/>
      <w:lvlText w:val="(%1)"/>
      <w:numFmt w:val="decimal"/>
      <w:start w:val="1"/>
    </w:lvl>
  </w:abstractNum>
  <w:abstractNum w:abstractNumId="82">
    <w:nsid w:val="885E1B"/>
    <w:multiLevelType w:val="hybridMultilevel"/>
    <w:lvl w:ilvl="0">
      <w:lvlJc w:val="left"/>
      <w:lvlText w:val="(%1)"/>
      <w:numFmt w:val="decimal"/>
      <w:start w:val="1"/>
    </w:lvl>
  </w:abstractNum>
  <w:abstractNum w:abstractNumId="83">
    <w:nsid w:val="76272110"/>
    <w:multiLevelType w:val="hybridMultilevel"/>
    <w:lvl w:ilvl="0">
      <w:lvlJc w:val="left"/>
      <w:lvlText w:val="(%1)"/>
      <w:numFmt w:val="decimal"/>
      <w:start w:val="1"/>
    </w:lvl>
  </w:abstractNum>
  <w:abstractNum w:abstractNumId="84">
    <w:nsid w:val="4C04A8AF"/>
    <w:multiLevelType w:val="hybridMultilevel"/>
    <w:lvl w:ilvl="0">
      <w:lvlJc w:val="left"/>
      <w:lvlText w:val="(%1)"/>
      <w:numFmt w:val="decimal"/>
      <w:start w:val="1"/>
    </w:lvl>
  </w:abstractNum>
  <w:abstractNum w:abstractNumId="85">
    <w:nsid w:val="1716703B"/>
    <w:multiLevelType w:val="hybridMultilevel"/>
    <w:lvl w:ilvl="0">
      <w:lvlJc w:val="left"/>
      <w:lvlText w:val="(%1)"/>
      <w:numFmt w:val="decimal"/>
      <w:start w:val="1"/>
    </w:lvl>
  </w:abstractNum>
  <w:abstractNum w:abstractNumId="86">
    <w:nsid w:val="14E17E33"/>
    <w:multiLevelType w:val="hybridMultilevel"/>
    <w:lvl w:ilvl="0">
      <w:lvlJc w:val="left"/>
      <w:lvlText w:val="(%1)"/>
      <w:numFmt w:val="decimal"/>
      <w:start w:val="1"/>
    </w:lvl>
  </w:abstractNum>
  <w:abstractNum w:abstractNumId="87">
    <w:nsid w:val="3222E7CD"/>
    <w:multiLevelType w:val="hybridMultilevel"/>
    <w:lvl w:ilvl="0">
      <w:lvlJc w:val="left"/>
      <w:lvlText w:val="(%1)"/>
      <w:numFmt w:val="decimal"/>
      <w:start w:val="1"/>
    </w:lvl>
  </w:abstractNum>
  <w:abstractNum w:abstractNumId="88">
    <w:nsid w:val="74DE0EE3"/>
    <w:multiLevelType w:val="hybridMultilevel"/>
    <w:lvl w:ilvl="0">
      <w:lvlJc w:val="left"/>
      <w:lvlText w:val="(%1)"/>
      <w:numFmt w:val="decimal"/>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2021-11-08T09:36:59Z</dcterms:created>
  <dcterms:modified xsi:type="dcterms:W3CDTF">2021-11-08T09:36:59Z</dcterms:modified>
</cp:coreProperties>
</file>