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For the month of August 2013</w:t>
      </w:r>
    </w:p>
    <w:p>
      <w:pPr>
        <w:spacing w:after="0" w:line="22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354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p>
      <w:pPr>
        <w:spacing w:after="0" w:line="200" w:lineRule="exact"/>
        <w:rPr>
          <w:sz w:val="24"/>
          <w:szCs w:val="24"/>
          <w:color w:val="auto"/>
        </w:rPr>
      </w:pPr>
    </w:p>
    <w:p>
      <w:pPr>
        <w:spacing w:after="0" w:line="274" w:lineRule="exact"/>
        <w:rPr>
          <w:sz w:val="24"/>
          <w:szCs w:val="24"/>
          <w:color w:val="auto"/>
        </w:rPr>
      </w:pPr>
    </w:p>
    <w:p>
      <w:pPr>
        <w:ind w:left="1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00" w:lineRule="exact"/>
        <w:rPr>
          <w:sz w:val="24"/>
          <w:szCs w:val="24"/>
          <w:color w:val="auto"/>
        </w:rPr>
      </w:pPr>
    </w:p>
    <w:p>
      <w:pPr>
        <w:spacing w:after="0" w:line="264" w:lineRule="exact"/>
        <w:rPr>
          <w:sz w:val="24"/>
          <w:szCs w:val="24"/>
          <w:color w:val="auto"/>
        </w:rPr>
      </w:pPr>
    </w:p>
    <w:p>
      <w:pPr>
        <w:ind w:left="1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612775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00"/>
          </w:cols>
          <w:pgMar w:left="1440" w:top="472" w:right="959" w:bottom="1440" w:gutter="0" w:footer="0" w:header="0"/>
        </w:sectPr>
      </w:pPr>
    </w:p>
    <w:bookmarkStart w:id="1" w:name="page2"/>
    <w:bookmarkEnd w:id="1"/>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August 9, 2013</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/s/ Mario Ferrari</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4612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80"/>
          </w:cols>
          <w:pgMar w:left="240" w:top="661" w:right="879" w:bottom="1440" w:gutter="0" w:footer="0" w:header="0"/>
        </w:sectPr>
      </w:pPr>
    </w:p>
    <w:bookmarkStart w:id="2" w:name="page3"/>
    <w:bookmarkEnd w:id="2"/>
    <w:p>
      <w:pPr>
        <w:jc w:val="center"/>
        <w:ind w:left="25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1483360" cy="7675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483360" cy="7675245"/>
                    </a:xfrm>
                    <a:prstGeom prst="rect">
                      <a:avLst/>
                    </a:prstGeom>
                    <a:noFill/>
                  </pic:spPr>
                </pic:pic>
              </a:graphicData>
            </a:graphic>
          </wp:anchor>
        </w:drawing>
        <w:drawing>
          <wp:anchor simplePos="0" relativeHeight="251657728" behindDoc="1" locked="0" layoutInCell="0" allowOverlap="1">
            <wp:simplePos x="0" y="0"/>
            <wp:positionH relativeFrom="page">
              <wp:posOffset>3913505</wp:posOffset>
            </wp:positionH>
            <wp:positionV relativeFrom="page">
              <wp:posOffset>294640</wp:posOffset>
            </wp:positionV>
            <wp:extent cx="1346200" cy="274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346200" cy="274320"/>
                    </a:xfrm>
                    <a:prstGeom prst="rect">
                      <a:avLst/>
                    </a:prstGeom>
                    <a:noFill/>
                  </pic:spPr>
                </pic:pic>
              </a:graphicData>
            </a:graphic>
          </wp:anchor>
        </w:drawing>
        <w:t>Second Quarter 2013 Results</w:t>
      </w:r>
    </w:p>
    <w:p>
      <w:pPr>
        <w:spacing w:after="0" w:line="225" w:lineRule="exact"/>
        <w:rPr>
          <w:sz w:val="20"/>
          <w:szCs w:val="20"/>
          <w:color w:val="auto"/>
        </w:rPr>
      </w:pPr>
    </w:p>
    <w:p>
      <w:pPr>
        <w:ind w:left="1340" w:right="20"/>
        <w:spacing w:after="0" w:line="313" w:lineRule="auto"/>
        <w:rPr>
          <w:sz w:val="20"/>
          <w:szCs w:val="20"/>
          <w:color w:val="auto"/>
        </w:rPr>
      </w:pPr>
      <w:r>
        <w:rPr>
          <w:rFonts w:ascii="Arial" w:cs="Arial" w:eastAsia="Arial" w:hAnsi="Arial"/>
          <w:sz w:val="17"/>
          <w:szCs w:val="17"/>
          <w:b w:val="1"/>
          <w:bCs w:val="1"/>
          <w:color w:val="auto"/>
        </w:rPr>
        <w:t xml:space="preserve">Lima, Peru, August 08, 2013 - </w:t>
      </w:r>
      <w:r>
        <w:rPr>
          <w:rFonts w:ascii="Arial" w:cs="Arial" w:eastAsia="Arial" w:hAnsi="Arial"/>
          <w:sz w:val="17"/>
          <w:szCs w:val="17"/>
          <w:color w:val="auto"/>
        </w:rPr>
        <w:t>Credicorp (NYSE:BAP) announced today its unaudited results for the second quarter of</w:t>
      </w:r>
      <w:r>
        <w:rPr>
          <w:rFonts w:ascii="Arial" w:cs="Arial" w:eastAsia="Arial" w:hAnsi="Arial"/>
          <w:sz w:val="17"/>
          <w:szCs w:val="17"/>
          <w:b w:val="1"/>
          <w:bCs w:val="1"/>
          <w:color w:val="auto"/>
        </w:rPr>
        <w:t xml:space="preserve"> </w:t>
      </w:r>
      <w:r>
        <w:rPr>
          <w:rFonts w:ascii="Arial" w:cs="Arial" w:eastAsia="Arial" w:hAnsi="Arial"/>
          <w:sz w:val="17"/>
          <w:szCs w:val="17"/>
          <w:color w:val="auto"/>
        </w:rPr>
        <w:t>2013. These results are reported on a consolidated basis in accordance with IFRS in nominal U.S. Dollars.</w:t>
      </w:r>
    </w:p>
    <w:p>
      <w:pPr>
        <w:spacing w:after="0" w:line="138" w:lineRule="exact"/>
        <w:rPr>
          <w:sz w:val="20"/>
          <w:szCs w:val="20"/>
          <w:color w:val="auto"/>
        </w:rPr>
      </w:pPr>
    </w:p>
    <w:p>
      <w:pPr>
        <w:jc w:val="center"/>
        <w:ind w:left="2540"/>
        <w:spacing w:after="0"/>
        <w:rPr>
          <w:sz w:val="20"/>
          <w:szCs w:val="20"/>
          <w:color w:val="auto"/>
        </w:rPr>
      </w:pPr>
      <w:r>
        <w:rPr>
          <w:rFonts w:ascii="Arial" w:cs="Arial" w:eastAsia="Arial" w:hAnsi="Arial"/>
          <w:sz w:val="18"/>
          <w:szCs w:val="18"/>
          <w:b w:val="1"/>
          <w:bCs w:val="1"/>
          <w:color w:val="auto"/>
        </w:rPr>
        <w:t>HIGHLIGHTS</w:t>
      </w:r>
    </w:p>
    <w:p>
      <w:pPr>
        <w:spacing w:after="0" w:line="229" w:lineRule="exact"/>
        <w:rPr>
          <w:sz w:val="20"/>
          <w:szCs w:val="20"/>
          <w:color w:val="auto"/>
        </w:rPr>
      </w:pPr>
    </w:p>
    <w:p>
      <w:pPr>
        <w:ind w:left="1340" w:right="20" w:firstLine="7"/>
        <w:spacing w:after="0" w:line="258" w:lineRule="auto"/>
        <w:tabs>
          <w:tab w:leader="none" w:pos="1443"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first half of this year, and especially 2Q, was marked by strong volatility in the FX market and strength in the US Dollar vis-à-vis local currency, which had a significant impact on Credicorp’s US Dollar results.</w:t>
      </w:r>
    </w:p>
    <w:p>
      <w:pPr>
        <w:spacing w:after="0" w:line="1" w:lineRule="exact"/>
        <w:rPr>
          <w:rFonts w:ascii="Arial" w:cs="Arial" w:eastAsia="Arial" w:hAnsi="Arial"/>
          <w:sz w:val="18"/>
          <w:szCs w:val="18"/>
          <w:color w:val="auto"/>
        </w:rPr>
      </w:pPr>
    </w:p>
    <w:p>
      <w:pPr>
        <w:jc w:val="both"/>
        <w:ind w:left="1340" w:firstLine="7"/>
        <w:spacing w:after="0" w:line="250" w:lineRule="auto"/>
        <w:tabs>
          <w:tab w:leader="none" w:pos="1443"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Consequently, given that the US Dollar is Credicorp’s functional currency, the company’s 2Q numbers incorporate the full impact of the 7.5% devaluation reported this period as well as all of the 9% devaluation in local currency for 1H13. This led to (1) significant distortions in portfolio growth and income generation reported by most of Credicorp’s Nuevos Soles denominated businesses, which currently contribute more than 87% of the corporation’s income; and (2) translation losses and a valuation loss on structural forward contracts</w:t>
      </w:r>
      <w:r>
        <w:rPr>
          <w:rFonts w:ascii="Arial" w:cs="Arial" w:eastAsia="Arial" w:hAnsi="Arial"/>
          <w:sz w:val="18"/>
          <w:szCs w:val="18"/>
          <w:i w:val="1"/>
          <w:iCs w:val="1"/>
          <w:color w:val="auto"/>
        </w:rPr>
        <w:t>,</w:t>
      </w:r>
      <w:r>
        <w:rPr>
          <w:rFonts w:ascii="Arial" w:cs="Arial" w:eastAsia="Arial" w:hAnsi="Arial"/>
          <w:sz w:val="18"/>
          <w:szCs w:val="18"/>
          <w:color w:val="auto"/>
        </w:rPr>
        <w:t xml:space="preserve"> both of which arise from the construction of our Nuevos Soles denominated equity portion in our books.</w:t>
      </w:r>
    </w:p>
    <w:p>
      <w:pPr>
        <w:spacing w:after="0" w:line="2" w:lineRule="exact"/>
        <w:rPr>
          <w:rFonts w:ascii="Arial" w:cs="Arial" w:eastAsia="Arial" w:hAnsi="Arial"/>
          <w:sz w:val="18"/>
          <w:szCs w:val="18"/>
          <w:color w:val="auto"/>
        </w:rPr>
      </w:pPr>
    </w:p>
    <w:p>
      <w:pPr>
        <w:jc w:val="both"/>
        <w:ind w:left="1340" w:firstLine="7"/>
        <w:spacing w:after="0" w:line="250" w:lineRule="auto"/>
        <w:tabs>
          <w:tab w:leader="none" w:pos="1443"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this context, Credicorp reported net earnings after minority interest of US$ 54.5 million this 2Q, after a US$ 78.5 million translation loss and a US$ 32.9 million loss in the valuation of the structural forward contracts are deducted from its operating results. This result was 70% lower than the US$ 181.5 million reported in the 1Q, which in turn included a translation loss of US$ 18.6 million and a structural forward valuation loss of US$ 11.7 million. Consequently, ROAE dropped to a 5.4% for the Q.</w:t>
      </w:r>
    </w:p>
    <w:p>
      <w:pPr>
        <w:spacing w:after="0" w:line="2" w:lineRule="exact"/>
        <w:rPr>
          <w:rFonts w:ascii="Arial" w:cs="Arial" w:eastAsia="Arial" w:hAnsi="Arial"/>
          <w:sz w:val="18"/>
          <w:szCs w:val="18"/>
          <w:color w:val="auto"/>
        </w:rPr>
      </w:pPr>
    </w:p>
    <w:p>
      <w:pPr>
        <w:jc w:val="both"/>
        <w:ind w:left="1340" w:firstLine="7"/>
        <w:spacing w:after="0" w:line="281" w:lineRule="auto"/>
        <w:tabs>
          <w:tab w:leader="none" w:pos="143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 consolidated US Dollar terms, net interest income dropped 2.2% for the Q while non-financial income declined 8.3%. However, a closer look at business performance indicates that the evolution is highly favorable, with stronger income generation and margins, when evaluating the performance in the currency in which the businesses are conducted.</w:t>
      </w:r>
    </w:p>
    <w:p>
      <w:pPr>
        <w:spacing w:after="0" w:line="2" w:lineRule="exact"/>
        <w:rPr>
          <w:rFonts w:ascii="Arial" w:cs="Arial" w:eastAsia="Arial" w:hAnsi="Arial"/>
          <w:sz w:val="16"/>
          <w:szCs w:val="16"/>
          <w:color w:val="auto"/>
        </w:rPr>
      </w:pPr>
    </w:p>
    <w:p>
      <w:pPr>
        <w:jc w:val="both"/>
        <w:ind w:left="1340" w:firstLine="7"/>
        <w:spacing w:after="0" w:line="250" w:lineRule="auto"/>
        <w:tabs>
          <w:tab w:leader="none" w:pos="1443" w:val="left"/>
        </w:tabs>
        <w:numPr>
          <w:ilvl w:val="0"/>
          <w:numId w:val="1"/>
        </w:numPr>
        <w:rPr>
          <w:rFonts w:ascii="Arial" w:cs="Arial" w:eastAsia="Arial" w:hAnsi="Arial"/>
          <w:sz w:val="18"/>
          <w:szCs w:val="18"/>
          <w:color w:val="auto"/>
        </w:rPr>
      </w:pPr>
      <w:r>
        <w:rPr>
          <w:rFonts w:ascii="Arial" w:cs="Arial" w:eastAsia="Arial" w:hAnsi="Arial"/>
          <w:sz w:val="18"/>
          <w:szCs w:val="18"/>
          <w:color w:val="auto"/>
        </w:rPr>
        <w:t>Adjusted net interest income in Nuevos Soles (excl. valuation of derivatives) expanded around 7.9% QoQ and 21.6% YoY, revealing a dynamic banking business that was also characterized by increases in market shares for retail products. However, given that 87% of NII is Nuevos Soles denominated, the FX movement hid this stronger income generation when expressed in US Dollars. Adding to this the loss of structural forward contracts, and the drop in NII of the US Dollar portfolio, the total NII reported in US Dollars drops 2.2% this Q. This distortion is also reflected in the NIM, which fell to 4.81%.</w:t>
      </w:r>
    </w:p>
    <w:p>
      <w:pPr>
        <w:spacing w:after="0" w:line="2" w:lineRule="exact"/>
        <w:rPr>
          <w:rFonts w:ascii="Arial" w:cs="Arial" w:eastAsia="Arial" w:hAnsi="Arial"/>
          <w:sz w:val="18"/>
          <w:szCs w:val="18"/>
          <w:color w:val="auto"/>
        </w:rPr>
      </w:pPr>
    </w:p>
    <w:p>
      <w:pPr>
        <w:jc w:val="both"/>
        <w:ind w:left="1340" w:firstLine="7"/>
        <w:spacing w:after="0" w:line="250" w:lineRule="auto"/>
        <w:tabs>
          <w:tab w:leader="none" w:pos="1430" w:val="left"/>
        </w:tabs>
        <w:numPr>
          <w:ilvl w:val="0"/>
          <w:numId w:val="1"/>
        </w:numPr>
        <w:rPr>
          <w:rFonts w:ascii="Arial" w:cs="Arial" w:eastAsia="Arial" w:hAnsi="Arial"/>
          <w:sz w:val="18"/>
          <w:szCs w:val="18"/>
          <w:color w:val="auto"/>
        </w:rPr>
      </w:pPr>
      <w:r>
        <w:rPr>
          <w:rFonts w:ascii="Arial" w:cs="Arial" w:eastAsia="Arial" w:hAnsi="Arial"/>
          <w:sz w:val="18"/>
          <w:szCs w:val="18"/>
          <w:color w:val="auto"/>
        </w:rPr>
        <w:t>Growth of average daily balances recorded by currency shows that the Nuevos Soles portfolio (80% retail) expanded by a robust 5.7% QoQ while the US Dollar portfolio reflected the 2.8% contraction in the corporate business line. The Nuevos Soles portfolio expanded 23.4% YoY and the US Dollar portfolio 10.4%; both very strong numbers. However, given the devaluation, consolidated US Dollar reporting showed that growth was only up 0.4% in the retail business while the wholesale business dropped 3.8%. This led to consolidated growth in average daily balances in US Dollars of -1.4%: an absolute distortion of real performance.</w:t>
      </w:r>
    </w:p>
    <w:p>
      <w:pPr>
        <w:spacing w:after="0" w:line="2" w:lineRule="exact"/>
        <w:rPr>
          <w:rFonts w:ascii="Arial" w:cs="Arial" w:eastAsia="Arial" w:hAnsi="Arial"/>
          <w:sz w:val="18"/>
          <w:szCs w:val="18"/>
          <w:color w:val="auto"/>
        </w:rPr>
      </w:pPr>
    </w:p>
    <w:p>
      <w:pPr>
        <w:jc w:val="both"/>
        <w:ind w:left="1340" w:firstLine="7"/>
        <w:spacing w:after="0" w:line="250" w:lineRule="auto"/>
        <w:tabs>
          <w:tab w:leader="none" w:pos="1443" w:val="left"/>
        </w:tabs>
        <w:numPr>
          <w:ilvl w:val="0"/>
          <w:numId w:val="1"/>
        </w:numPr>
        <w:rPr>
          <w:rFonts w:ascii="Arial" w:cs="Arial" w:eastAsia="Arial" w:hAnsi="Arial"/>
          <w:sz w:val="18"/>
          <w:szCs w:val="18"/>
          <w:color w:val="auto"/>
        </w:rPr>
      </w:pPr>
      <w:r>
        <w:rPr>
          <w:rFonts w:ascii="Arial" w:cs="Arial" w:eastAsia="Arial" w:hAnsi="Arial"/>
          <w:sz w:val="18"/>
          <w:szCs w:val="18"/>
          <w:color w:val="auto"/>
        </w:rPr>
        <w:t>Similar to the Credit Card business, where delinquency ratios have improved due to adjustments to models, the low segment of SME posted a deviation this 2Q that led delinquencies in this business to rise 7.6%. This in turn led the overall PDL ratio to increase 11 bps to 2.11% for 2Q13. This deviation led us to make important adjustments in our scoring models for SMEs. As such, provisions increased 21.4% for the Q.</w:t>
      </w:r>
    </w:p>
    <w:p>
      <w:pPr>
        <w:spacing w:after="0" w:line="1" w:lineRule="exact"/>
        <w:rPr>
          <w:rFonts w:ascii="Arial" w:cs="Arial" w:eastAsia="Arial" w:hAnsi="Arial"/>
          <w:sz w:val="18"/>
          <w:szCs w:val="18"/>
          <w:color w:val="auto"/>
        </w:rPr>
      </w:pPr>
    </w:p>
    <w:p>
      <w:pPr>
        <w:jc w:val="both"/>
        <w:ind w:left="1340" w:firstLine="7"/>
        <w:spacing w:after="0" w:line="265" w:lineRule="auto"/>
        <w:tabs>
          <w:tab w:leader="none" w:pos="1443" w:val="left"/>
        </w:tabs>
        <w:numPr>
          <w:ilvl w:val="0"/>
          <w:numId w:val="1"/>
        </w:numPr>
        <w:rPr>
          <w:rFonts w:ascii="Arial" w:cs="Arial" w:eastAsia="Arial" w:hAnsi="Arial"/>
          <w:sz w:val="17"/>
          <w:szCs w:val="17"/>
          <w:color w:val="auto"/>
        </w:rPr>
      </w:pPr>
      <w:r>
        <w:rPr>
          <w:rFonts w:ascii="Arial" w:cs="Arial" w:eastAsia="Arial" w:hAnsi="Arial"/>
          <w:sz w:val="17"/>
          <w:szCs w:val="17"/>
          <w:color w:val="auto"/>
        </w:rPr>
        <w:t>Fee income (72% Nuevos Soles) grew 8.4% for the Q despite the local currency devaluation. This denotes very strong growth that was driven by positive results in the pension fund business, which posted excellent expansion this Q, and by good evolution of banking fees. Net gains on FX transactions also reported strong growth of 12% this Q due to FX-volatility in the market. However, the securities in our portfolio were negatively affected by an increase in interest rates for the US Dollar, which generated mark downs in the values for these securities across markets, and led to a US$ 11.5 million mark down. All in all, total non-financial income dropped 8.3% for the Q.</w:t>
      </w:r>
    </w:p>
    <w:p>
      <w:pPr>
        <w:spacing w:after="0" w:line="1" w:lineRule="exact"/>
        <w:rPr>
          <w:rFonts w:ascii="Arial" w:cs="Arial" w:eastAsia="Arial" w:hAnsi="Arial"/>
          <w:sz w:val="17"/>
          <w:szCs w:val="17"/>
          <w:color w:val="auto"/>
        </w:rPr>
      </w:pPr>
    </w:p>
    <w:p>
      <w:pPr>
        <w:jc w:val="both"/>
        <w:ind w:left="1340" w:firstLine="7"/>
        <w:spacing w:after="0" w:line="281" w:lineRule="auto"/>
        <w:tabs>
          <w:tab w:leader="none" w:pos="1443"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performance of the insurance business was also affected by the FX volatility given that approximately 48% of net earned premiums are Nuevos Soles-denominated. Therefore, the 2.2% posted for net premium growth understates this component’s real expansion. Claims increased in the Health and Life business, which led the underwriting result to drop 15% QoQ. The medical services business, on the other hand, is performing well and posted a 16.8% improvement in its underwriting result. The bottom line, however, was affected by a large translation loss of over US$ 6 million.</w:t>
      </w:r>
    </w:p>
    <w:p>
      <w:pPr>
        <w:spacing w:after="0" w:line="3" w:lineRule="exact"/>
        <w:rPr>
          <w:rFonts w:ascii="Arial" w:cs="Arial" w:eastAsia="Arial" w:hAnsi="Arial"/>
          <w:sz w:val="16"/>
          <w:szCs w:val="16"/>
          <w:color w:val="auto"/>
        </w:rPr>
      </w:pPr>
    </w:p>
    <w:p>
      <w:pPr>
        <w:jc w:val="both"/>
        <w:ind w:left="1340" w:firstLine="7"/>
        <w:spacing w:after="0" w:line="265" w:lineRule="auto"/>
        <w:tabs>
          <w:tab w:leader="none" w:pos="1430" w:val="left"/>
        </w:tabs>
        <w:numPr>
          <w:ilvl w:val="0"/>
          <w:numId w:val="1"/>
        </w:numPr>
        <w:rPr>
          <w:rFonts w:ascii="Arial" w:cs="Arial" w:eastAsia="Arial" w:hAnsi="Arial"/>
          <w:sz w:val="17"/>
          <w:szCs w:val="17"/>
          <w:color w:val="auto"/>
        </w:rPr>
      </w:pPr>
      <w:r>
        <w:rPr>
          <w:rFonts w:ascii="Arial" w:cs="Arial" w:eastAsia="Arial" w:hAnsi="Arial"/>
          <w:sz w:val="17"/>
          <w:szCs w:val="17"/>
          <w:color w:val="auto"/>
        </w:rPr>
        <w:t>Operating expenses, on the other hand, benefited from devaluation given that 72% of today’s expenses are Nuevos Soles-denominated. In this context, total OpEx grew 3.5% this 2Q driven primarily by our network expansion plan, which continues due to the good evolution of the business and strong growth in different business segments.</w:t>
      </w:r>
    </w:p>
    <w:p>
      <w:pPr>
        <w:ind w:left="1340" w:firstLine="7"/>
        <w:spacing w:after="0" w:line="250" w:lineRule="auto"/>
        <w:tabs>
          <w:tab w:leader="none" w:pos="1443" w:val="left"/>
        </w:tabs>
        <w:numPr>
          <w:ilvl w:val="0"/>
          <w:numId w:val="1"/>
        </w:numPr>
        <w:rPr>
          <w:rFonts w:ascii="Arial" w:cs="Arial" w:eastAsia="Arial" w:hAnsi="Arial"/>
          <w:sz w:val="18"/>
          <w:szCs w:val="18"/>
          <w:color w:val="auto"/>
        </w:rPr>
      </w:pPr>
      <w:r>
        <w:rPr>
          <w:rFonts w:ascii="Arial" w:cs="Arial" w:eastAsia="Arial" w:hAnsi="Arial"/>
          <w:sz w:val="18"/>
          <w:szCs w:val="18"/>
          <w:color w:val="auto"/>
        </w:rPr>
        <w:t>Due to all of the aforementioned distortions, operating income reported in US Dollars dropped 26.1% this 2Q to US$ 204.4 million.</w:t>
      </w:r>
    </w:p>
    <w:p>
      <w:pPr>
        <w:jc w:val="both"/>
        <w:ind w:left="1340" w:firstLine="7"/>
        <w:spacing w:after="0" w:line="250" w:lineRule="auto"/>
        <w:tabs>
          <w:tab w:leader="none" w:pos="143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addition to the translation and forward valuation losses related to the Nuevos Soles portion of Credicorp’s equity, taxes remained high and totaled another US$ 71 million given that they are determined based on Nuevos Soles accounting results, which are higher than US Dollar results.</w:t>
      </w:r>
    </w:p>
    <w:p>
      <w:pPr>
        <w:spacing w:after="0" w:line="1" w:lineRule="exact"/>
        <w:rPr>
          <w:rFonts w:ascii="Arial" w:cs="Arial" w:eastAsia="Arial" w:hAnsi="Arial"/>
          <w:sz w:val="18"/>
          <w:szCs w:val="18"/>
          <w:color w:val="auto"/>
        </w:rPr>
      </w:pPr>
    </w:p>
    <w:p>
      <w:pPr>
        <w:jc w:val="both"/>
        <w:ind w:left="1340" w:firstLine="7"/>
        <w:spacing w:after="0" w:line="288" w:lineRule="auto"/>
        <w:tabs>
          <w:tab w:leader="none" w:pos="1443" w:val="left"/>
        </w:tabs>
        <w:numPr>
          <w:ilvl w:val="0"/>
          <w:numId w:val="1"/>
        </w:numPr>
        <w:rPr>
          <w:rFonts w:ascii="Arial" w:cs="Arial" w:eastAsia="Arial" w:hAnsi="Arial"/>
          <w:sz w:val="16"/>
          <w:szCs w:val="16"/>
          <w:color w:val="auto"/>
        </w:rPr>
      </w:pPr>
      <w:r>
        <w:rPr>
          <w:rFonts w:ascii="Arial" w:cs="Arial" w:eastAsia="Arial" w:hAnsi="Arial"/>
          <w:sz w:val="16"/>
          <w:szCs w:val="16"/>
          <w:color w:val="auto"/>
        </w:rPr>
        <w:t>Notwithstanding, and looking beyond the impact of the currency devaluation, which is reflected in a US$111.4 million non-cash loss related to the Nuevos Soles portion of Credicorp’s equity (translation + forward contract) and of an additional estimated US$ 15.1 million in taxes, the results of Credicorp’s businesses are strong and in line with expected growth and profitability ratios for each portfolio in each currency. However, two negative events in the 2Q were: i) the need for an additional US$ 20 million in provisions (temporary increase in SME delinquencies) and ii) the US$11.5 million loss on the market value of bond holdings due to higher interest rates in US Dollars. All of these negative, non-recurring events explain over US$ 158 million of losses that depress Credicorp’s reported net income for this 2Q13.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665480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094" w:right="239" w:bottom="1083" w:gutter="0" w:footer="0" w:header="0"/>
        </w:sectPr>
      </w:pPr>
    </w:p>
    <w:bookmarkStart w:id="3" w:name="page4"/>
    <w:bookmarkEnd w:id="3"/>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 Credicorp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second Q of this year, the volatility of the local currency in our market surpassed all precedents in the last 20 years. These variations were attributable to changes in the Central Bank’s policies and the fact that US dollar has strengthened worldwide. Given that Credicorp is one of the few companies in the region that reports in US Dollars, its results incorporate the impact of currency volatility at a level not seen in other businesses in the region.</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past, while the US Dollar remained the dominant currency in the different businesses of Credicorp, this exposure was small and easily managed. However, as the local currency gained importance and began to dominate in Credicorp’s core businesses, our corporation became more exposed to currency fluctuations when reporting in US Dollars.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Therefore, the results for this 2Q13 incorporate the full impact of the 7.5% devaluation for the Q and the 9% devaluation of local currency for the first half of the year. This has generated a significant distortion in the reported volumes for growth and income generation at most of Credicorp’s Nuevos Soles-denominated businesses, which currently contribute over 87% of the corporation’s net interest income, and have generated translation losses and valuation loss on a structural forward contracts, both of which arise from efforts to protect the capitalization ratios of the organization through the construction of a Nuevos Soles denominated equity portion in our books.</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this context, Credicorp reported net earnings after minority interest of US$ 54.5 million this 2Q13 after deducting the US$ 78.5 million translation loss and a US$ 32.9 million loss on the valuation of the structural forward contracts from its operating results and considering an additional estimated US$ 15.1 million in taxes on higher earnings reported in Nuevos Soles. This result was 70% lower than the US$ 181.5 million reported in 1Q, which in turn included a translation loss of US$18.6 million and a structural forward valuation loss of US$ 11.7 million. Consequently, ROAE dropped to 5.4% for the Q.</w:t>
      </w:r>
    </w:p>
    <w:p>
      <w:pPr>
        <w:spacing w:after="0" w:line="1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Given that a portion of the equity in Nuevos Soles is constructed through the structural forward contracts, which affects net interest income when valued at market rates, and considering that said net interest income is about 87% Nuevos Soles-denominated and therefore affected by the conversion to US Dollars at a devalued exchange rate, Credicorp´s results have been negatively impacted in basically all lines of its income statement when reporting in US Dollars.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Therefore, net interest income dropped 2.2% for the Q and non-financial income dropped 8.3%.</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However, a more detailed look at the performance of the business denotes a truly healthy business evolution with stronger income generation and margins, when evaluating the performance in the currency in which the businesses are conducted.</w:t>
      </w:r>
    </w:p>
    <w:p>
      <w:pPr>
        <w:spacing w:after="0" w:line="150"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tcPr>
          <w:p>
            <w:pPr>
              <w:jc w:val="center"/>
              <w:ind w:left="88"/>
              <w:spacing w:after="0"/>
              <w:rPr>
                <w:sz w:val="20"/>
                <w:szCs w:val="20"/>
                <w:color w:val="auto"/>
              </w:rPr>
            </w:pPr>
            <w:r>
              <w:rPr>
                <w:rFonts w:ascii="Arial" w:cs="Arial" w:eastAsia="Arial" w:hAnsi="Arial"/>
                <w:sz w:val="14"/>
                <w:szCs w:val="14"/>
                <w:b w:val="1"/>
                <w:bCs w:val="1"/>
                <w:color w:val="auto"/>
                <w:w w:val="98"/>
              </w:rPr>
              <w:t>% Change LC *</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gridSpan w:val="3"/>
          </w:tcPr>
          <w:p>
            <w:pPr>
              <w:jc w:val="center"/>
              <w:ind w:left="108"/>
              <w:spacing w:after="0"/>
              <w:rPr>
                <w:sz w:val="20"/>
                <w:szCs w:val="20"/>
                <w:color w:val="auto"/>
              </w:rPr>
            </w:pPr>
            <w:r>
              <w:rPr>
                <w:rFonts w:ascii="Arial" w:cs="Arial" w:eastAsia="Arial" w:hAnsi="Arial"/>
                <w:sz w:val="14"/>
                <w:szCs w:val="14"/>
                <w:b w:val="1"/>
                <w:bCs w:val="1"/>
                <w:color w:val="auto"/>
                <w:w w:val="97"/>
              </w:rPr>
              <w:t>% Change LC</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3"/>
          </w:tcPr>
          <w:p>
            <w:pPr>
              <w:ind w:left="240"/>
              <w:spacing w:after="0"/>
              <w:rPr>
                <w:sz w:val="20"/>
                <w:szCs w:val="20"/>
                <w:color w:val="auto"/>
              </w:rPr>
            </w:pPr>
            <w:r>
              <w:rPr>
                <w:rFonts w:ascii="Arial" w:cs="Arial" w:eastAsia="Arial" w:hAnsi="Arial"/>
                <w:sz w:val="14"/>
                <w:szCs w:val="14"/>
                <w:b w:val="1"/>
                <w:bCs w:val="1"/>
                <w:color w:val="auto"/>
                <w:w w:val="97"/>
              </w:rPr>
              <w:t>% Change FC</w:t>
            </w: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gridSpan w:val="3"/>
          </w:tcPr>
          <w:p>
            <w:pPr>
              <w:ind w:left="180"/>
              <w:spacing w:after="0"/>
              <w:rPr>
                <w:sz w:val="20"/>
                <w:szCs w:val="20"/>
                <w:color w:val="auto"/>
              </w:rPr>
            </w:pPr>
            <w:r>
              <w:rPr>
                <w:rFonts w:ascii="Arial" w:cs="Arial" w:eastAsia="Arial" w:hAnsi="Arial"/>
                <w:sz w:val="14"/>
                <w:szCs w:val="14"/>
                <w:b w:val="1"/>
                <w:bCs w:val="1"/>
                <w:color w:val="auto"/>
                <w:w w:val="93"/>
              </w:rPr>
              <w:t>% Total Change</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5"/>
          </w:tcPr>
          <w:p>
            <w:pPr>
              <w:jc w:val="center"/>
              <w:ind w:right="488"/>
              <w:spacing w:after="0"/>
              <w:rPr>
                <w:sz w:val="20"/>
                <w:szCs w:val="20"/>
                <w:color w:val="auto"/>
              </w:rPr>
            </w:pPr>
            <w:r>
              <w:rPr>
                <w:rFonts w:ascii="Arial" w:cs="Arial" w:eastAsia="Arial" w:hAnsi="Arial"/>
                <w:sz w:val="14"/>
                <w:szCs w:val="14"/>
                <w:b w:val="1"/>
                <w:bCs w:val="1"/>
                <w:color w:val="auto"/>
                <w:w w:val="91"/>
              </w:rPr>
              <w:t>Expressed in PEN</w:t>
            </w:r>
          </w:p>
        </w:tc>
        <w:tc>
          <w:tcPr>
            <w:tcW w:w="1880" w:type="dxa"/>
            <w:vAlign w:val="bottom"/>
            <w:gridSpan w:val="5"/>
          </w:tcPr>
          <w:p>
            <w:pPr>
              <w:jc w:val="center"/>
              <w:ind w:right="488"/>
              <w:spacing w:after="0"/>
              <w:rPr>
                <w:sz w:val="20"/>
                <w:szCs w:val="20"/>
                <w:color w:val="auto"/>
              </w:rPr>
            </w:pPr>
            <w:r>
              <w:rPr>
                <w:rFonts w:ascii="Arial" w:cs="Arial" w:eastAsia="Arial" w:hAnsi="Arial"/>
                <w:sz w:val="14"/>
                <w:szCs w:val="14"/>
                <w:b w:val="1"/>
                <w:bCs w:val="1"/>
                <w:color w:val="auto"/>
                <w:w w:val="91"/>
              </w:rPr>
              <w:t>Expressed in US$</w:t>
            </w:r>
          </w:p>
        </w:tc>
        <w:tc>
          <w:tcPr>
            <w:tcW w:w="1900" w:type="dxa"/>
            <w:vAlign w:val="bottom"/>
            <w:gridSpan w:val="5"/>
          </w:tcPr>
          <w:p>
            <w:pPr>
              <w:jc w:val="right"/>
              <w:ind w:right="628"/>
              <w:spacing w:after="0"/>
              <w:rPr>
                <w:sz w:val="20"/>
                <w:szCs w:val="20"/>
                <w:color w:val="auto"/>
              </w:rPr>
            </w:pPr>
            <w:r>
              <w:rPr>
                <w:rFonts w:ascii="Arial" w:cs="Arial" w:eastAsia="Arial" w:hAnsi="Arial"/>
                <w:sz w:val="14"/>
                <w:szCs w:val="14"/>
                <w:b w:val="1"/>
                <w:bCs w:val="1"/>
                <w:color w:val="auto"/>
                <w:w w:val="99"/>
              </w:rPr>
              <w:t>Expressed in US$</w:t>
            </w:r>
          </w:p>
        </w:tc>
        <w:tc>
          <w:tcPr>
            <w:tcW w:w="1580" w:type="dxa"/>
            <w:vAlign w:val="bottom"/>
            <w:gridSpan w:val="5"/>
          </w:tcPr>
          <w:p>
            <w:pPr>
              <w:jc w:val="right"/>
              <w:ind w:right="288"/>
              <w:spacing w:after="0"/>
              <w:rPr>
                <w:sz w:val="20"/>
                <w:szCs w:val="20"/>
                <w:color w:val="auto"/>
              </w:rPr>
            </w:pPr>
            <w:r>
              <w:rPr>
                <w:rFonts w:ascii="Arial" w:cs="Arial" w:eastAsia="Arial" w:hAnsi="Arial"/>
                <w:sz w:val="14"/>
                <w:szCs w:val="14"/>
                <w:b w:val="1"/>
                <w:bCs w:val="1"/>
                <w:color w:val="auto"/>
              </w:rPr>
              <w:t>Expressed in US$</w:t>
            </w:r>
          </w:p>
        </w:tc>
        <w:tc>
          <w:tcPr>
            <w:tcW w:w="0" w:type="dxa"/>
            <w:vAlign w:val="bottom"/>
          </w:tcPr>
          <w:p>
            <w:pPr>
              <w:spacing w:after="0"/>
              <w:rPr>
                <w:sz w:val="1"/>
                <w:szCs w:val="1"/>
                <w:color w:val="auto"/>
              </w:rPr>
            </w:pPr>
          </w:p>
        </w:tc>
      </w:tr>
      <w:tr>
        <w:trPr>
          <w:trHeight w:val="171"/>
        </w:trPr>
        <w:tc>
          <w:tcPr>
            <w:tcW w:w="3700" w:type="dxa"/>
            <w:vAlign w:val="bottom"/>
          </w:tcPr>
          <w:p>
            <w:pPr>
              <w:spacing w:after="0"/>
              <w:rPr>
                <w:sz w:val="20"/>
                <w:szCs w:val="20"/>
                <w:color w:val="auto"/>
              </w:rPr>
            </w:pPr>
            <w:r>
              <w:rPr>
                <w:rFonts w:ascii="Arial" w:cs="Arial" w:eastAsia="Arial" w:hAnsi="Arial"/>
                <w:sz w:val="14"/>
                <w:szCs w:val="14"/>
                <w:b w:val="1"/>
                <w:bCs w:val="1"/>
                <w:color w:val="auto"/>
              </w:rPr>
              <w:t>Credicorp Ltd.</w:t>
            </w: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QoQ</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YoY</w:t>
            </w:r>
          </w:p>
        </w:tc>
        <w:tc>
          <w:tcPr>
            <w:tcW w:w="1140" w:type="dxa"/>
            <w:vAlign w:val="bottom"/>
            <w:gridSpan w:val="3"/>
          </w:tcPr>
          <w:p>
            <w:pPr>
              <w:ind w:left="240"/>
              <w:spacing w:after="0"/>
              <w:rPr>
                <w:sz w:val="20"/>
                <w:szCs w:val="20"/>
                <w:color w:val="auto"/>
              </w:rPr>
            </w:pPr>
            <w:r>
              <w:rPr>
                <w:rFonts w:ascii="Arial" w:cs="Arial" w:eastAsia="Arial" w:hAnsi="Arial"/>
                <w:sz w:val="14"/>
                <w:szCs w:val="14"/>
                <w:b w:val="1"/>
                <w:bCs w:val="1"/>
                <w:color w:val="auto"/>
              </w:rPr>
              <w:t>QoQ</w:t>
            </w: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YoY</w:t>
            </w:r>
          </w:p>
        </w:tc>
        <w:tc>
          <w:tcPr>
            <w:tcW w:w="1140" w:type="dxa"/>
            <w:vAlign w:val="bottom"/>
            <w:gridSpan w:val="3"/>
          </w:tcPr>
          <w:p>
            <w:pPr>
              <w:ind w:left="260"/>
              <w:spacing w:after="0"/>
              <w:rPr>
                <w:sz w:val="20"/>
                <w:szCs w:val="20"/>
                <w:color w:val="auto"/>
              </w:rPr>
            </w:pPr>
            <w:r>
              <w:rPr>
                <w:rFonts w:ascii="Arial" w:cs="Arial" w:eastAsia="Arial" w:hAnsi="Arial"/>
                <w:sz w:val="14"/>
                <w:szCs w:val="14"/>
                <w:b w:val="1"/>
                <w:bCs w:val="1"/>
                <w:color w:val="auto"/>
              </w:rPr>
              <w:t>QoQ</w:t>
            </w:r>
          </w:p>
        </w:tc>
        <w:tc>
          <w:tcPr>
            <w:tcW w:w="76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rPr>
              <w:t>YoY</w:t>
            </w:r>
          </w:p>
        </w:tc>
        <w:tc>
          <w:tcPr>
            <w:tcW w:w="1180" w:type="dxa"/>
            <w:vAlign w:val="bottom"/>
            <w:gridSpan w:val="3"/>
          </w:tcPr>
          <w:p>
            <w:pPr>
              <w:ind w:left="260"/>
              <w:spacing w:after="0"/>
              <w:rPr>
                <w:sz w:val="20"/>
                <w:szCs w:val="20"/>
                <w:color w:val="auto"/>
              </w:rPr>
            </w:pPr>
            <w:r>
              <w:rPr>
                <w:rFonts w:ascii="Arial" w:cs="Arial" w:eastAsia="Arial" w:hAnsi="Arial"/>
                <w:sz w:val="14"/>
                <w:szCs w:val="14"/>
                <w:b w:val="1"/>
                <w:bCs w:val="1"/>
                <w:color w:val="auto"/>
              </w:rPr>
              <w:t>QoQ</w:t>
            </w:r>
          </w:p>
        </w:tc>
        <w:tc>
          <w:tcPr>
            <w:tcW w:w="4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w w:val="95"/>
              </w:rPr>
              <w:t>YoY</w:t>
            </w:r>
          </w:p>
        </w:tc>
        <w:tc>
          <w:tcPr>
            <w:tcW w:w="0" w:type="dxa"/>
            <w:vAlign w:val="bottom"/>
          </w:tcPr>
          <w:p>
            <w:pPr>
              <w:spacing w:after="0"/>
              <w:rPr>
                <w:sz w:val="1"/>
                <w:szCs w:val="1"/>
                <w:color w:val="auto"/>
              </w:rPr>
            </w:pPr>
          </w:p>
        </w:tc>
      </w:tr>
      <w:tr>
        <w:trPr>
          <w:trHeight w:val="20"/>
        </w:trPr>
        <w:tc>
          <w:tcPr>
            <w:tcW w:w="37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CCFFC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0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Ajusted Interest Income (1)</w:t>
            </w:r>
          </w:p>
        </w:tc>
        <w:tc>
          <w:tcPr>
            <w:tcW w:w="220" w:type="dxa"/>
            <w:vAlign w:val="bottom"/>
            <w:vMerge w:val="continue"/>
            <w:shd w:val="clear" w:color="auto" w:fill="CCFFCC"/>
          </w:tcPr>
          <w:p>
            <w:pPr>
              <w:spacing w:after="0"/>
              <w:rPr>
                <w:sz w:val="12"/>
                <w:szCs w:val="12"/>
                <w:color w:val="auto"/>
              </w:rPr>
            </w:pPr>
          </w:p>
        </w:tc>
        <w:tc>
          <w:tcPr>
            <w:tcW w:w="900" w:type="dxa"/>
            <w:vAlign w:val="bottom"/>
            <w:gridSpan w:val="2"/>
            <w:shd w:val="clear" w:color="auto" w:fill="CCFFCC"/>
          </w:tcPr>
          <w:p>
            <w:pPr>
              <w:jc w:val="right"/>
              <w:ind w:right="148"/>
              <w:spacing w:after="0" w:line="142" w:lineRule="exact"/>
              <w:rPr>
                <w:sz w:val="20"/>
                <w:szCs w:val="20"/>
                <w:color w:val="auto"/>
              </w:rPr>
            </w:pPr>
            <w:r>
              <w:rPr>
                <w:rFonts w:ascii="Arial" w:cs="Arial" w:eastAsia="Arial" w:hAnsi="Arial"/>
                <w:sz w:val="14"/>
                <w:szCs w:val="14"/>
                <w:color w:val="auto"/>
              </w:rPr>
              <w:t>7.9%</w:t>
            </w:r>
          </w:p>
        </w:tc>
        <w:tc>
          <w:tcPr>
            <w:tcW w:w="280" w:type="dxa"/>
            <w:vAlign w:val="bottom"/>
            <w:shd w:val="clear" w:color="auto" w:fill="CCFFCC"/>
          </w:tcPr>
          <w:p>
            <w:pPr>
              <w:spacing w:after="0"/>
              <w:rPr>
                <w:sz w:val="12"/>
                <w:szCs w:val="12"/>
                <w:color w:val="auto"/>
              </w:rPr>
            </w:pPr>
          </w:p>
        </w:tc>
        <w:tc>
          <w:tcPr>
            <w:tcW w:w="720" w:type="dxa"/>
            <w:vAlign w:val="bottom"/>
            <w:gridSpan w:val="2"/>
            <w:shd w:val="clear" w:color="auto" w:fill="CCFFCC"/>
          </w:tcPr>
          <w:p>
            <w:pPr>
              <w:ind w:left="20"/>
              <w:spacing w:after="0" w:line="142" w:lineRule="exact"/>
              <w:rPr>
                <w:sz w:val="20"/>
                <w:szCs w:val="20"/>
                <w:color w:val="auto"/>
              </w:rPr>
            </w:pPr>
            <w:r>
              <w:rPr>
                <w:rFonts w:ascii="Arial" w:cs="Arial" w:eastAsia="Arial" w:hAnsi="Arial"/>
                <w:sz w:val="14"/>
                <w:szCs w:val="14"/>
                <w:color w:val="auto"/>
              </w:rPr>
              <w:t>21.2%</w:t>
            </w:r>
          </w:p>
        </w:tc>
        <w:tc>
          <w:tcPr>
            <w:tcW w:w="880" w:type="dxa"/>
            <w:vAlign w:val="bottom"/>
            <w:gridSpan w:val="2"/>
            <w:shd w:val="clear" w:color="auto" w:fill="CCFFCC"/>
          </w:tcPr>
          <w:p>
            <w:pPr>
              <w:jc w:val="right"/>
              <w:ind w:right="148"/>
              <w:spacing w:after="0" w:line="142" w:lineRule="exact"/>
              <w:rPr>
                <w:sz w:val="20"/>
                <w:szCs w:val="20"/>
                <w:color w:val="auto"/>
              </w:rPr>
            </w:pPr>
            <w:r>
              <w:rPr>
                <w:rFonts w:ascii="Arial" w:cs="Arial" w:eastAsia="Arial" w:hAnsi="Arial"/>
                <w:sz w:val="14"/>
                <w:szCs w:val="14"/>
                <w:color w:val="auto"/>
              </w:rPr>
              <w:t>0.4%</w:t>
            </w:r>
          </w:p>
        </w:tc>
        <w:tc>
          <w:tcPr>
            <w:tcW w:w="260" w:type="dxa"/>
            <w:vAlign w:val="bottom"/>
            <w:shd w:val="clear" w:color="auto" w:fill="CCFFCC"/>
          </w:tcPr>
          <w:p>
            <w:pPr>
              <w:spacing w:after="0"/>
              <w:rPr>
                <w:sz w:val="12"/>
                <w:szCs w:val="12"/>
                <w:color w:val="auto"/>
              </w:rPr>
            </w:pPr>
          </w:p>
        </w:tc>
        <w:tc>
          <w:tcPr>
            <w:tcW w:w="740" w:type="dxa"/>
            <w:vAlign w:val="bottom"/>
            <w:gridSpan w:val="2"/>
            <w:shd w:val="clear" w:color="auto" w:fill="CCFFCC"/>
          </w:tcPr>
          <w:p>
            <w:pPr>
              <w:ind w:left="40"/>
              <w:spacing w:after="0" w:line="142" w:lineRule="exact"/>
              <w:rPr>
                <w:sz w:val="20"/>
                <w:szCs w:val="20"/>
                <w:color w:val="auto"/>
              </w:rPr>
            </w:pPr>
            <w:r>
              <w:rPr>
                <w:rFonts w:ascii="Arial" w:cs="Arial" w:eastAsia="Arial" w:hAnsi="Arial"/>
                <w:sz w:val="14"/>
                <w:szCs w:val="14"/>
                <w:color w:val="auto"/>
              </w:rPr>
              <w:t>16.4%</w:t>
            </w:r>
          </w:p>
        </w:tc>
        <w:tc>
          <w:tcPr>
            <w:tcW w:w="900" w:type="dxa"/>
            <w:vAlign w:val="bottom"/>
            <w:gridSpan w:val="2"/>
            <w:shd w:val="clear" w:color="auto" w:fill="CCFFCC"/>
          </w:tcPr>
          <w:p>
            <w:pPr>
              <w:jc w:val="right"/>
              <w:ind w:right="148"/>
              <w:spacing w:after="0" w:line="142" w:lineRule="exact"/>
              <w:rPr>
                <w:sz w:val="20"/>
                <w:szCs w:val="20"/>
                <w:color w:val="auto"/>
              </w:rPr>
            </w:pPr>
            <w:r>
              <w:rPr>
                <w:rFonts w:ascii="Arial" w:cs="Arial" w:eastAsia="Arial" w:hAnsi="Arial"/>
                <w:sz w:val="14"/>
                <w:szCs w:val="14"/>
                <w:color w:val="auto"/>
              </w:rPr>
              <w:t>-5.2%</w:t>
            </w:r>
          </w:p>
        </w:tc>
        <w:tc>
          <w:tcPr>
            <w:tcW w:w="240" w:type="dxa"/>
            <w:vAlign w:val="bottom"/>
            <w:shd w:val="clear" w:color="auto" w:fill="CCFFCC"/>
          </w:tcPr>
          <w:p>
            <w:pPr>
              <w:spacing w:after="0"/>
              <w:rPr>
                <w:sz w:val="12"/>
                <w:szCs w:val="12"/>
                <w:color w:val="auto"/>
              </w:rPr>
            </w:pPr>
          </w:p>
        </w:tc>
        <w:tc>
          <w:tcPr>
            <w:tcW w:w="760" w:type="dxa"/>
            <w:vAlign w:val="bottom"/>
            <w:gridSpan w:val="2"/>
            <w:shd w:val="clear" w:color="auto" w:fill="CCFFCC"/>
          </w:tcPr>
          <w:p>
            <w:pPr>
              <w:jc w:val="right"/>
              <w:ind w:right="268"/>
              <w:spacing w:after="0" w:line="142" w:lineRule="exact"/>
              <w:rPr>
                <w:sz w:val="20"/>
                <w:szCs w:val="20"/>
                <w:color w:val="auto"/>
              </w:rPr>
            </w:pPr>
            <w:r>
              <w:rPr>
                <w:rFonts w:ascii="Arial" w:cs="Arial" w:eastAsia="Arial" w:hAnsi="Arial"/>
                <w:sz w:val="14"/>
                <w:szCs w:val="14"/>
                <w:color w:val="auto"/>
              </w:rPr>
              <w:t>10.6%</w:t>
            </w:r>
          </w:p>
        </w:tc>
        <w:tc>
          <w:tcPr>
            <w:tcW w:w="900" w:type="dxa"/>
            <w:vAlign w:val="bottom"/>
            <w:gridSpan w:val="2"/>
            <w:shd w:val="clear" w:color="auto" w:fill="CCFFCC"/>
          </w:tcPr>
          <w:p>
            <w:pPr>
              <w:jc w:val="right"/>
              <w:ind w:right="148"/>
              <w:spacing w:after="0" w:line="142" w:lineRule="exact"/>
              <w:rPr>
                <w:sz w:val="20"/>
                <w:szCs w:val="20"/>
                <w:color w:val="auto"/>
              </w:rPr>
            </w:pPr>
            <w:r>
              <w:rPr>
                <w:rFonts w:ascii="Arial" w:cs="Arial" w:eastAsia="Arial" w:hAnsi="Arial"/>
                <w:sz w:val="14"/>
                <w:szCs w:val="14"/>
                <w:color w:val="auto"/>
              </w:rPr>
              <w:t>-1.3%</w:t>
            </w:r>
          </w:p>
        </w:tc>
        <w:tc>
          <w:tcPr>
            <w:tcW w:w="280" w:type="dxa"/>
            <w:vAlign w:val="bottom"/>
            <w:shd w:val="clear" w:color="auto" w:fill="CCFFCC"/>
          </w:tcPr>
          <w:p>
            <w:pPr>
              <w:spacing w:after="0"/>
              <w:rPr>
                <w:sz w:val="12"/>
                <w:szCs w:val="12"/>
                <w:color w:val="auto"/>
              </w:rPr>
            </w:pPr>
          </w:p>
        </w:tc>
        <w:tc>
          <w:tcPr>
            <w:tcW w:w="40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w w:val="95"/>
              </w:rPr>
              <w:t>14.6%</w:t>
            </w:r>
          </w:p>
        </w:tc>
        <w:tc>
          <w:tcPr>
            <w:tcW w:w="0" w:type="dxa"/>
            <w:vAlign w:val="bottom"/>
          </w:tcPr>
          <w:p>
            <w:pPr>
              <w:spacing w:after="0"/>
              <w:rPr>
                <w:sz w:val="1"/>
                <w:szCs w:val="1"/>
                <w:color w:val="auto"/>
              </w:rPr>
            </w:pPr>
          </w:p>
        </w:tc>
      </w:tr>
      <w:tr>
        <w:trPr>
          <w:trHeight w:val="230"/>
        </w:trPr>
        <w:tc>
          <w:tcPr>
            <w:tcW w:w="3920" w:type="dxa"/>
            <w:vAlign w:val="bottom"/>
            <w:gridSpan w:val="2"/>
          </w:tcPr>
          <w:p>
            <w:pPr>
              <w:spacing w:after="0"/>
              <w:rPr>
                <w:sz w:val="20"/>
                <w:szCs w:val="20"/>
                <w:color w:val="auto"/>
              </w:rPr>
            </w:pPr>
            <w:r>
              <w:rPr>
                <w:rFonts w:ascii="Arial" w:cs="Arial" w:eastAsia="Arial" w:hAnsi="Arial"/>
                <w:sz w:val="14"/>
                <w:szCs w:val="14"/>
                <w:color w:val="auto"/>
              </w:rPr>
              <w:t>Ajusted Interest Expenses (1)</w:t>
            </w: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7.7%</w:t>
            </w:r>
          </w:p>
        </w:tc>
        <w:tc>
          <w:tcPr>
            <w:tcW w:w="280" w:type="dxa"/>
            <w:vAlign w:val="bottom"/>
          </w:tcPr>
          <w:p>
            <w:pPr>
              <w:spacing w:after="0"/>
              <w:rPr>
                <w:sz w:val="19"/>
                <w:szCs w:val="19"/>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color w:val="auto"/>
              </w:rPr>
              <w:t>18.4%  à</w:t>
            </w:r>
          </w:p>
        </w:tc>
        <w:tc>
          <w:tcPr>
            <w:tcW w:w="880" w:type="dxa"/>
            <w:vAlign w:val="bottom"/>
            <w:gridSpan w:val="2"/>
          </w:tcPr>
          <w:p>
            <w:pPr>
              <w:jc w:val="right"/>
              <w:ind w:right="148"/>
              <w:spacing w:after="0"/>
              <w:rPr>
                <w:sz w:val="20"/>
                <w:szCs w:val="20"/>
                <w:color w:val="auto"/>
              </w:rPr>
            </w:pPr>
            <w:r>
              <w:rPr>
                <w:rFonts w:ascii="Arial" w:cs="Arial" w:eastAsia="Arial" w:hAnsi="Arial"/>
                <w:sz w:val="14"/>
                <w:szCs w:val="14"/>
                <w:color w:val="auto"/>
              </w:rPr>
              <w:t>0.3%</w:t>
            </w:r>
          </w:p>
        </w:tc>
        <w:tc>
          <w:tcPr>
            <w:tcW w:w="260" w:type="dxa"/>
            <w:vAlign w:val="bottom"/>
          </w:tcPr>
          <w:p>
            <w:pPr>
              <w:spacing w:after="0"/>
              <w:rPr>
                <w:sz w:val="19"/>
                <w:szCs w:val="19"/>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color w:val="auto"/>
              </w:rPr>
              <w:t xml:space="preserve">13.7%  </w:t>
            </w:r>
            <w:r>
              <w:rPr>
                <w:rFonts w:ascii="Arial" w:cs="Arial" w:eastAsia="Arial" w:hAnsi="Arial"/>
                <w:sz w:val="18"/>
                <w:szCs w:val="18"/>
                <w:color w:val="auto"/>
              </w:rPr>
              <w:t>+</w:t>
            </w: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-1.7%</w:t>
            </w:r>
          </w:p>
        </w:tc>
        <w:tc>
          <w:tcPr>
            <w:tcW w:w="240" w:type="dxa"/>
            <w:vAlign w:val="bottom"/>
          </w:tcPr>
          <w:p>
            <w:pPr>
              <w:spacing w:after="0"/>
              <w:rPr>
                <w:sz w:val="19"/>
                <w:szCs w:val="19"/>
                <w:color w:val="auto"/>
              </w:rPr>
            </w:pPr>
          </w:p>
        </w:tc>
        <w:tc>
          <w:tcPr>
            <w:tcW w:w="760" w:type="dxa"/>
            <w:vAlign w:val="bottom"/>
            <w:gridSpan w:val="2"/>
          </w:tcPr>
          <w:p>
            <w:pPr>
              <w:jc w:val="right"/>
              <w:ind w:right="28"/>
              <w:spacing w:after="0"/>
              <w:rPr>
                <w:sz w:val="20"/>
                <w:szCs w:val="20"/>
                <w:color w:val="auto"/>
              </w:rPr>
            </w:pPr>
            <w:r>
              <w:rPr>
                <w:rFonts w:ascii="Arial" w:cs="Arial" w:eastAsia="Arial" w:hAnsi="Arial"/>
                <w:sz w:val="14"/>
                <w:szCs w:val="14"/>
                <w:color w:val="auto"/>
              </w:rPr>
              <w:t>20.9%  =</w:t>
            </w: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-1.0%</w:t>
            </w:r>
          </w:p>
        </w:tc>
        <w:tc>
          <w:tcPr>
            <w:tcW w:w="28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w w:val="95"/>
              </w:rPr>
              <w:t>18.1%</w:t>
            </w:r>
          </w:p>
        </w:tc>
        <w:tc>
          <w:tcPr>
            <w:tcW w:w="0" w:type="dxa"/>
            <w:vAlign w:val="bottom"/>
          </w:tcPr>
          <w:p>
            <w:pPr>
              <w:spacing w:after="0"/>
              <w:rPr>
                <w:sz w:val="1"/>
                <w:szCs w:val="1"/>
                <w:color w:val="auto"/>
              </w:rPr>
            </w:pPr>
          </w:p>
        </w:tc>
      </w:tr>
      <w:tr>
        <w:trPr>
          <w:trHeight w:val="142"/>
        </w:trPr>
        <w:tc>
          <w:tcPr>
            <w:tcW w:w="3920" w:type="dxa"/>
            <w:vAlign w:val="bottom"/>
            <w:tcBorders>
              <w:top w:val="single" w:sz="8" w:color="CCFFCC"/>
            </w:tcBorders>
            <w:gridSpan w:val="2"/>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Ajusted Net interest income (1) (2)</w:t>
            </w:r>
          </w:p>
        </w:tc>
        <w:tc>
          <w:tcPr>
            <w:tcW w:w="5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7.9</w:t>
            </w:r>
          </w:p>
        </w:tc>
        <w:tc>
          <w:tcPr>
            <w:tcW w:w="340" w:type="dxa"/>
            <w:vAlign w:val="bottom"/>
            <w:tcBorders>
              <w:top w:val="single" w:sz="8" w:color="CCFFCC"/>
            </w:tcBorders>
            <w:shd w:val="clear" w:color="auto" w:fill="CCFFCC"/>
          </w:tcPr>
          <w:p>
            <w:pPr>
              <w:jc w:val="right"/>
              <w:ind w:right="148"/>
              <w:spacing w:after="0" w:line="142" w:lineRule="exact"/>
              <w:rPr>
                <w:sz w:val="20"/>
                <w:szCs w:val="20"/>
                <w:color w:val="auto"/>
              </w:rPr>
            </w:pPr>
            <w:r>
              <w:rPr>
                <w:rFonts w:ascii="Arial" w:cs="Arial" w:eastAsia="Arial" w:hAnsi="Arial"/>
                <w:sz w:val="14"/>
                <w:szCs w:val="14"/>
                <w:color w:val="auto"/>
                <w:w w:val="79"/>
              </w:rPr>
              <w:t>%</w:t>
            </w:r>
          </w:p>
        </w:tc>
        <w:tc>
          <w:tcPr>
            <w:tcW w:w="280" w:type="dxa"/>
            <w:vAlign w:val="bottom"/>
            <w:tcBorders>
              <w:top w:val="single" w:sz="8" w:color="auto"/>
              <w:bottom w:val="single" w:sz="8" w:color="auto"/>
            </w:tcBorders>
            <w:shd w:val="clear" w:color="auto" w:fill="CCFFCC"/>
          </w:tcPr>
          <w:p>
            <w:pPr>
              <w:spacing w:after="0"/>
              <w:rPr>
                <w:sz w:val="12"/>
                <w:szCs w:val="12"/>
                <w:color w:val="auto"/>
              </w:rPr>
            </w:pPr>
          </w:p>
        </w:tc>
        <w:tc>
          <w:tcPr>
            <w:tcW w:w="260" w:type="dxa"/>
            <w:vAlign w:val="bottom"/>
            <w:tcBorders>
              <w:top w:val="single" w:sz="8" w:color="auto"/>
              <w:bottom w:val="single" w:sz="8" w:color="auto"/>
            </w:tcBorders>
            <w:shd w:val="clear" w:color="auto" w:fill="CCFFCC"/>
          </w:tcPr>
          <w:p>
            <w:pPr>
              <w:ind w:left="20"/>
              <w:spacing w:after="0" w:line="142" w:lineRule="exact"/>
              <w:rPr>
                <w:sz w:val="20"/>
                <w:szCs w:val="20"/>
                <w:color w:val="auto"/>
              </w:rPr>
            </w:pPr>
            <w:r>
              <w:rPr>
                <w:rFonts w:ascii="Arial" w:cs="Arial" w:eastAsia="Arial" w:hAnsi="Arial"/>
                <w:sz w:val="14"/>
                <w:szCs w:val="14"/>
                <w:color w:val="auto"/>
                <w:w w:val="80"/>
              </w:rPr>
              <w:t>21.6</w:t>
            </w:r>
          </w:p>
        </w:tc>
        <w:tc>
          <w:tcPr>
            <w:tcW w:w="460" w:type="dxa"/>
            <w:vAlign w:val="bottom"/>
            <w:tcBorders>
              <w:top w:val="single" w:sz="8" w:color="CCFFCC"/>
            </w:tcBorders>
            <w:shd w:val="clear" w:color="auto" w:fill="CCFFCC"/>
          </w:tcPr>
          <w:p>
            <w:pPr>
              <w:jc w:val="right"/>
              <w:ind w:right="268"/>
              <w:spacing w:after="0" w:line="142" w:lineRule="exact"/>
              <w:rPr>
                <w:sz w:val="20"/>
                <w:szCs w:val="20"/>
                <w:color w:val="auto"/>
              </w:rPr>
            </w:pPr>
            <w:r>
              <w:rPr>
                <w:rFonts w:ascii="Arial" w:cs="Arial" w:eastAsia="Arial" w:hAnsi="Arial"/>
                <w:sz w:val="14"/>
                <w:szCs w:val="14"/>
                <w:color w:val="auto"/>
                <w:w w:val="79"/>
              </w:rPr>
              <w:t>%</w:t>
            </w:r>
          </w:p>
        </w:tc>
        <w:tc>
          <w:tcPr>
            <w:tcW w:w="5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0.4</w:t>
            </w:r>
          </w:p>
        </w:tc>
        <w:tc>
          <w:tcPr>
            <w:tcW w:w="340" w:type="dxa"/>
            <w:vAlign w:val="bottom"/>
            <w:tcBorders>
              <w:top w:val="single" w:sz="8" w:color="CCFFCC"/>
            </w:tcBorders>
            <w:shd w:val="clear" w:color="auto" w:fill="CCFFCC"/>
          </w:tcPr>
          <w:p>
            <w:pPr>
              <w:jc w:val="right"/>
              <w:ind w:right="148"/>
              <w:spacing w:after="0" w:line="142" w:lineRule="exact"/>
              <w:rPr>
                <w:sz w:val="20"/>
                <w:szCs w:val="20"/>
                <w:color w:val="auto"/>
              </w:rPr>
            </w:pPr>
            <w:r>
              <w:rPr>
                <w:rFonts w:ascii="Arial" w:cs="Arial" w:eastAsia="Arial" w:hAnsi="Arial"/>
                <w:sz w:val="14"/>
                <w:szCs w:val="14"/>
                <w:color w:val="auto"/>
                <w:w w:val="79"/>
              </w:rPr>
              <w:t>%</w:t>
            </w:r>
          </w:p>
        </w:tc>
        <w:tc>
          <w:tcPr>
            <w:tcW w:w="260" w:type="dxa"/>
            <w:vAlign w:val="bottom"/>
            <w:tcBorders>
              <w:top w:val="single" w:sz="8" w:color="auto"/>
              <w:bottom w:val="single" w:sz="8" w:color="auto"/>
            </w:tcBorders>
            <w:shd w:val="clear" w:color="auto" w:fill="CCFFCC"/>
          </w:tcPr>
          <w:p>
            <w:pPr>
              <w:spacing w:after="0"/>
              <w:rPr>
                <w:sz w:val="12"/>
                <w:szCs w:val="12"/>
                <w:color w:val="auto"/>
              </w:rPr>
            </w:pPr>
          </w:p>
        </w:tc>
        <w:tc>
          <w:tcPr>
            <w:tcW w:w="300" w:type="dxa"/>
            <w:vAlign w:val="bottom"/>
            <w:tcBorders>
              <w:top w:val="single" w:sz="8" w:color="auto"/>
              <w:bottom w:val="single" w:sz="8" w:color="auto"/>
            </w:tcBorders>
            <w:shd w:val="clear" w:color="auto" w:fill="CCFFCC"/>
          </w:tcPr>
          <w:p>
            <w:pPr>
              <w:ind w:left="40"/>
              <w:spacing w:after="0" w:line="142" w:lineRule="exact"/>
              <w:rPr>
                <w:sz w:val="20"/>
                <w:szCs w:val="20"/>
                <w:color w:val="auto"/>
              </w:rPr>
            </w:pPr>
            <w:r>
              <w:rPr>
                <w:rFonts w:ascii="Arial" w:cs="Arial" w:eastAsia="Arial" w:hAnsi="Arial"/>
                <w:sz w:val="14"/>
                <w:szCs w:val="14"/>
                <w:color w:val="auto"/>
                <w:w w:val="87"/>
              </w:rPr>
              <w:t>16.8</w:t>
            </w:r>
          </w:p>
        </w:tc>
        <w:tc>
          <w:tcPr>
            <w:tcW w:w="440" w:type="dxa"/>
            <w:vAlign w:val="bottom"/>
            <w:tcBorders>
              <w:top w:val="single" w:sz="8" w:color="CCFFCC"/>
            </w:tcBorders>
            <w:shd w:val="clear" w:color="auto" w:fill="CCFFCC"/>
          </w:tcPr>
          <w:p>
            <w:pPr>
              <w:jc w:val="right"/>
              <w:ind w:right="248"/>
              <w:spacing w:after="0" w:line="142" w:lineRule="exact"/>
              <w:rPr>
                <w:sz w:val="20"/>
                <w:szCs w:val="20"/>
                <w:color w:val="auto"/>
              </w:rPr>
            </w:pPr>
            <w:r>
              <w:rPr>
                <w:rFonts w:ascii="Arial" w:cs="Arial" w:eastAsia="Arial" w:hAnsi="Arial"/>
                <w:sz w:val="14"/>
                <w:szCs w:val="14"/>
                <w:color w:val="auto"/>
                <w:w w:val="79"/>
              </w:rPr>
              <w:t>%</w:t>
            </w:r>
          </w:p>
        </w:tc>
        <w:tc>
          <w:tcPr>
            <w:tcW w:w="5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-9.7</w:t>
            </w:r>
          </w:p>
        </w:tc>
        <w:tc>
          <w:tcPr>
            <w:tcW w:w="340" w:type="dxa"/>
            <w:vAlign w:val="bottom"/>
            <w:tcBorders>
              <w:top w:val="single" w:sz="8" w:color="CCFFCC"/>
            </w:tcBorders>
            <w:shd w:val="clear" w:color="auto" w:fill="CCFFCC"/>
          </w:tcPr>
          <w:p>
            <w:pPr>
              <w:jc w:val="right"/>
              <w:ind w:right="148"/>
              <w:spacing w:after="0" w:line="142" w:lineRule="exact"/>
              <w:rPr>
                <w:sz w:val="20"/>
                <w:szCs w:val="20"/>
                <w:color w:val="auto"/>
              </w:rPr>
            </w:pPr>
            <w:r>
              <w:rPr>
                <w:rFonts w:ascii="Arial" w:cs="Arial" w:eastAsia="Arial" w:hAnsi="Arial"/>
                <w:sz w:val="14"/>
                <w:szCs w:val="14"/>
                <w:color w:val="auto"/>
                <w:w w:val="79"/>
              </w:rPr>
              <w:t>%</w:t>
            </w:r>
          </w:p>
        </w:tc>
        <w:tc>
          <w:tcPr>
            <w:tcW w:w="240" w:type="dxa"/>
            <w:vAlign w:val="bottom"/>
            <w:tcBorders>
              <w:top w:val="single" w:sz="8" w:color="auto"/>
              <w:bottom w:val="single" w:sz="8" w:color="auto"/>
            </w:tcBorders>
            <w:shd w:val="clear" w:color="auto" w:fill="CCFFCC"/>
          </w:tcPr>
          <w:p>
            <w:pPr>
              <w:spacing w:after="0"/>
              <w:rPr>
                <w:sz w:val="12"/>
                <w:szCs w:val="12"/>
                <w:color w:val="auto"/>
              </w:rPr>
            </w:pPr>
          </w:p>
        </w:tc>
        <w:tc>
          <w:tcPr>
            <w:tcW w:w="3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-1.1</w:t>
            </w:r>
          </w:p>
        </w:tc>
        <w:tc>
          <w:tcPr>
            <w:tcW w:w="460" w:type="dxa"/>
            <w:vAlign w:val="bottom"/>
            <w:tcBorders>
              <w:top w:val="single" w:sz="8" w:color="CCFFCC"/>
            </w:tcBorders>
            <w:shd w:val="clear" w:color="auto" w:fill="CCFFCC"/>
          </w:tcPr>
          <w:p>
            <w:pPr>
              <w:jc w:val="right"/>
              <w:ind w:right="268"/>
              <w:spacing w:after="0" w:line="142" w:lineRule="exact"/>
              <w:rPr>
                <w:sz w:val="20"/>
                <w:szCs w:val="20"/>
                <w:color w:val="auto"/>
              </w:rPr>
            </w:pPr>
            <w:r>
              <w:rPr>
                <w:rFonts w:ascii="Arial" w:cs="Arial" w:eastAsia="Arial" w:hAnsi="Arial"/>
                <w:sz w:val="14"/>
                <w:szCs w:val="14"/>
                <w:color w:val="auto"/>
                <w:w w:val="79"/>
              </w:rPr>
              <w:t>%</w:t>
            </w:r>
          </w:p>
        </w:tc>
        <w:tc>
          <w:tcPr>
            <w:tcW w:w="5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-1.5</w:t>
            </w:r>
          </w:p>
        </w:tc>
        <w:tc>
          <w:tcPr>
            <w:tcW w:w="340" w:type="dxa"/>
            <w:vAlign w:val="bottom"/>
            <w:tcBorders>
              <w:top w:val="single" w:sz="8" w:color="CCFFCC"/>
            </w:tcBorders>
            <w:shd w:val="clear" w:color="auto" w:fill="CCFFCC"/>
          </w:tcPr>
          <w:p>
            <w:pPr>
              <w:jc w:val="right"/>
              <w:ind w:right="148"/>
              <w:spacing w:after="0" w:line="142" w:lineRule="exact"/>
              <w:rPr>
                <w:sz w:val="20"/>
                <w:szCs w:val="20"/>
                <w:color w:val="auto"/>
              </w:rPr>
            </w:pPr>
            <w:r>
              <w:rPr>
                <w:rFonts w:ascii="Arial" w:cs="Arial" w:eastAsia="Arial" w:hAnsi="Arial"/>
                <w:sz w:val="14"/>
                <w:szCs w:val="14"/>
                <w:color w:val="auto"/>
                <w:w w:val="79"/>
              </w:rPr>
              <w:t>%</w:t>
            </w:r>
          </w:p>
        </w:tc>
        <w:tc>
          <w:tcPr>
            <w:tcW w:w="280" w:type="dxa"/>
            <w:vAlign w:val="bottom"/>
            <w:tcBorders>
              <w:top w:val="single" w:sz="8" w:color="auto"/>
              <w:bottom w:val="single" w:sz="8" w:color="auto"/>
            </w:tcBorders>
            <w:shd w:val="clear" w:color="auto" w:fill="CCFFCC"/>
          </w:tcPr>
          <w:p>
            <w:pPr>
              <w:spacing w:after="0"/>
              <w:rPr>
                <w:sz w:val="12"/>
                <w:szCs w:val="12"/>
                <w:color w:val="auto"/>
              </w:rPr>
            </w:pPr>
          </w:p>
        </w:tc>
        <w:tc>
          <w:tcPr>
            <w:tcW w:w="2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w w:val="95"/>
              </w:rPr>
              <w:t>13.3</w:t>
            </w:r>
          </w:p>
        </w:tc>
        <w:tc>
          <w:tcPr>
            <w:tcW w:w="12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71"/>
        </w:trPr>
        <w:tc>
          <w:tcPr>
            <w:tcW w:w="3920" w:type="dxa"/>
            <w:vAlign w:val="bottom"/>
            <w:gridSpan w:val="2"/>
          </w:tcPr>
          <w:p>
            <w:pPr>
              <w:spacing w:after="0"/>
              <w:rPr>
                <w:sz w:val="20"/>
                <w:szCs w:val="20"/>
                <w:color w:val="auto"/>
              </w:rPr>
            </w:pPr>
            <w:r>
              <w:rPr>
                <w:rFonts w:ascii="Arial" w:cs="Arial" w:eastAsia="Arial" w:hAnsi="Arial"/>
                <w:sz w:val="14"/>
                <w:szCs w:val="14"/>
                <w:b w:val="1"/>
                <w:bCs w:val="1"/>
                <w:color w:val="auto"/>
              </w:rPr>
              <w:t>Reported Net interest income (3)</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w w:val="79"/>
              </w:rPr>
              <w:t>%</w:t>
            </w:r>
          </w:p>
        </w:tc>
        <w:tc>
          <w:tcPr>
            <w:tcW w:w="2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95"/>
              </w:rPr>
              <w:t>11.9</w:t>
            </w:r>
          </w:p>
        </w:tc>
        <w:tc>
          <w:tcPr>
            <w:tcW w:w="12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6214110</wp:posOffset>
            </wp:positionH>
            <wp:positionV relativeFrom="paragraph">
              <wp:posOffset>-8890</wp:posOffset>
            </wp:positionV>
            <wp:extent cx="9175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i w:val="1"/>
          <w:iCs w:val="1"/>
          <w:color w:val="auto"/>
        </w:rPr>
        <w:t>* Converted at US Dollars at Q-end exchange rate.</w:t>
      </w:r>
    </w:p>
    <w:p>
      <w:pPr>
        <w:spacing w:after="0" w:line="7" w:lineRule="exact"/>
        <w:rPr>
          <w:sz w:val="20"/>
          <w:szCs w:val="20"/>
          <w:color w:val="auto"/>
        </w:rPr>
      </w:pPr>
    </w:p>
    <w:p>
      <w:pPr>
        <w:ind w:left="420" w:hanging="250"/>
        <w:spacing w:after="0"/>
        <w:tabs>
          <w:tab w:leader="none" w:pos="420"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Interest income reported - Other income. Other income includes the gain on valuation of derivatives generated by the devaluation of the Nuevo Sol.</w:t>
      </w:r>
    </w:p>
    <w:p>
      <w:pPr>
        <w:spacing w:after="0" w:line="32" w:lineRule="exact"/>
        <w:rPr>
          <w:rFonts w:ascii="Arial" w:cs="Arial" w:eastAsia="Arial" w:hAnsi="Arial"/>
          <w:sz w:val="16"/>
          <w:szCs w:val="16"/>
          <w:i w:val="1"/>
          <w:iCs w:val="1"/>
          <w:color w:val="auto"/>
        </w:rPr>
      </w:pPr>
    </w:p>
    <w:p>
      <w:pPr>
        <w:ind w:left="180" w:right="680" w:hanging="10"/>
        <w:spacing w:after="0" w:line="250" w:lineRule="auto"/>
        <w:tabs>
          <w:tab w:leader="none" w:pos="435"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Interest expenses reported - Other expenses. Other expenses includes the loss in valuation of derivatives linked to the loss in structural forward contracts for US$ 32.9 million in 2Q13 and US$ 11.7 million in 1Q13.</w:t>
      </w:r>
    </w:p>
    <w:p>
      <w:pPr>
        <w:ind w:left="420" w:hanging="250"/>
        <w:spacing w:after="0"/>
        <w:tabs>
          <w:tab w:leader="none" w:pos="42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Figures with total results expressed in US Dollar IFRS.</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fact, adjusted net interest income in Nuevos Soles expanded 7.9% QoQ and 21.6% YoY, if we exclude the impact of other interest income and other interest expenses that are related to derivatives valuations resulting from the devaluation of the Nuevo Sol</w:t>
      </w:r>
      <w:r>
        <w:rPr>
          <w:rFonts w:ascii="Arial" w:cs="Arial" w:eastAsia="Arial" w:hAnsi="Arial"/>
          <w:sz w:val="16"/>
          <w:szCs w:val="16"/>
          <w:i w:val="1"/>
          <w:iCs w:val="1"/>
          <w:color w:val="auto"/>
        </w:rPr>
        <w:t>.</w:t>
      </w:r>
      <w:r>
        <w:rPr>
          <w:rFonts w:ascii="Arial" w:cs="Arial" w:eastAsia="Arial" w:hAnsi="Arial"/>
          <w:sz w:val="16"/>
          <w:szCs w:val="16"/>
          <w:color w:val="auto"/>
        </w:rPr>
        <w:t xml:space="preserve"> The aforementioned expansion reveals a dynamic banking business that posted strong increases in market shares in the retail products. However, the FX movement hid this stronger income generation and led to report a 0.4% QoQ and 16.8% YoY growth once incorporating the impact of devaluation. This, added to a drop of -9.7% QoQ in adjusted US Dollar NII resulted in the -1.5% drop QoQ in adjusted NII. However reported NII includes the loss on valuation of structural forwards included in Other expenses, which intensified the drop in NII to a level of -2.2% QoQ. This distortion is also reflected in the NIM, which dropped to 4.81%.</w:t>
      </w: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both"/>
        <w:spacing w:after="0" w:line="255" w:lineRule="auto"/>
        <w:rPr>
          <w:sz w:val="20"/>
          <w:szCs w:val="20"/>
          <w:color w:val="auto"/>
        </w:rPr>
      </w:pPr>
      <w:r>
        <w:rPr>
          <w:rFonts w:ascii="Arial" w:cs="Arial" w:eastAsia="Arial" w:hAnsi="Arial"/>
          <w:sz w:val="18"/>
          <w:szCs w:val="18"/>
          <w:color w:val="auto"/>
        </w:rPr>
        <w:t>This is in line with the loan book growth (growth of average daily balances) recorded for both portfolios: the Nuevos Soles portfolio, which is mainly dominated (approx. 80%) by the retail business, expanded a robust 5.7% QoQ while the US Dollar portfolio reflected the contraction in the corporate business following several international initial stock/bond offerings by major Peruvian corporations and a slowdown in business expansion, and contracted 2.8% QoQ. However, in year-on-year terms, the Nuevos Soles portfolio expanded 23.4% and the US Dollar portfolio 10.4%, which are both very strong numbers. However, the effect of the devaluation in the consolidated US Dollar reporting of the portfolio evolution hid this strong performance and led us to report mere 0.4% growth in the retail business and a contraction of 3.8% in the wholesale business; this in turn led to consolidated growth of average daily balances in US Dollars of -1.4%: a complete distortion of real performance.</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conditions for portfolio quality required us to set aside additional provisions as we continue the process to adjust the models we use to penetrate low income sectors. Similar to the Credit Card business, which is currently performing well within expectations in all new vintages after adjustments were introduced and is already showing an improvement in its delinquency ratios, the low segment of SME has experienced deviations that have led to an increase in delinquencies to 7.6% of this portfolio, which caused the overall PDL ratio to increase 11bps and situate at 2.11% in 2Q13. This deviation prompted us to make significant adjustments in our models and conduct a thorough revision of the business model we use to evaluate low-income SME. Although this segment currently requires additional provisions, these needs should subside over time as the adjustments made begin to have an effect. In this context, provisions increased 21.4% QoQ. However, this situation was attenuated by the devaluation given that more than 90% of provisions are booked in local currency.</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Fee income, which is 72% Nuevos Soles-denominated, grew 8.4% for the Q despite the negative effect of the devaluation of the local currency. This indicates that expansion, which was driven by significantly better banking fees and good growth in our pension fund business this Q, was quite noteworthy. Net gains on FX transactions, which are positively affected by the FX-volatility in the market, also expanded significantly to post 12% growth for the Q. However, the securities in our portfolio suffered from interest rate increases for the US Dollar; this generated significant mark downs in value of these securities in all markets and led to a US$ 11.5 million mark down in sovereign bonds reflected in net gain on sales and securities. Therefore, total non-financial income dropped 8.3% for the Q.</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performance of the insurance business was also affected by FX volatility given that approximately 48% of net earned premiums are Nuevos Soles-denominated. As such, net premium growth of 2.2% is understated if compared to portfolio growth in each currency. Claims increase in both the Health and Life business this Q, which led the underwriting result to decline 15%. The medical services business, on the other hand, is performing well and has posted a 16.8% increase in its underwriting result this Q.</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expenses benefitted from the devaluation this Q given that approximately 72% of all expenses are currently Nuevos Soles-denominated. Therefore, these expenses expressed in US Dollars remained fairly flat, hiding a stronger expansion related to business growth, while expenses in US Dollars were inflated by an accounting loss related to the transfer of Correval assets from BCP to Credicorp Capital. Accordingly, total OpEx grew 3.5% this 2Q. Excluding the Correval transaction, OpEx expansion was certainly lower reaching an estimated 2.2% growth QoQ, but understated by the devaluation of the LC.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Due to the aforementioned distortions, the US Dollar operating income reported this 2Q dropped 26.1% to US$ 204.4 million.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indicated above, the unexpectedly high rate of devaluation of the local currency this 2Q resulted in a significant translation loss on the Nuevos Soles portion of Credicorp’s equity for US$ 78.5 million. In addition taxes, which are determined based on the Nuevos Soles accounting results and as such were significantly higher than US Dollar results this Q, remained high and totaled another US$ 71 million.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Consequently, and after all these non-cash / accounting losses, and as results are converted to US Dollars for reporting purposes, Credicorp’s bottom line fell to US$ 54.5 million.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Notwithstanding, beyond the impact of the devaluation of the currency, the results of Credicorp’s businesses are strong and in line with the expected growth and profitability ratios for each portfolio and in each currency. Portfolio quality is sound despite the temporary deterioration in the low end SME sector, which led to a need for higher provisions, and fee income remains strong.</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162"/>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Credicorp Ltd.</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Change %</w:t>
            </w:r>
          </w:p>
        </w:tc>
        <w:tc>
          <w:tcPr>
            <w:tcW w:w="120" w:type="dxa"/>
            <w:vAlign w:val="bottom"/>
          </w:tcPr>
          <w:p>
            <w:pPr>
              <w:spacing w:after="0"/>
              <w:rPr>
                <w:sz w:val="14"/>
                <w:szCs w:val="14"/>
                <w:color w:val="auto"/>
              </w:rPr>
            </w:pPr>
          </w:p>
        </w:tc>
        <w:tc>
          <w:tcPr>
            <w:tcW w:w="18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Year to date</w:t>
            </w:r>
          </w:p>
        </w:tc>
        <w:tc>
          <w:tcPr>
            <w:tcW w:w="8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7"/>
              </w:rPr>
              <w:t>Change %</w:t>
            </w:r>
          </w:p>
        </w:tc>
        <w:tc>
          <w:tcPr>
            <w:tcW w:w="0" w:type="dxa"/>
            <w:vAlign w:val="bottom"/>
          </w:tcPr>
          <w:p>
            <w:pPr>
              <w:spacing w:after="0"/>
              <w:rPr>
                <w:sz w:val="1"/>
                <w:szCs w:val="1"/>
                <w:color w:val="auto"/>
              </w:rPr>
            </w:pPr>
          </w:p>
        </w:tc>
      </w:tr>
      <w:tr>
        <w:trPr>
          <w:trHeight w:val="171"/>
        </w:trPr>
        <w:tc>
          <w:tcPr>
            <w:tcW w:w="3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US$ 000</w:t>
            </w:r>
          </w:p>
        </w:tc>
        <w:tc>
          <w:tcPr>
            <w:tcW w:w="120" w:type="dxa"/>
            <w:vAlign w:val="bottom"/>
            <w:tcBorders>
              <w:bottom w:val="single" w:sz="8" w:color="CCFFC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2Q13</w:t>
            </w:r>
          </w:p>
        </w:tc>
        <w:tc>
          <w:tcPr>
            <w:tcW w:w="220" w:type="dxa"/>
            <w:vAlign w:val="bottom"/>
            <w:tcBorders>
              <w:bottom w:val="single" w:sz="8" w:color="CCFFC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1Q13</w:t>
            </w:r>
          </w:p>
        </w:tc>
        <w:tc>
          <w:tcPr>
            <w:tcW w:w="220" w:type="dxa"/>
            <w:vAlign w:val="bottom"/>
            <w:tcBorders>
              <w:bottom w:val="single" w:sz="8" w:color="CCFFC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2Q12</w:t>
            </w:r>
          </w:p>
        </w:tc>
        <w:tc>
          <w:tcPr>
            <w:tcW w:w="240" w:type="dxa"/>
            <w:vAlign w:val="bottom"/>
            <w:tcBorders>
              <w:bottom w:val="single" w:sz="8" w:color="CCFFC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FFC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YoY</w:t>
            </w:r>
          </w:p>
        </w:tc>
        <w:tc>
          <w:tcPr>
            <w:tcW w:w="240" w:type="dxa"/>
            <w:vAlign w:val="bottom"/>
            <w:tcBorders>
              <w:bottom w:val="single" w:sz="8" w:color="CCFFC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9"/>
              </w:rPr>
              <w:t>Jun 13</w:t>
            </w:r>
          </w:p>
        </w:tc>
        <w:tc>
          <w:tcPr>
            <w:tcW w:w="240" w:type="dxa"/>
            <w:vAlign w:val="bottom"/>
            <w:tcBorders>
              <w:bottom w:val="single" w:sz="8" w:color="CCFFC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Jun 12</w:t>
            </w:r>
          </w:p>
        </w:tc>
        <w:tc>
          <w:tcPr>
            <w:tcW w:w="160" w:type="dxa"/>
            <w:vAlign w:val="bottom"/>
            <w:tcBorders>
              <w:bottom w:val="single" w:sz="8" w:color="CCFFCC"/>
            </w:tcBorders>
          </w:tcPr>
          <w:p>
            <w:pPr>
              <w:spacing w:after="0"/>
              <w:rPr>
                <w:sz w:val="14"/>
                <w:szCs w:val="14"/>
                <w:color w:val="auto"/>
              </w:rPr>
            </w:pPr>
          </w:p>
        </w:tc>
        <w:tc>
          <w:tcPr>
            <w:tcW w:w="60" w:type="dxa"/>
            <w:vAlign w:val="bottom"/>
            <w:tcBorders>
              <w:bottom w:val="single" w:sz="8" w:color="CCFFC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5"/>
              </w:rPr>
              <w:t>YoY</w:t>
            </w:r>
          </w:p>
        </w:tc>
        <w:tc>
          <w:tcPr>
            <w:tcW w:w="160" w:type="dxa"/>
            <w:vAlign w:val="bottom"/>
            <w:tcBorders>
              <w:bottom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4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Net Interest income</w:t>
            </w:r>
          </w:p>
        </w:tc>
        <w:tc>
          <w:tcPr>
            <w:tcW w:w="120" w:type="dxa"/>
            <w:vAlign w:val="bottom"/>
            <w:shd w:val="clear" w:color="auto" w:fill="CCFFCC"/>
          </w:tcPr>
          <w:p>
            <w:pPr>
              <w:spacing w:after="0"/>
              <w:rPr>
                <w:sz w:val="12"/>
                <w:szCs w:val="12"/>
                <w:color w:val="auto"/>
              </w:rPr>
            </w:pPr>
          </w:p>
        </w:tc>
        <w:tc>
          <w:tcPr>
            <w:tcW w:w="7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440,809</w:t>
            </w:r>
          </w:p>
        </w:tc>
        <w:tc>
          <w:tcPr>
            <w:tcW w:w="220" w:type="dxa"/>
            <w:vAlign w:val="bottom"/>
            <w:shd w:val="clear" w:color="auto" w:fill="CCFFCC"/>
          </w:tcPr>
          <w:p>
            <w:pPr>
              <w:spacing w:after="0"/>
              <w:rPr>
                <w:sz w:val="12"/>
                <w:szCs w:val="12"/>
                <w:color w:val="auto"/>
              </w:rPr>
            </w:pPr>
          </w:p>
        </w:tc>
        <w:tc>
          <w:tcPr>
            <w:tcW w:w="7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450,648</w:t>
            </w:r>
          </w:p>
        </w:tc>
        <w:tc>
          <w:tcPr>
            <w:tcW w:w="220" w:type="dxa"/>
            <w:vAlign w:val="bottom"/>
            <w:shd w:val="clear" w:color="auto" w:fill="CCFFCC"/>
          </w:tcPr>
          <w:p>
            <w:pPr>
              <w:spacing w:after="0"/>
              <w:rPr>
                <w:sz w:val="12"/>
                <w:szCs w:val="12"/>
                <w:color w:val="auto"/>
              </w:rPr>
            </w:pPr>
          </w:p>
        </w:tc>
        <w:tc>
          <w:tcPr>
            <w:tcW w:w="7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393,936</w:t>
            </w:r>
          </w:p>
        </w:tc>
        <w:tc>
          <w:tcPr>
            <w:tcW w:w="2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40"/>
              <w:spacing w:after="0" w:line="142" w:lineRule="exact"/>
              <w:rPr>
                <w:sz w:val="20"/>
                <w:szCs w:val="20"/>
                <w:color w:val="auto"/>
              </w:rPr>
            </w:pPr>
            <w:r>
              <w:rPr>
                <w:rFonts w:ascii="Arial" w:cs="Arial" w:eastAsia="Arial" w:hAnsi="Arial"/>
                <w:sz w:val="14"/>
                <w:szCs w:val="14"/>
                <w:color w:val="auto"/>
              </w:rPr>
              <w:t>-2.2%</w:t>
            </w:r>
          </w:p>
        </w:tc>
        <w:tc>
          <w:tcPr>
            <w:tcW w:w="12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40"/>
              <w:spacing w:after="0" w:line="142" w:lineRule="exact"/>
              <w:rPr>
                <w:sz w:val="20"/>
                <w:szCs w:val="20"/>
                <w:color w:val="auto"/>
              </w:rPr>
            </w:pPr>
            <w:r>
              <w:rPr>
                <w:rFonts w:ascii="Arial" w:cs="Arial" w:eastAsia="Arial" w:hAnsi="Arial"/>
                <w:sz w:val="14"/>
                <w:szCs w:val="14"/>
                <w:color w:val="auto"/>
              </w:rPr>
              <w:t>11.9%</w:t>
            </w:r>
          </w:p>
        </w:tc>
        <w:tc>
          <w:tcPr>
            <w:tcW w:w="7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891,458</w:t>
            </w:r>
          </w:p>
        </w:tc>
        <w:tc>
          <w:tcPr>
            <w:tcW w:w="240" w:type="dxa"/>
            <w:vAlign w:val="bottom"/>
            <w:shd w:val="clear" w:color="auto" w:fill="CCFFCC"/>
          </w:tcPr>
          <w:p>
            <w:pPr>
              <w:spacing w:after="0"/>
              <w:rPr>
                <w:sz w:val="12"/>
                <w:szCs w:val="12"/>
                <w:color w:val="auto"/>
              </w:rPr>
            </w:pPr>
          </w:p>
        </w:tc>
        <w:tc>
          <w:tcPr>
            <w:tcW w:w="7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766,187</w:t>
            </w:r>
          </w:p>
        </w:tc>
        <w:tc>
          <w:tcPr>
            <w:tcW w:w="16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20" w:type="dxa"/>
            <w:vAlign w:val="bottom"/>
            <w:gridSpan w:val="3"/>
            <w:shd w:val="clear" w:color="auto" w:fill="CCFFCC"/>
          </w:tcPr>
          <w:p>
            <w:pPr>
              <w:jc w:val="right"/>
              <w:ind w:right="40"/>
              <w:spacing w:after="0" w:line="142" w:lineRule="exact"/>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49"/>
        </w:trPr>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Net provisions for loan losses</w:t>
            </w:r>
          </w:p>
        </w:tc>
        <w:tc>
          <w:tcPr>
            <w:tcW w:w="9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(115,038)</w:t>
            </w:r>
          </w:p>
        </w:tc>
        <w:tc>
          <w:tcPr>
            <w:tcW w:w="9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(94,782)</w:t>
            </w: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(110,850)</w:t>
            </w: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21.4%</w:t>
            </w:r>
          </w:p>
        </w:tc>
        <w:tc>
          <w:tcPr>
            <w:tcW w:w="12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3.8%</w:t>
            </w: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(209,820)</w:t>
            </w:r>
          </w:p>
        </w:tc>
        <w:tc>
          <w:tcPr>
            <w:tcW w:w="9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(180,489)</w:t>
            </w:r>
          </w:p>
        </w:tc>
        <w:tc>
          <w:tcPr>
            <w:tcW w:w="88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Non financial income</w:t>
            </w:r>
          </w:p>
        </w:tc>
        <w:tc>
          <w:tcPr>
            <w:tcW w:w="7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258,880</w:t>
            </w:r>
          </w:p>
        </w:tc>
        <w:tc>
          <w:tcPr>
            <w:tcW w:w="220" w:type="dxa"/>
            <w:vAlign w:val="bottom"/>
            <w:shd w:val="clear" w:color="auto" w:fill="CCFFCC"/>
          </w:tcPr>
          <w:p>
            <w:pPr>
              <w:spacing w:after="0"/>
              <w:rPr>
                <w:sz w:val="12"/>
                <w:szCs w:val="12"/>
                <w:color w:val="auto"/>
              </w:rPr>
            </w:pPr>
          </w:p>
        </w:tc>
        <w:tc>
          <w:tcPr>
            <w:tcW w:w="7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282,199</w:t>
            </w:r>
          </w:p>
        </w:tc>
        <w:tc>
          <w:tcPr>
            <w:tcW w:w="220" w:type="dxa"/>
            <w:vAlign w:val="bottom"/>
            <w:shd w:val="clear" w:color="auto" w:fill="CCFFCC"/>
          </w:tcPr>
          <w:p>
            <w:pPr>
              <w:spacing w:after="0"/>
              <w:rPr>
                <w:sz w:val="12"/>
                <w:szCs w:val="12"/>
                <w:color w:val="auto"/>
              </w:rPr>
            </w:pPr>
          </w:p>
        </w:tc>
        <w:tc>
          <w:tcPr>
            <w:tcW w:w="7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250,757</w:t>
            </w:r>
          </w:p>
        </w:tc>
        <w:tc>
          <w:tcPr>
            <w:tcW w:w="2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-8.3%</w:t>
            </w:r>
          </w:p>
        </w:tc>
        <w:tc>
          <w:tcPr>
            <w:tcW w:w="12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3.2%</w:t>
            </w:r>
          </w:p>
        </w:tc>
        <w:tc>
          <w:tcPr>
            <w:tcW w:w="7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541,079</w:t>
            </w:r>
          </w:p>
        </w:tc>
        <w:tc>
          <w:tcPr>
            <w:tcW w:w="240" w:type="dxa"/>
            <w:vAlign w:val="bottom"/>
            <w:shd w:val="clear" w:color="auto" w:fill="CCFFCC"/>
          </w:tcPr>
          <w:p>
            <w:pPr>
              <w:spacing w:after="0"/>
              <w:rPr>
                <w:sz w:val="12"/>
                <w:szCs w:val="12"/>
                <w:color w:val="auto"/>
              </w:rPr>
            </w:pPr>
          </w:p>
        </w:tc>
        <w:tc>
          <w:tcPr>
            <w:tcW w:w="7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488,576</w:t>
            </w:r>
          </w:p>
        </w:tc>
        <w:tc>
          <w:tcPr>
            <w:tcW w:w="160" w:type="dxa"/>
            <w:vAlign w:val="bottom"/>
            <w:shd w:val="clear" w:color="auto" w:fill="CCFFCC"/>
          </w:tcPr>
          <w:p>
            <w:pPr>
              <w:spacing w:after="0"/>
              <w:rPr>
                <w:sz w:val="12"/>
                <w:szCs w:val="12"/>
                <w:color w:val="auto"/>
              </w:rPr>
            </w:pPr>
          </w:p>
        </w:tc>
        <w:tc>
          <w:tcPr>
            <w:tcW w:w="880" w:type="dxa"/>
            <w:vAlign w:val="bottom"/>
            <w:gridSpan w:val="4"/>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49"/>
        </w:trPr>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Insurance services technical result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30,350</w:t>
            </w:r>
          </w:p>
        </w:tc>
        <w:tc>
          <w:tcPr>
            <w:tcW w:w="22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35,717</w:t>
            </w:r>
          </w:p>
        </w:tc>
        <w:tc>
          <w:tcPr>
            <w:tcW w:w="22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39,719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-15.0%</w:t>
            </w:r>
          </w:p>
        </w:tc>
        <w:tc>
          <w:tcPr>
            <w:tcW w:w="12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-23.6%</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66,067</w:t>
            </w:r>
          </w:p>
        </w:tc>
        <w:tc>
          <w:tcPr>
            <w:tcW w:w="24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45,255</w:t>
            </w:r>
          </w:p>
        </w:tc>
        <w:tc>
          <w:tcPr>
            <w:tcW w:w="160" w:type="dxa"/>
            <w:vAlign w:val="bottom"/>
          </w:tcPr>
          <w:p>
            <w:pPr>
              <w:spacing w:after="0"/>
              <w:rPr>
                <w:sz w:val="12"/>
                <w:szCs w:val="12"/>
                <w:color w:val="auto"/>
              </w:rPr>
            </w:pPr>
          </w:p>
        </w:tc>
        <w:tc>
          <w:tcPr>
            <w:tcW w:w="88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Medical Services Technical Result</w:t>
            </w:r>
          </w:p>
        </w:tc>
        <w:tc>
          <w:tcPr>
            <w:tcW w:w="7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6,466</w:t>
            </w:r>
          </w:p>
        </w:tc>
        <w:tc>
          <w:tcPr>
            <w:tcW w:w="220" w:type="dxa"/>
            <w:vAlign w:val="bottom"/>
            <w:shd w:val="clear" w:color="auto" w:fill="CCFFCC"/>
          </w:tcPr>
          <w:p>
            <w:pPr>
              <w:spacing w:after="0"/>
              <w:rPr>
                <w:sz w:val="12"/>
                <w:szCs w:val="12"/>
                <w:color w:val="auto"/>
              </w:rPr>
            </w:pPr>
          </w:p>
        </w:tc>
        <w:tc>
          <w:tcPr>
            <w:tcW w:w="7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5,534</w:t>
            </w:r>
          </w:p>
        </w:tc>
        <w:tc>
          <w:tcPr>
            <w:tcW w:w="220" w:type="dxa"/>
            <w:vAlign w:val="bottom"/>
            <w:shd w:val="clear" w:color="auto" w:fill="CCFFCC"/>
          </w:tcPr>
          <w:p>
            <w:pPr>
              <w:spacing w:after="0"/>
              <w:rPr>
                <w:sz w:val="12"/>
                <w:szCs w:val="12"/>
                <w:color w:val="auto"/>
              </w:rPr>
            </w:pPr>
          </w:p>
        </w:tc>
        <w:tc>
          <w:tcPr>
            <w:tcW w:w="1000" w:type="dxa"/>
            <w:vAlign w:val="bottom"/>
            <w:gridSpan w:val="3"/>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(717)</w:t>
            </w:r>
          </w:p>
        </w:tc>
        <w:tc>
          <w:tcPr>
            <w:tcW w:w="10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16.8%</w:t>
            </w:r>
          </w:p>
        </w:tc>
        <w:tc>
          <w:tcPr>
            <w:tcW w:w="12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1001.9%</w:t>
            </w:r>
          </w:p>
        </w:tc>
        <w:tc>
          <w:tcPr>
            <w:tcW w:w="7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12,000</w:t>
            </w:r>
          </w:p>
        </w:tc>
        <w:tc>
          <w:tcPr>
            <w:tcW w:w="240" w:type="dxa"/>
            <w:vAlign w:val="bottom"/>
            <w:shd w:val="clear" w:color="auto" w:fill="CCFFCC"/>
          </w:tcPr>
          <w:p>
            <w:pPr>
              <w:spacing w:after="0"/>
              <w:rPr>
                <w:sz w:val="12"/>
                <w:szCs w:val="12"/>
                <w:color w:val="auto"/>
              </w:rPr>
            </w:pPr>
          </w:p>
        </w:tc>
        <w:tc>
          <w:tcPr>
            <w:tcW w:w="7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3,589</w:t>
            </w:r>
          </w:p>
        </w:tc>
        <w:tc>
          <w:tcPr>
            <w:tcW w:w="160" w:type="dxa"/>
            <w:vAlign w:val="bottom"/>
            <w:shd w:val="clear" w:color="auto" w:fill="CCFFCC"/>
          </w:tcPr>
          <w:p>
            <w:pPr>
              <w:spacing w:after="0"/>
              <w:rPr>
                <w:sz w:val="12"/>
                <w:szCs w:val="12"/>
                <w:color w:val="auto"/>
              </w:rPr>
            </w:pPr>
          </w:p>
        </w:tc>
        <w:tc>
          <w:tcPr>
            <w:tcW w:w="880" w:type="dxa"/>
            <w:vAlign w:val="bottom"/>
            <w:gridSpan w:val="4"/>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234.3%</w:t>
            </w:r>
          </w:p>
        </w:tc>
        <w:tc>
          <w:tcPr>
            <w:tcW w:w="0" w:type="dxa"/>
            <w:vAlign w:val="bottom"/>
          </w:tcPr>
          <w:p>
            <w:pPr>
              <w:spacing w:after="0"/>
              <w:rPr>
                <w:sz w:val="1"/>
                <w:szCs w:val="1"/>
                <w:color w:val="auto"/>
              </w:rPr>
            </w:pPr>
          </w:p>
        </w:tc>
      </w:tr>
      <w:tr>
        <w:trPr>
          <w:trHeight w:val="149"/>
        </w:trPr>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Operating expenses (1)</w:t>
            </w:r>
          </w:p>
        </w:tc>
        <w:tc>
          <w:tcPr>
            <w:tcW w:w="9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(417,077)</w:t>
            </w:r>
          </w:p>
        </w:tc>
        <w:tc>
          <w:tcPr>
            <w:tcW w:w="9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(402,857)</w:t>
            </w: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(337,589)</w:t>
            </w: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w:t>
            </w:r>
          </w:p>
        </w:tc>
        <w:tc>
          <w:tcPr>
            <w:tcW w:w="12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23.5%</w:t>
            </w: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(819,934)</w:t>
            </w:r>
          </w:p>
        </w:tc>
        <w:tc>
          <w:tcPr>
            <w:tcW w:w="9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(648,159)</w:t>
            </w:r>
          </w:p>
        </w:tc>
        <w:tc>
          <w:tcPr>
            <w:tcW w:w="88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Operating income (2)</w:t>
            </w:r>
          </w:p>
        </w:tc>
        <w:tc>
          <w:tcPr>
            <w:tcW w:w="7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204,390</w:t>
            </w:r>
          </w:p>
        </w:tc>
        <w:tc>
          <w:tcPr>
            <w:tcW w:w="220" w:type="dxa"/>
            <w:vAlign w:val="bottom"/>
            <w:shd w:val="clear" w:color="auto" w:fill="CCFFCC"/>
          </w:tcPr>
          <w:p>
            <w:pPr>
              <w:spacing w:after="0"/>
              <w:rPr>
                <w:sz w:val="12"/>
                <w:szCs w:val="12"/>
                <w:color w:val="auto"/>
              </w:rPr>
            </w:pPr>
          </w:p>
        </w:tc>
        <w:tc>
          <w:tcPr>
            <w:tcW w:w="7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276,459</w:t>
            </w:r>
          </w:p>
        </w:tc>
        <w:tc>
          <w:tcPr>
            <w:tcW w:w="220" w:type="dxa"/>
            <w:vAlign w:val="bottom"/>
            <w:shd w:val="clear" w:color="auto" w:fill="CCFFCC"/>
          </w:tcPr>
          <w:p>
            <w:pPr>
              <w:spacing w:after="0"/>
              <w:rPr>
                <w:sz w:val="12"/>
                <w:szCs w:val="12"/>
                <w:color w:val="auto"/>
              </w:rPr>
            </w:pPr>
          </w:p>
        </w:tc>
        <w:tc>
          <w:tcPr>
            <w:tcW w:w="7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235,256</w:t>
            </w:r>
          </w:p>
        </w:tc>
        <w:tc>
          <w:tcPr>
            <w:tcW w:w="2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-26.1%</w:t>
            </w:r>
          </w:p>
        </w:tc>
        <w:tc>
          <w:tcPr>
            <w:tcW w:w="12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-13.1%</w:t>
            </w:r>
          </w:p>
        </w:tc>
        <w:tc>
          <w:tcPr>
            <w:tcW w:w="7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480,849</w:t>
            </w:r>
          </w:p>
        </w:tc>
        <w:tc>
          <w:tcPr>
            <w:tcW w:w="240" w:type="dxa"/>
            <w:vAlign w:val="bottom"/>
            <w:shd w:val="clear" w:color="auto" w:fill="CCFFCC"/>
          </w:tcPr>
          <w:p>
            <w:pPr>
              <w:spacing w:after="0"/>
              <w:rPr>
                <w:sz w:val="12"/>
                <w:szCs w:val="12"/>
                <w:color w:val="auto"/>
              </w:rPr>
            </w:pPr>
          </w:p>
        </w:tc>
        <w:tc>
          <w:tcPr>
            <w:tcW w:w="7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474,959</w:t>
            </w:r>
          </w:p>
        </w:tc>
        <w:tc>
          <w:tcPr>
            <w:tcW w:w="160" w:type="dxa"/>
            <w:vAlign w:val="bottom"/>
            <w:shd w:val="clear" w:color="auto" w:fill="CCFFCC"/>
          </w:tcPr>
          <w:p>
            <w:pPr>
              <w:spacing w:after="0"/>
              <w:rPr>
                <w:sz w:val="12"/>
                <w:szCs w:val="12"/>
                <w:color w:val="auto"/>
              </w:rPr>
            </w:pPr>
          </w:p>
        </w:tc>
        <w:tc>
          <w:tcPr>
            <w:tcW w:w="880" w:type="dxa"/>
            <w:vAlign w:val="bottom"/>
            <w:gridSpan w:val="4"/>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1.2%</w:t>
            </w:r>
          </w:p>
        </w:tc>
        <w:tc>
          <w:tcPr>
            <w:tcW w:w="0" w:type="dxa"/>
            <w:vAlign w:val="bottom"/>
          </w:tcPr>
          <w:p>
            <w:pPr>
              <w:spacing w:after="0"/>
              <w:rPr>
                <w:sz w:val="1"/>
                <w:szCs w:val="1"/>
                <w:color w:val="auto"/>
              </w:rPr>
            </w:pPr>
          </w:p>
        </w:tc>
      </w:tr>
      <w:tr>
        <w:trPr>
          <w:trHeight w:val="149"/>
        </w:trPr>
        <w:tc>
          <w:tcPr>
            <w:tcW w:w="36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Core operating income</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204,390</w:t>
            </w:r>
          </w:p>
        </w:tc>
        <w:tc>
          <w:tcPr>
            <w:tcW w:w="22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276,459</w:t>
            </w:r>
          </w:p>
        </w:tc>
        <w:tc>
          <w:tcPr>
            <w:tcW w:w="22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235,256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-26.1%</w:t>
            </w:r>
          </w:p>
        </w:tc>
        <w:tc>
          <w:tcPr>
            <w:tcW w:w="12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-13.1%</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480,849</w:t>
            </w:r>
          </w:p>
        </w:tc>
        <w:tc>
          <w:tcPr>
            <w:tcW w:w="24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474,959</w:t>
            </w:r>
          </w:p>
        </w:tc>
        <w:tc>
          <w:tcPr>
            <w:tcW w:w="160" w:type="dxa"/>
            <w:vAlign w:val="bottom"/>
          </w:tcPr>
          <w:p>
            <w:pPr>
              <w:spacing w:after="0"/>
              <w:rPr>
                <w:sz w:val="12"/>
                <w:szCs w:val="12"/>
                <w:color w:val="auto"/>
              </w:rPr>
            </w:pPr>
          </w:p>
        </w:tc>
        <w:tc>
          <w:tcPr>
            <w:tcW w:w="88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CCFFCC"/>
          </w:tcPr>
          <w:p>
            <w:pPr>
              <w:ind w:left="160"/>
              <w:spacing w:after="0" w:line="149" w:lineRule="exact"/>
              <w:rPr>
                <w:sz w:val="20"/>
                <w:szCs w:val="20"/>
                <w:color w:val="auto"/>
              </w:rPr>
            </w:pPr>
            <w:r>
              <w:rPr>
                <w:rFonts w:ascii="Arial" w:cs="Arial" w:eastAsia="Arial" w:hAnsi="Arial"/>
                <w:sz w:val="14"/>
                <w:szCs w:val="14"/>
                <w:color w:val="auto"/>
              </w:rPr>
              <w:t>Non core operating income</w:t>
            </w:r>
          </w:p>
        </w:tc>
        <w:tc>
          <w:tcPr>
            <w:tcW w:w="7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7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7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12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7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7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FFCC"/>
          </w:tcPr>
          <w:p>
            <w:pPr>
              <w:spacing w:after="0"/>
              <w:rPr>
                <w:sz w:val="12"/>
                <w:szCs w:val="12"/>
                <w:color w:val="auto"/>
              </w:rPr>
            </w:pPr>
          </w:p>
        </w:tc>
        <w:tc>
          <w:tcPr>
            <w:tcW w:w="880" w:type="dxa"/>
            <w:vAlign w:val="bottom"/>
            <w:gridSpan w:val="4"/>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Translation results</w:t>
            </w:r>
          </w:p>
        </w:tc>
        <w:tc>
          <w:tcPr>
            <w:tcW w:w="9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(78,541)</w:t>
            </w:r>
          </w:p>
        </w:tc>
        <w:tc>
          <w:tcPr>
            <w:tcW w:w="9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(18,646)</w:t>
            </w: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(1,685)</w:t>
            </w: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321.2%</w:t>
            </w:r>
          </w:p>
        </w:tc>
        <w:tc>
          <w:tcPr>
            <w:tcW w:w="12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4560.4%</w:t>
            </w: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(97,186)</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11,499</w:t>
            </w:r>
          </w:p>
        </w:tc>
        <w:tc>
          <w:tcPr>
            <w:tcW w:w="160" w:type="dxa"/>
            <w:vAlign w:val="bottom"/>
          </w:tcPr>
          <w:p>
            <w:pPr>
              <w:spacing w:after="0"/>
              <w:rPr>
                <w:sz w:val="12"/>
                <w:szCs w:val="12"/>
                <w:color w:val="auto"/>
              </w:rPr>
            </w:pPr>
          </w:p>
        </w:tc>
        <w:tc>
          <w:tcPr>
            <w:tcW w:w="88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-945.1%</w:t>
            </w: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Income taxes</w:t>
            </w:r>
          </w:p>
        </w:tc>
        <w:tc>
          <w:tcPr>
            <w:tcW w:w="980" w:type="dxa"/>
            <w:vAlign w:val="bottom"/>
            <w:gridSpan w:val="3"/>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(71,008)</w:t>
            </w:r>
          </w:p>
        </w:tc>
        <w:tc>
          <w:tcPr>
            <w:tcW w:w="980" w:type="dxa"/>
            <w:vAlign w:val="bottom"/>
            <w:gridSpan w:val="3"/>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(72,400)</w:t>
            </w:r>
          </w:p>
        </w:tc>
        <w:tc>
          <w:tcPr>
            <w:tcW w:w="1000" w:type="dxa"/>
            <w:vAlign w:val="bottom"/>
            <w:gridSpan w:val="3"/>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(58,573)</w:t>
            </w:r>
          </w:p>
        </w:tc>
        <w:tc>
          <w:tcPr>
            <w:tcW w:w="10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-1.9%</w:t>
            </w:r>
          </w:p>
        </w:tc>
        <w:tc>
          <w:tcPr>
            <w:tcW w:w="12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21.2%</w:t>
            </w:r>
          </w:p>
        </w:tc>
        <w:tc>
          <w:tcPr>
            <w:tcW w:w="1000" w:type="dxa"/>
            <w:vAlign w:val="bottom"/>
            <w:gridSpan w:val="3"/>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(143,408)</w:t>
            </w:r>
          </w:p>
        </w:tc>
        <w:tc>
          <w:tcPr>
            <w:tcW w:w="920" w:type="dxa"/>
            <w:vAlign w:val="bottom"/>
            <w:gridSpan w:val="3"/>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(118,646)</w:t>
            </w:r>
          </w:p>
        </w:tc>
        <w:tc>
          <w:tcPr>
            <w:tcW w:w="880" w:type="dxa"/>
            <w:vAlign w:val="bottom"/>
            <w:gridSpan w:val="4"/>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149"/>
        </w:trPr>
        <w:tc>
          <w:tcPr>
            <w:tcW w:w="3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54,842</w:t>
            </w:r>
          </w:p>
        </w:tc>
        <w:tc>
          <w:tcPr>
            <w:tcW w:w="22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185,413</w:t>
            </w:r>
          </w:p>
        </w:tc>
        <w:tc>
          <w:tcPr>
            <w:tcW w:w="22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174,998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-70.4%</w:t>
            </w: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-68.7%</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240,255</w:t>
            </w:r>
          </w:p>
        </w:tc>
        <w:tc>
          <w:tcPr>
            <w:tcW w:w="24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367,812</w:t>
            </w:r>
          </w:p>
        </w:tc>
        <w:tc>
          <w:tcPr>
            <w:tcW w:w="160" w:type="dxa"/>
            <w:vAlign w:val="bottom"/>
          </w:tcPr>
          <w:p>
            <w:pPr>
              <w:spacing w:after="0"/>
              <w:rPr>
                <w:sz w:val="12"/>
                <w:szCs w:val="12"/>
                <w:color w:val="auto"/>
              </w:rPr>
            </w:pPr>
          </w:p>
        </w:tc>
        <w:tc>
          <w:tcPr>
            <w:tcW w:w="880" w:type="dxa"/>
            <w:vAlign w:val="bottom"/>
            <w:gridSpan w:val="4"/>
          </w:tcPr>
          <w:p>
            <w:pPr>
              <w:jc w:val="right"/>
              <w:ind w:right="20"/>
              <w:spacing w:after="0" w:line="149" w:lineRule="exact"/>
              <w:rPr>
                <w:sz w:val="20"/>
                <w:szCs w:val="20"/>
                <w:color w:val="auto"/>
              </w:rPr>
            </w:pPr>
            <w:r>
              <w:rPr>
                <w:rFonts w:ascii="Arial" w:cs="Arial" w:eastAsia="Arial" w:hAnsi="Arial"/>
                <w:sz w:val="14"/>
                <w:szCs w:val="14"/>
                <w:b w:val="1"/>
                <w:bCs w:val="1"/>
                <w:color w:val="auto"/>
              </w:rPr>
              <w:t>-34.7%</w:t>
            </w: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Minority Interest</w:t>
            </w:r>
          </w:p>
        </w:tc>
        <w:tc>
          <w:tcPr>
            <w:tcW w:w="7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348</w:t>
            </w:r>
          </w:p>
        </w:tc>
        <w:tc>
          <w:tcPr>
            <w:tcW w:w="220" w:type="dxa"/>
            <w:vAlign w:val="bottom"/>
            <w:shd w:val="clear" w:color="auto" w:fill="CCFFCC"/>
          </w:tcPr>
          <w:p>
            <w:pPr>
              <w:spacing w:after="0"/>
              <w:rPr>
                <w:sz w:val="12"/>
                <w:szCs w:val="12"/>
                <w:color w:val="auto"/>
              </w:rPr>
            </w:pPr>
          </w:p>
        </w:tc>
        <w:tc>
          <w:tcPr>
            <w:tcW w:w="7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3,891</w:t>
            </w:r>
          </w:p>
        </w:tc>
        <w:tc>
          <w:tcPr>
            <w:tcW w:w="220" w:type="dxa"/>
            <w:vAlign w:val="bottom"/>
            <w:shd w:val="clear" w:color="auto" w:fill="CCFFCC"/>
          </w:tcPr>
          <w:p>
            <w:pPr>
              <w:spacing w:after="0"/>
              <w:rPr>
                <w:sz w:val="12"/>
                <w:szCs w:val="12"/>
                <w:color w:val="auto"/>
              </w:rPr>
            </w:pPr>
          </w:p>
        </w:tc>
        <w:tc>
          <w:tcPr>
            <w:tcW w:w="7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3,051</w:t>
            </w:r>
          </w:p>
        </w:tc>
        <w:tc>
          <w:tcPr>
            <w:tcW w:w="2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-91.1%</w:t>
            </w:r>
          </w:p>
        </w:tc>
        <w:tc>
          <w:tcPr>
            <w:tcW w:w="12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-88.6%</w:t>
            </w:r>
          </w:p>
        </w:tc>
        <w:tc>
          <w:tcPr>
            <w:tcW w:w="7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4,238</w:t>
            </w:r>
          </w:p>
        </w:tc>
        <w:tc>
          <w:tcPr>
            <w:tcW w:w="240" w:type="dxa"/>
            <w:vAlign w:val="bottom"/>
            <w:shd w:val="clear" w:color="auto" w:fill="CCFFCC"/>
          </w:tcPr>
          <w:p>
            <w:pPr>
              <w:spacing w:after="0"/>
              <w:rPr>
                <w:sz w:val="12"/>
                <w:szCs w:val="12"/>
                <w:color w:val="auto"/>
              </w:rPr>
            </w:pPr>
          </w:p>
        </w:tc>
        <w:tc>
          <w:tcPr>
            <w:tcW w:w="7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6,753</w:t>
            </w:r>
          </w:p>
        </w:tc>
        <w:tc>
          <w:tcPr>
            <w:tcW w:w="160" w:type="dxa"/>
            <w:vAlign w:val="bottom"/>
            <w:shd w:val="clear" w:color="auto" w:fill="CCFFCC"/>
          </w:tcPr>
          <w:p>
            <w:pPr>
              <w:spacing w:after="0"/>
              <w:rPr>
                <w:sz w:val="12"/>
                <w:szCs w:val="12"/>
                <w:color w:val="auto"/>
              </w:rPr>
            </w:pPr>
          </w:p>
        </w:tc>
        <w:tc>
          <w:tcPr>
            <w:tcW w:w="880" w:type="dxa"/>
            <w:vAlign w:val="bottom"/>
            <w:gridSpan w:val="4"/>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149"/>
        </w:trPr>
        <w:tc>
          <w:tcPr>
            <w:tcW w:w="3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income attributed to Credicorp</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54,494</w:t>
            </w:r>
          </w:p>
        </w:tc>
        <w:tc>
          <w:tcPr>
            <w:tcW w:w="22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181,522</w:t>
            </w:r>
          </w:p>
        </w:tc>
        <w:tc>
          <w:tcPr>
            <w:tcW w:w="22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171,946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-70.0%</w:t>
            </w: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-68.3%</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236,016</w:t>
            </w:r>
          </w:p>
        </w:tc>
        <w:tc>
          <w:tcPr>
            <w:tcW w:w="24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361,059</w:t>
            </w:r>
          </w:p>
        </w:tc>
        <w:tc>
          <w:tcPr>
            <w:tcW w:w="160" w:type="dxa"/>
            <w:vAlign w:val="bottom"/>
          </w:tcPr>
          <w:p>
            <w:pPr>
              <w:spacing w:after="0"/>
              <w:rPr>
                <w:sz w:val="12"/>
                <w:szCs w:val="12"/>
                <w:color w:val="auto"/>
              </w:rPr>
            </w:pPr>
          </w:p>
        </w:tc>
        <w:tc>
          <w:tcPr>
            <w:tcW w:w="880" w:type="dxa"/>
            <w:vAlign w:val="bottom"/>
            <w:gridSpan w:val="4"/>
          </w:tcPr>
          <w:p>
            <w:pPr>
              <w:jc w:val="right"/>
              <w:ind w:right="20"/>
              <w:spacing w:after="0" w:line="149" w:lineRule="exact"/>
              <w:rPr>
                <w:sz w:val="20"/>
                <w:szCs w:val="20"/>
                <w:color w:val="auto"/>
              </w:rPr>
            </w:pPr>
            <w:r>
              <w:rPr>
                <w:rFonts w:ascii="Arial" w:cs="Arial" w:eastAsia="Arial" w:hAnsi="Arial"/>
                <w:sz w:val="14"/>
                <w:szCs w:val="14"/>
                <w:b w:val="1"/>
                <w:bCs w:val="1"/>
                <w:color w:val="auto"/>
              </w:rPr>
              <w:t>-34.6%</w:t>
            </w:r>
          </w:p>
        </w:tc>
        <w:tc>
          <w:tcPr>
            <w:tcW w:w="0" w:type="dxa"/>
            <w:vAlign w:val="bottom"/>
          </w:tcPr>
          <w:p>
            <w:pPr>
              <w:spacing w:after="0"/>
              <w:rPr>
                <w:sz w:val="1"/>
                <w:szCs w:val="1"/>
                <w:color w:val="auto"/>
              </w:rPr>
            </w:pPr>
          </w:p>
        </w:tc>
      </w:tr>
      <w:tr>
        <w:trPr>
          <w:trHeight w:val="162"/>
        </w:trPr>
        <w:tc>
          <w:tcPr>
            <w:tcW w:w="36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Net income / share (US$)</w:t>
            </w:r>
          </w:p>
        </w:tc>
        <w:tc>
          <w:tcPr>
            <w:tcW w:w="100" w:type="dxa"/>
            <w:vAlign w:val="bottom"/>
            <w:shd w:val="clear" w:color="auto" w:fill="CCFFCC"/>
          </w:tcPr>
          <w:p>
            <w:pPr>
              <w:spacing w:after="0"/>
              <w:rPr>
                <w:sz w:val="14"/>
                <w:szCs w:val="14"/>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0.68</w:t>
            </w:r>
          </w:p>
        </w:tc>
        <w:tc>
          <w:tcPr>
            <w:tcW w:w="2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2.28</w:t>
            </w:r>
          </w:p>
        </w:tc>
        <w:tc>
          <w:tcPr>
            <w:tcW w:w="2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2.16</w:t>
            </w:r>
          </w:p>
        </w:tc>
        <w:tc>
          <w:tcPr>
            <w:tcW w:w="2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-70.0%</w:t>
            </w:r>
          </w:p>
        </w:tc>
        <w:tc>
          <w:tcPr>
            <w:tcW w:w="120" w:type="dxa"/>
            <w:vAlign w:val="bottom"/>
            <w:shd w:val="clear" w:color="auto" w:fill="CCFFCC"/>
          </w:tcPr>
          <w:p>
            <w:pPr>
              <w:spacing w:after="0"/>
              <w:rPr>
                <w:sz w:val="14"/>
                <w:szCs w:val="14"/>
                <w:color w:val="auto"/>
              </w:rPr>
            </w:pPr>
          </w:p>
        </w:tc>
        <w:tc>
          <w:tcPr>
            <w:tcW w:w="7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-68.3%</w:t>
            </w:r>
          </w:p>
        </w:tc>
        <w:tc>
          <w:tcPr>
            <w:tcW w:w="7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2.96</w:t>
            </w:r>
          </w:p>
        </w:tc>
        <w:tc>
          <w:tcPr>
            <w:tcW w:w="24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4.53</w:t>
            </w:r>
          </w:p>
        </w:tc>
        <w:tc>
          <w:tcPr>
            <w:tcW w:w="160" w:type="dxa"/>
            <w:vAlign w:val="bottom"/>
            <w:shd w:val="clear" w:color="auto" w:fill="CCFFCC"/>
          </w:tcPr>
          <w:p>
            <w:pPr>
              <w:spacing w:after="0"/>
              <w:rPr>
                <w:sz w:val="14"/>
                <w:szCs w:val="14"/>
                <w:color w:val="auto"/>
              </w:rPr>
            </w:pPr>
          </w:p>
        </w:tc>
        <w:tc>
          <w:tcPr>
            <w:tcW w:w="880" w:type="dxa"/>
            <w:vAlign w:val="bottom"/>
            <w:gridSpan w:val="4"/>
            <w:shd w:val="clear" w:color="auto" w:fill="CCFFCC"/>
          </w:tcPr>
          <w:p>
            <w:pPr>
              <w:jc w:val="right"/>
              <w:ind w:right="40"/>
              <w:spacing w:after="0"/>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spacing w:after="0"/>
              <w:rPr>
                <w:sz w:val="20"/>
                <w:szCs w:val="20"/>
                <w:color w:val="auto"/>
              </w:rPr>
            </w:pPr>
            <w:r>
              <w:rPr>
                <w:rFonts w:ascii="Arial" w:cs="Arial" w:eastAsia="Arial" w:hAnsi="Arial"/>
                <w:sz w:val="14"/>
                <w:szCs w:val="14"/>
                <w:color w:val="auto"/>
              </w:rPr>
              <w:t>Total loans</w:t>
            </w:r>
          </w:p>
        </w:tc>
        <w:tc>
          <w:tcPr>
            <w:tcW w:w="1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66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w w:val="88"/>
              </w:rPr>
              <w:t>21,353,037</w:t>
            </w:r>
          </w:p>
        </w:tc>
        <w:tc>
          <w:tcPr>
            <w:tcW w:w="2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w w:val="91"/>
              </w:rPr>
              <w:t>21,674,015</w:t>
            </w:r>
          </w:p>
        </w:tc>
        <w:tc>
          <w:tcPr>
            <w:tcW w:w="22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w w:val="88"/>
              </w:rPr>
              <w:t>19,232,220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-1.5%</w:t>
            </w:r>
          </w:p>
        </w:tc>
        <w:tc>
          <w:tcPr>
            <w:tcW w:w="120" w:type="dxa"/>
            <w:vAlign w:val="bottom"/>
          </w:tcPr>
          <w:p>
            <w:pPr>
              <w:spacing w:after="0"/>
              <w:rPr>
                <w:sz w:val="12"/>
                <w:szCs w:val="12"/>
                <w:color w:val="auto"/>
              </w:rPr>
            </w:pPr>
          </w:p>
        </w:tc>
        <w:tc>
          <w:tcPr>
            <w:tcW w:w="78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11.0%</w:t>
            </w:r>
          </w:p>
        </w:tc>
        <w:tc>
          <w:tcPr>
            <w:tcW w:w="120" w:type="dxa"/>
            <w:vAlign w:val="bottom"/>
            <w:vMerge w:val="continue"/>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w w:val="88"/>
              </w:rPr>
              <w:t>21,353,037</w:t>
            </w:r>
          </w:p>
        </w:tc>
        <w:tc>
          <w:tcPr>
            <w:tcW w:w="24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w w:val="88"/>
              </w:rPr>
              <w:t>19,232,220</w:t>
            </w:r>
          </w:p>
        </w:tc>
        <w:tc>
          <w:tcPr>
            <w:tcW w:w="16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72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Deposits and obligations</w:t>
            </w:r>
          </w:p>
        </w:tc>
        <w:tc>
          <w:tcPr>
            <w:tcW w:w="7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23,565,473</w:t>
            </w:r>
          </w:p>
        </w:tc>
        <w:tc>
          <w:tcPr>
            <w:tcW w:w="220" w:type="dxa"/>
            <w:vAlign w:val="bottom"/>
            <w:shd w:val="clear" w:color="auto" w:fill="CCFFCC"/>
          </w:tcPr>
          <w:p>
            <w:pPr>
              <w:spacing w:after="0"/>
              <w:rPr>
                <w:sz w:val="12"/>
                <w:szCs w:val="12"/>
                <w:color w:val="auto"/>
              </w:rPr>
            </w:pPr>
          </w:p>
        </w:tc>
        <w:tc>
          <w:tcPr>
            <w:tcW w:w="7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25,303,600</w:t>
            </w:r>
          </w:p>
        </w:tc>
        <w:tc>
          <w:tcPr>
            <w:tcW w:w="220" w:type="dxa"/>
            <w:vAlign w:val="bottom"/>
            <w:shd w:val="clear" w:color="auto" w:fill="CCFFCC"/>
          </w:tcPr>
          <w:p>
            <w:pPr>
              <w:spacing w:after="0"/>
              <w:rPr>
                <w:sz w:val="12"/>
                <w:szCs w:val="12"/>
                <w:color w:val="auto"/>
              </w:rPr>
            </w:pPr>
          </w:p>
        </w:tc>
        <w:tc>
          <w:tcPr>
            <w:tcW w:w="7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21,037,643</w:t>
            </w:r>
          </w:p>
        </w:tc>
        <w:tc>
          <w:tcPr>
            <w:tcW w:w="2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-6.9%</w:t>
            </w:r>
          </w:p>
        </w:tc>
        <w:tc>
          <w:tcPr>
            <w:tcW w:w="12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12.0%</w:t>
            </w:r>
          </w:p>
        </w:tc>
        <w:tc>
          <w:tcPr>
            <w:tcW w:w="7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23,565,473</w:t>
            </w:r>
          </w:p>
        </w:tc>
        <w:tc>
          <w:tcPr>
            <w:tcW w:w="240" w:type="dxa"/>
            <w:vAlign w:val="bottom"/>
            <w:shd w:val="clear" w:color="auto" w:fill="CCFFCC"/>
          </w:tcPr>
          <w:p>
            <w:pPr>
              <w:spacing w:after="0"/>
              <w:rPr>
                <w:sz w:val="12"/>
                <w:szCs w:val="12"/>
                <w:color w:val="auto"/>
              </w:rPr>
            </w:pPr>
          </w:p>
        </w:tc>
        <w:tc>
          <w:tcPr>
            <w:tcW w:w="7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21,037,643</w:t>
            </w:r>
          </w:p>
        </w:tc>
        <w:tc>
          <w:tcPr>
            <w:tcW w:w="160" w:type="dxa"/>
            <w:vAlign w:val="bottom"/>
            <w:shd w:val="clear" w:color="auto" w:fill="CCFFCC"/>
          </w:tcPr>
          <w:p>
            <w:pPr>
              <w:spacing w:after="0"/>
              <w:rPr>
                <w:sz w:val="12"/>
                <w:szCs w:val="12"/>
                <w:color w:val="auto"/>
              </w:rPr>
            </w:pPr>
          </w:p>
        </w:tc>
        <w:tc>
          <w:tcPr>
            <w:tcW w:w="880" w:type="dxa"/>
            <w:vAlign w:val="bottom"/>
            <w:gridSpan w:val="4"/>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62"/>
        </w:trPr>
        <w:tc>
          <w:tcPr>
            <w:tcW w:w="3660" w:type="dxa"/>
            <w:vAlign w:val="bottom"/>
            <w:gridSpan w:val="2"/>
          </w:tcPr>
          <w:p>
            <w:pPr>
              <w:spacing w:after="0"/>
              <w:rPr>
                <w:sz w:val="20"/>
                <w:szCs w:val="20"/>
                <w:color w:val="auto"/>
              </w:rPr>
            </w:pPr>
            <w:r>
              <w:rPr>
                <w:rFonts w:ascii="Arial" w:cs="Arial" w:eastAsia="Arial" w:hAnsi="Arial"/>
                <w:sz w:val="14"/>
                <w:szCs w:val="14"/>
                <w:color w:val="auto"/>
              </w:rPr>
              <w:t>Net shareholders' equity</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9"/>
              </w:rPr>
              <w:t>3,885,127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4,120,184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3,675,134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5.7%</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3,885,127</w:t>
            </w:r>
          </w:p>
        </w:tc>
        <w:tc>
          <w:tcPr>
            <w:tcW w:w="24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3,675,134</w:t>
            </w:r>
          </w:p>
        </w:tc>
        <w:tc>
          <w:tcPr>
            <w:tcW w:w="160" w:type="dxa"/>
            <w:vAlign w:val="bottom"/>
          </w:tcPr>
          <w:p>
            <w:pPr>
              <w:spacing w:after="0"/>
              <w:rPr>
                <w:sz w:val="14"/>
                <w:szCs w:val="14"/>
                <w:color w:val="auto"/>
              </w:rPr>
            </w:pPr>
          </w:p>
        </w:tc>
        <w:tc>
          <w:tcPr>
            <w:tcW w:w="880" w:type="dxa"/>
            <w:vAlign w:val="bottom"/>
            <w:gridSpan w:val="4"/>
          </w:tcPr>
          <w:p>
            <w:pPr>
              <w:jc w:val="right"/>
              <w:ind w:right="40"/>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0"/>
        </w:trPr>
        <w:tc>
          <w:tcPr>
            <w:tcW w:w="3660" w:type="dxa"/>
            <w:vAlign w:val="bottom"/>
            <w:gridSpan w:val="2"/>
            <w:vMerge w:val="restart"/>
            <w:shd w:val="clear" w:color="auto" w:fill="CCFFCC"/>
          </w:tcPr>
          <w:p>
            <w:pPr>
              <w:spacing w:after="0"/>
              <w:rPr>
                <w:sz w:val="20"/>
                <w:szCs w:val="20"/>
                <w:color w:val="auto"/>
              </w:rPr>
            </w:pPr>
            <w:r>
              <w:rPr>
                <w:rFonts w:ascii="Arial" w:cs="Arial" w:eastAsia="Arial" w:hAnsi="Arial"/>
                <w:sz w:val="14"/>
                <w:szCs w:val="14"/>
                <w:color w:val="auto"/>
              </w:rPr>
              <w:t>Net interest margin</w:t>
            </w:r>
          </w:p>
        </w:tc>
        <w:tc>
          <w:tcPr>
            <w:tcW w:w="100" w:type="dxa"/>
            <w:vAlign w:val="bottom"/>
            <w:vMerge w:val="restart"/>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20" w:type="dxa"/>
            <w:vAlign w:val="bottom"/>
            <w:vMerge w:val="restart"/>
            <w:shd w:val="clear" w:color="auto" w:fill="CCFFC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20" w:type="dxa"/>
            <w:vAlign w:val="bottom"/>
            <w:vMerge w:val="restart"/>
            <w:shd w:val="clear" w:color="auto" w:fill="CCFFC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660" w:type="dxa"/>
            <w:vAlign w:val="bottom"/>
            <w:gridSpan w:val="2"/>
            <w:vMerge w:val="continue"/>
            <w:shd w:val="clear" w:color="auto" w:fill="CCFFCC"/>
          </w:tcPr>
          <w:p>
            <w:pPr>
              <w:spacing w:after="0"/>
              <w:rPr>
                <w:sz w:val="12"/>
                <w:szCs w:val="12"/>
                <w:color w:val="auto"/>
              </w:rPr>
            </w:pPr>
          </w:p>
        </w:tc>
        <w:tc>
          <w:tcPr>
            <w:tcW w:w="100" w:type="dxa"/>
            <w:vAlign w:val="bottom"/>
            <w:vMerge w:val="continue"/>
            <w:shd w:val="clear" w:color="auto" w:fill="CCFFCC"/>
          </w:tcPr>
          <w:p>
            <w:pPr>
              <w:spacing w:after="0"/>
              <w:rPr>
                <w:sz w:val="12"/>
                <w:szCs w:val="12"/>
                <w:color w:val="auto"/>
              </w:rPr>
            </w:pPr>
          </w:p>
        </w:tc>
        <w:tc>
          <w:tcPr>
            <w:tcW w:w="88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4.81%</w:t>
            </w:r>
          </w:p>
        </w:tc>
        <w:tc>
          <w:tcPr>
            <w:tcW w:w="100" w:type="dxa"/>
            <w:vAlign w:val="bottom"/>
            <w:vMerge w:val="continue"/>
            <w:shd w:val="clear" w:color="auto" w:fill="CCFFCC"/>
          </w:tcPr>
          <w:p>
            <w:pPr>
              <w:spacing w:after="0"/>
              <w:rPr>
                <w:sz w:val="12"/>
                <w:szCs w:val="12"/>
                <w:color w:val="auto"/>
              </w:rPr>
            </w:pPr>
          </w:p>
        </w:tc>
        <w:tc>
          <w:tcPr>
            <w:tcW w:w="88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4.87%</w:t>
            </w:r>
          </w:p>
        </w:tc>
        <w:tc>
          <w:tcPr>
            <w:tcW w:w="120" w:type="dxa"/>
            <w:vAlign w:val="bottom"/>
            <w:vMerge w:val="continue"/>
            <w:shd w:val="clear" w:color="auto" w:fill="CCFFCC"/>
          </w:tcPr>
          <w:p>
            <w:pPr>
              <w:spacing w:after="0"/>
              <w:rPr>
                <w:sz w:val="12"/>
                <w:szCs w:val="12"/>
                <w:color w:val="auto"/>
              </w:rPr>
            </w:pPr>
          </w:p>
        </w:tc>
        <w:tc>
          <w:tcPr>
            <w:tcW w:w="88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5.03%</w:t>
            </w:r>
          </w:p>
        </w:tc>
        <w:tc>
          <w:tcPr>
            <w:tcW w:w="10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20" w:type="dxa"/>
            <w:vAlign w:val="bottom"/>
            <w:vMerge w:val="continue"/>
            <w:shd w:val="clear" w:color="auto" w:fill="CCFFCC"/>
          </w:tcPr>
          <w:p>
            <w:pPr>
              <w:spacing w:after="0"/>
              <w:rPr>
                <w:sz w:val="12"/>
                <w:szCs w:val="12"/>
                <w:color w:val="auto"/>
              </w:rPr>
            </w:pPr>
          </w:p>
        </w:tc>
        <w:tc>
          <w:tcPr>
            <w:tcW w:w="88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4.97%</w:t>
            </w:r>
          </w:p>
        </w:tc>
        <w:tc>
          <w:tcPr>
            <w:tcW w:w="100" w:type="dxa"/>
            <w:vAlign w:val="bottom"/>
            <w:vMerge w:val="continue"/>
            <w:shd w:val="clear" w:color="auto" w:fill="CCFFCC"/>
          </w:tcPr>
          <w:p>
            <w:pPr>
              <w:spacing w:after="0"/>
              <w:rPr>
                <w:sz w:val="12"/>
                <w:szCs w:val="12"/>
                <w:color w:val="auto"/>
              </w:rPr>
            </w:pPr>
          </w:p>
        </w:tc>
        <w:tc>
          <w:tcPr>
            <w:tcW w:w="820" w:type="dxa"/>
            <w:vAlign w:val="bottom"/>
            <w:gridSpan w:val="2"/>
            <w:shd w:val="clear" w:color="auto" w:fill="CCFFCC"/>
          </w:tcPr>
          <w:p>
            <w:pPr>
              <w:jc w:val="right"/>
              <w:ind w:right="60"/>
              <w:spacing w:after="0" w:line="142" w:lineRule="exact"/>
              <w:rPr>
                <w:sz w:val="20"/>
                <w:szCs w:val="20"/>
                <w:color w:val="auto"/>
              </w:rPr>
            </w:pPr>
            <w:r>
              <w:rPr>
                <w:rFonts w:ascii="Arial" w:cs="Arial" w:eastAsia="Arial" w:hAnsi="Arial"/>
                <w:sz w:val="14"/>
                <w:szCs w:val="14"/>
                <w:color w:val="auto"/>
              </w:rPr>
              <w:t>5.16%</w:t>
            </w:r>
          </w:p>
        </w:tc>
        <w:tc>
          <w:tcPr>
            <w:tcW w:w="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Efficiency ratio</w:t>
            </w:r>
          </w:p>
        </w:tc>
        <w:tc>
          <w:tcPr>
            <w:tcW w:w="9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43.9%</w:t>
            </w:r>
          </w:p>
        </w:tc>
        <w:tc>
          <w:tcPr>
            <w:tcW w:w="9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43.4%</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41.6%</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43.7%</w:t>
            </w: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41.0%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Return on average shareholders' equity</w:t>
            </w:r>
          </w:p>
        </w:tc>
        <w:tc>
          <w:tcPr>
            <w:tcW w:w="980" w:type="dxa"/>
            <w:vAlign w:val="bottom"/>
            <w:gridSpan w:val="3"/>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5.4%</w:t>
            </w:r>
          </w:p>
        </w:tc>
        <w:tc>
          <w:tcPr>
            <w:tcW w:w="98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17.5%</w:t>
            </w:r>
          </w:p>
        </w:tc>
        <w:tc>
          <w:tcPr>
            <w:tcW w:w="1000" w:type="dxa"/>
            <w:vAlign w:val="bottom"/>
            <w:gridSpan w:val="3"/>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19.2%</w:t>
            </w:r>
          </w:p>
        </w:tc>
        <w:tc>
          <w:tcPr>
            <w:tcW w:w="10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00" w:type="dxa"/>
            <w:vAlign w:val="bottom"/>
            <w:gridSpan w:val="3"/>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11.3%</w:t>
            </w:r>
          </w:p>
        </w:tc>
        <w:tc>
          <w:tcPr>
            <w:tcW w:w="920" w:type="dxa"/>
            <w:vAlign w:val="bottom"/>
            <w:gridSpan w:val="3"/>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21.4%</w:t>
            </w:r>
          </w:p>
        </w:tc>
        <w:tc>
          <w:tcPr>
            <w:tcW w:w="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PDL ratio</w:t>
            </w:r>
          </w:p>
        </w:tc>
        <w:tc>
          <w:tcPr>
            <w:tcW w:w="9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2.11%</w:t>
            </w:r>
          </w:p>
        </w:tc>
        <w:tc>
          <w:tcPr>
            <w:tcW w:w="9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1.97%</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1.74%</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2.11%</w:t>
            </w: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1.74%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PDL over 90 days</w:t>
            </w:r>
          </w:p>
        </w:tc>
        <w:tc>
          <w:tcPr>
            <w:tcW w:w="980" w:type="dxa"/>
            <w:vAlign w:val="bottom"/>
            <w:gridSpan w:val="3"/>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1.45%</w:t>
            </w:r>
          </w:p>
        </w:tc>
        <w:tc>
          <w:tcPr>
            <w:tcW w:w="98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1.35%</w:t>
            </w:r>
          </w:p>
        </w:tc>
        <w:tc>
          <w:tcPr>
            <w:tcW w:w="1000" w:type="dxa"/>
            <w:vAlign w:val="bottom"/>
            <w:gridSpan w:val="3"/>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1.16%</w:t>
            </w:r>
          </w:p>
        </w:tc>
        <w:tc>
          <w:tcPr>
            <w:tcW w:w="10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00" w:type="dxa"/>
            <w:vAlign w:val="bottom"/>
            <w:gridSpan w:val="3"/>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1.45%</w:t>
            </w:r>
          </w:p>
        </w:tc>
        <w:tc>
          <w:tcPr>
            <w:tcW w:w="920" w:type="dxa"/>
            <w:vAlign w:val="bottom"/>
            <w:gridSpan w:val="3"/>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1.16%</w:t>
            </w:r>
          </w:p>
        </w:tc>
        <w:tc>
          <w:tcPr>
            <w:tcW w:w="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NPL ratio (3)</w:t>
            </w:r>
          </w:p>
        </w:tc>
        <w:tc>
          <w:tcPr>
            <w:tcW w:w="9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2.73%</w:t>
            </w:r>
          </w:p>
        </w:tc>
        <w:tc>
          <w:tcPr>
            <w:tcW w:w="9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2.60%</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2.34%</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2.73%</w:t>
            </w: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2.34%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Coverage ratio of PDLs</w:t>
            </w:r>
          </w:p>
        </w:tc>
        <w:tc>
          <w:tcPr>
            <w:tcW w:w="980" w:type="dxa"/>
            <w:vAlign w:val="bottom"/>
            <w:gridSpan w:val="3"/>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167.4%</w:t>
            </w:r>
          </w:p>
        </w:tc>
        <w:tc>
          <w:tcPr>
            <w:tcW w:w="98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172.8%</w:t>
            </w:r>
          </w:p>
        </w:tc>
        <w:tc>
          <w:tcPr>
            <w:tcW w:w="1000" w:type="dxa"/>
            <w:vAlign w:val="bottom"/>
            <w:gridSpan w:val="3"/>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186.8%</w:t>
            </w:r>
          </w:p>
        </w:tc>
        <w:tc>
          <w:tcPr>
            <w:tcW w:w="10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00" w:type="dxa"/>
            <w:vAlign w:val="bottom"/>
            <w:gridSpan w:val="3"/>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167.4%</w:t>
            </w:r>
          </w:p>
        </w:tc>
        <w:tc>
          <w:tcPr>
            <w:tcW w:w="920" w:type="dxa"/>
            <w:vAlign w:val="bottom"/>
            <w:gridSpan w:val="3"/>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186.8%</w:t>
            </w:r>
          </w:p>
        </w:tc>
        <w:tc>
          <w:tcPr>
            <w:tcW w:w="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Coverage of NPLs</w:t>
            </w:r>
          </w:p>
        </w:tc>
        <w:tc>
          <w:tcPr>
            <w:tcW w:w="9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129.3%</w:t>
            </w:r>
          </w:p>
        </w:tc>
        <w:tc>
          <w:tcPr>
            <w:tcW w:w="9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131.2%</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139.1%</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129.3%</w:t>
            </w: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139.1%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Employees</w:t>
            </w:r>
          </w:p>
        </w:tc>
        <w:tc>
          <w:tcPr>
            <w:tcW w:w="100" w:type="dxa"/>
            <w:vAlign w:val="bottom"/>
            <w:shd w:val="clear" w:color="auto" w:fill="CCFFCC"/>
          </w:tcPr>
          <w:p>
            <w:pPr>
              <w:spacing w:after="0"/>
              <w:rPr>
                <w:sz w:val="14"/>
                <w:szCs w:val="14"/>
                <w:color w:val="auto"/>
              </w:rPr>
            </w:pPr>
          </w:p>
        </w:tc>
        <w:tc>
          <w:tcPr>
            <w:tcW w:w="6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27,518</w:t>
            </w:r>
          </w:p>
        </w:tc>
        <w:tc>
          <w:tcPr>
            <w:tcW w:w="2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27,013</w:t>
            </w:r>
          </w:p>
        </w:tc>
        <w:tc>
          <w:tcPr>
            <w:tcW w:w="2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23,438</w:t>
            </w:r>
          </w:p>
        </w:tc>
        <w:tc>
          <w:tcPr>
            <w:tcW w:w="2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52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5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27,518</w:t>
            </w:r>
          </w:p>
        </w:tc>
        <w:tc>
          <w:tcPr>
            <w:tcW w:w="2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23,438</w:t>
            </w:r>
          </w:p>
        </w:tc>
        <w:tc>
          <w:tcPr>
            <w:tcW w:w="16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5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bl>
    <w:p>
      <w:pPr>
        <w:ind w:left="420" w:hanging="250"/>
        <w:spacing w:after="0"/>
        <w:tabs>
          <w:tab w:leader="none" w:pos="4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Employees' profit sharing is registered in Salaries and Employees Benefits since 1Q11 due to local regulator's decision.</w:t>
      </w:r>
    </w:p>
    <w:p>
      <w:pPr>
        <w:spacing w:after="0" w:line="9" w:lineRule="exact"/>
        <w:rPr>
          <w:rFonts w:ascii="Arial" w:cs="Arial" w:eastAsia="Arial" w:hAnsi="Arial"/>
          <w:sz w:val="18"/>
          <w:szCs w:val="18"/>
          <w:i w:val="1"/>
          <w:iCs w:val="1"/>
          <w:color w:val="auto"/>
        </w:rPr>
      </w:pPr>
    </w:p>
    <w:p>
      <w:pPr>
        <w:ind w:left="420" w:hanging="250"/>
        <w:spacing w:after="0"/>
        <w:tabs>
          <w:tab w:leader="none" w:pos="4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Income before translation results and income taxes.</w:t>
      </w:r>
    </w:p>
    <w:p>
      <w:pPr>
        <w:spacing w:after="0" w:line="9" w:lineRule="exact"/>
        <w:rPr>
          <w:rFonts w:ascii="Arial" w:cs="Arial" w:eastAsia="Arial" w:hAnsi="Arial"/>
          <w:sz w:val="18"/>
          <w:szCs w:val="18"/>
          <w:i w:val="1"/>
          <w:iCs w:val="1"/>
          <w:color w:val="auto"/>
        </w:rPr>
      </w:pPr>
    </w:p>
    <w:p>
      <w:pPr>
        <w:ind w:left="420" w:hanging="250"/>
        <w:spacing w:after="0"/>
        <w:tabs>
          <w:tab w:leader="none" w:pos="4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NPLs: Non-performing loans = Past due loans + Refinanced and restructued loans. NPL Ratio = NPLs/Total loans.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Credicorp – The Sum of Its Parts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US Dollar results reported this period, have masked the fact that Credicorp’s business development in 2Q13 continued to be strong: the retail Nuevos Soles-denominated portfolio grew at a strong pace while the US Dollar-denominated portfolio (mainly corporate) contracted given that corporate clients made significant moves to tap the international markets. Income generation was also strong, with local currency- denominated income (+85% of total income generation) increasing at a sound pace: 3.4% for interest income and 7.4% for fee income. Higher provisions were needed, but NIMs on the loan book improved 9bps to compensate for the increased cost of risk. Growth and profitability targets for the different portfolios (in the different currencies) are being met. However, given that significant portions of our business are currently Nuevo Soles- denominated and the fact that our portfolios are increasingly denominated in Nuevos Soles, a substantial move in the exchange rate like the one experienced this 1H13 significantly affect our US Dollar reporting, as was the case this last Q.</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Given that our banking business is primarily a Nuevos Soles-based business, BCP’s Dollar denominated reporting was also significantly affected by the exchange rate move and reported US$26.5 million in net income. This result incorporates however a loss related to the valuation of Correval when sold from BCP to Credicorp Capital, which is actually an internal accounting adjustment. Therefore when calculating BCP’s contribution, it is returned to BCP and improves its contribution to Credicorp to US$33.3 million. As previously explained, BCP’s business expansion this Q was sound and income generation remained strong when evaluated by currency, but reported results were affected by the translation losses associated with the devaluation of our local currency. ROAE for BCP reflected this effect and dropped to a completely distorted 4% for the Q.</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162"/>
        </w:trPr>
        <w:tc>
          <w:tcPr>
            <w:tcW w:w="4260" w:type="dxa"/>
            <w:vAlign w:val="bottom"/>
            <w:gridSpan w:val="3"/>
          </w:tcPr>
          <w:p>
            <w:pPr>
              <w:spacing w:after="0"/>
              <w:rPr>
                <w:sz w:val="20"/>
                <w:szCs w:val="20"/>
                <w:color w:val="auto"/>
              </w:rPr>
            </w:pPr>
            <w:r>
              <w:rPr>
                <w:rFonts w:ascii="Arial" w:cs="Arial" w:eastAsia="Arial" w:hAnsi="Arial"/>
                <w:sz w:val="14"/>
                <w:szCs w:val="14"/>
                <w:b w:val="1"/>
                <w:bCs w:val="1"/>
                <w:color w:val="auto"/>
              </w:rPr>
              <w:t>Earnings contribution to Credicorp</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4"/>
          </w:tcPr>
          <w:p>
            <w:pPr>
              <w:ind w:left="60"/>
              <w:spacing w:after="0"/>
              <w:rPr>
                <w:sz w:val="20"/>
                <w:szCs w:val="20"/>
                <w:color w:val="auto"/>
              </w:rPr>
            </w:pPr>
            <w:r>
              <w:rPr>
                <w:rFonts w:ascii="Arial" w:cs="Arial" w:eastAsia="Arial" w:hAnsi="Arial"/>
                <w:sz w:val="14"/>
                <w:szCs w:val="14"/>
                <w:b w:val="1"/>
                <w:bCs w:val="1"/>
                <w:color w:val="auto"/>
              </w:rPr>
              <w:t>Quarter</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4"/>
          </w:tcPr>
          <w:p>
            <w:pPr>
              <w:ind w:left="340"/>
              <w:spacing w:after="0"/>
              <w:rPr>
                <w:sz w:val="20"/>
                <w:szCs w:val="20"/>
                <w:color w:val="auto"/>
              </w:rPr>
            </w:pPr>
            <w:r>
              <w:rPr>
                <w:rFonts w:ascii="Arial" w:cs="Arial" w:eastAsia="Arial" w:hAnsi="Arial"/>
                <w:sz w:val="14"/>
                <w:szCs w:val="14"/>
                <w:b w:val="1"/>
                <w:bCs w:val="1"/>
                <w:color w:val="auto"/>
                <w:w w:val="94"/>
              </w:rPr>
              <w:t>Change %</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Year to date</w:t>
            </w:r>
          </w:p>
        </w:tc>
        <w:tc>
          <w:tcPr>
            <w:tcW w:w="9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Change %</w:t>
            </w:r>
          </w:p>
        </w:tc>
      </w:tr>
      <w:tr>
        <w:trPr>
          <w:trHeight w:val="171"/>
        </w:trPr>
        <w:tc>
          <w:tcPr>
            <w:tcW w:w="4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US$ 000</w:t>
            </w:r>
          </w:p>
        </w:tc>
        <w:tc>
          <w:tcPr>
            <w:tcW w:w="120" w:type="dxa"/>
            <w:vAlign w:val="bottom"/>
            <w:tcBorders>
              <w:bottom w:val="single" w:sz="8" w:color="CCFFC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2Q13</w:t>
            </w:r>
          </w:p>
        </w:tc>
        <w:tc>
          <w:tcPr>
            <w:tcW w:w="220" w:type="dxa"/>
            <w:vAlign w:val="bottom"/>
            <w:tcBorders>
              <w:bottom w:val="single" w:sz="8" w:color="CCFFC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1Q13</w:t>
            </w:r>
          </w:p>
        </w:tc>
        <w:tc>
          <w:tcPr>
            <w:tcW w:w="220" w:type="dxa"/>
            <w:vAlign w:val="bottom"/>
            <w:tcBorders>
              <w:bottom w:val="single" w:sz="8" w:color="CCFFC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2Q12</w:t>
            </w:r>
          </w:p>
        </w:tc>
        <w:tc>
          <w:tcPr>
            <w:tcW w:w="200" w:type="dxa"/>
            <w:vAlign w:val="bottom"/>
            <w:tcBorders>
              <w:bottom w:val="single" w:sz="8" w:color="CCFFC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FFCC"/>
            </w:tcBorders>
          </w:tcPr>
          <w:p>
            <w:pPr>
              <w:spacing w:after="0"/>
              <w:rPr>
                <w:sz w:val="14"/>
                <w:szCs w:val="14"/>
                <w:color w:val="auto"/>
              </w:rPr>
            </w:pPr>
          </w:p>
        </w:tc>
        <w:tc>
          <w:tcPr>
            <w:tcW w:w="200" w:type="dxa"/>
            <w:vAlign w:val="bottom"/>
            <w:tcBorders>
              <w:bottom w:val="single" w:sz="8" w:color="auto"/>
            </w:tcBorders>
            <w:gridSpan w:val="2"/>
          </w:tcPr>
          <w:p>
            <w:pPr>
              <w:spacing w:after="0"/>
              <w:rPr>
                <w:sz w:val="14"/>
                <w:szCs w:val="14"/>
                <w:color w:val="auto"/>
              </w:rPr>
            </w:pPr>
          </w:p>
        </w:tc>
        <w:tc>
          <w:tcPr>
            <w:tcW w:w="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87"/>
              </w:rPr>
              <w:t>YoY</w:t>
            </w:r>
          </w:p>
        </w:tc>
        <w:tc>
          <w:tcPr>
            <w:tcW w:w="260" w:type="dxa"/>
            <w:vAlign w:val="bottom"/>
            <w:tcBorders>
              <w:bottom w:val="single" w:sz="8" w:color="CCFFC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0"/>
              </w:rPr>
              <w:t>Jun 13</w:t>
            </w:r>
          </w:p>
        </w:tc>
        <w:tc>
          <w:tcPr>
            <w:tcW w:w="220" w:type="dxa"/>
            <w:vAlign w:val="bottom"/>
            <w:tcBorders>
              <w:bottom w:val="single" w:sz="8" w:color="CCFFC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0"/>
              </w:rPr>
              <w:t>Jun 12</w:t>
            </w:r>
          </w:p>
        </w:tc>
        <w:tc>
          <w:tcPr>
            <w:tcW w:w="140" w:type="dxa"/>
            <w:vAlign w:val="bottom"/>
            <w:tcBorders>
              <w:bottom w:val="single" w:sz="8" w:color="CCFFCC"/>
            </w:tcBorders>
          </w:tcPr>
          <w:p>
            <w:pPr>
              <w:spacing w:after="0"/>
              <w:rPr>
                <w:sz w:val="14"/>
                <w:szCs w:val="14"/>
                <w:color w:val="auto"/>
              </w:rPr>
            </w:pPr>
          </w:p>
        </w:tc>
        <w:tc>
          <w:tcPr>
            <w:tcW w:w="80" w:type="dxa"/>
            <w:vAlign w:val="bottom"/>
            <w:tcBorders>
              <w:bottom w:val="single" w:sz="8" w:color="CCFFC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YoY</w:t>
            </w:r>
          </w:p>
        </w:tc>
        <w:tc>
          <w:tcPr>
            <w:tcW w:w="160" w:type="dxa"/>
            <w:vAlign w:val="bottom"/>
            <w:tcBorders>
              <w:bottom w:val="single" w:sz="8" w:color="CCFFCC"/>
            </w:tcBorders>
          </w:tcPr>
          <w:p>
            <w:pPr>
              <w:spacing w:after="0"/>
              <w:rPr>
                <w:sz w:val="14"/>
                <w:szCs w:val="14"/>
                <w:color w:val="auto"/>
              </w:rPr>
            </w:pPr>
          </w:p>
        </w:tc>
      </w:tr>
      <w:tr>
        <w:trPr>
          <w:trHeight w:val="142"/>
        </w:trPr>
        <w:tc>
          <w:tcPr>
            <w:tcW w:w="404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Banco de Crédito BCP (1)</w:t>
            </w: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33,291</w:t>
            </w:r>
          </w:p>
        </w:tc>
        <w:tc>
          <w:tcPr>
            <w:tcW w:w="22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137,538</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125,386</w:t>
            </w: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40"/>
              <w:spacing w:after="0" w:line="142" w:lineRule="exact"/>
              <w:rPr>
                <w:sz w:val="20"/>
                <w:szCs w:val="20"/>
                <w:color w:val="auto"/>
              </w:rPr>
            </w:pPr>
            <w:r>
              <w:rPr>
                <w:rFonts w:ascii="Arial" w:cs="Arial" w:eastAsia="Arial" w:hAnsi="Arial"/>
                <w:sz w:val="14"/>
                <w:szCs w:val="14"/>
                <w:color w:val="auto"/>
              </w:rPr>
              <w:t>-76%</w:t>
            </w: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40"/>
              <w:spacing w:after="0" w:line="142" w:lineRule="exact"/>
              <w:rPr>
                <w:sz w:val="20"/>
                <w:szCs w:val="20"/>
                <w:color w:val="auto"/>
              </w:rPr>
            </w:pPr>
            <w:r>
              <w:rPr>
                <w:rFonts w:ascii="Arial" w:cs="Arial" w:eastAsia="Arial" w:hAnsi="Arial"/>
                <w:sz w:val="14"/>
                <w:szCs w:val="14"/>
                <w:color w:val="auto"/>
              </w:rPr>
              <w:t>-73%</w:t>
            </w:r>
          </w:p>
        </w:tc>
        <w:tc>
          <w:tcPr>
            <w:tcW w:w="120" w:type="dxa"/>
            <w:vAlign w:val="bottom"/>
            <w:shd w:val="clear" w:color="auto" w:fill="CCFFCC"/>
          </w:tcPr>
          <w:p>
            <w:pPr>
              <w:spacing w:after="0"/>
              <w:rPr>
                <w:sz w:val="12"/>
                <w:szCs w:val="12"/>
                <w:color w:val="auto"/>
              </w:rPr>
            </w:pPr>
          </w:p>
        </w:tc>
        <w:tc>
          <w:tcPr>
            <w:tcW w:w="5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170,829</w:t>
            </w:r>
          </w:p>
        </w:tc>
        <w:tc>
          <w:tcPr>
            <w:tcW w:w="2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291,988</w:t>
            </w: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20" w:type="dxa"/>
            <w:vAlign w:val="bottom"/>
            <w:gridSpan w:val="3"/>
            <w:shd w:val="clear" w:color="auto" w:fill="CCFFCC"/>
          </w:tcPr>
          <w:p>
            <w:pPr>
              <w:jc w:val="right"/>
              <w:ind w:right="40"/>
              <w:spacing w:after="0" w:line="142" w:lineRule="exact"/>
              <w:rPr>
                <w:sz w:val="20"/>
                <w:szCs w:val="20"/>
                <w:color w:val="auto"/>
              </w:rPr>
            </w:pPr>
            <w:r>
              <w:rPr>
                <w:rFonts w:ascii="Arial" w:cs="Arial" w:eastAsia="Arial" w:hAnsi="Arial"/>
                <w:sz w:val="14"/>
                <w:szCs w:val="14"/>
                <w:color w:val="auto"/>
              </w:rPr>
              <w:t>-41.5%</w:t>
            </w:r>
          </w:p>
        </w:tc>
      </w:tr>
      <w:tr>
        <w:trPr>
          <w:trHeight w:val="149"/>
        </w:trPr>
        <w:tc>
          <w:tcPr>
            <w:tcW w:w="426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BCB (2)</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4,052</w:t>
            </w:r>
          </w:p>
        </w:tc>
        <w:tc>
          <w:tcPr>
            <w:tcW w:w="22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4,674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5,484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8,726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10,903</w:t>
            </w:r>
          </w:p>
        </w:tc>
        <w:tc>
          <w:tcPr>
            <w:tcW w:w="140" w:type="dxa"/>
            <w:vAlign w:val="bottom"/>
          </w:tcPr>
          <w:p>
            <w:pPr>
              <w:spacing w:after="0"/>
              <w:rPr>
                <w:sz w:val="12"/>
                <w:szCs w:val="12"/>
                <w:color w:val="auto"/>
              </w:rPr>
            </w:pPr>
          </w:p>
        </w:tc>
        <w:tc>
          <w:tcPr>
            <w:tcW w:w="90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-20.0%</w:t>
            </w:r>
          </w:p>
        </w:tc>
      </w:tr>
      <w:tr>
        <w:trPr>
          <w:trHeight w:val="149"/>
        </w:trPr>
        <w:tc>
          <w:tcPr>
            <w:tcW w:w="4260" w:type="dxa"/>
            <w:vAlign w:val="bottom"/>
            <w:gridSpan w:val="3"/>
            <w:shd w:val="clear" w:color="auto" w:fill="CCFFCC"/>
          </w:tcPr>
          <w:p>
            <w:pPr>
              <w:ind w:left="160"/>
              <w:spacing w:after="0" w:line="149" w:lineRule="exact"/>
              <w:rPr>
                <w:sz w:val="20"/>
                <w:szCs w:val="20"/>
                <w:color w:val="auto"/>
              </w:rPr>
            </w:pPr>
            <w:r>
              <w:rPr>
                <w:rFonts w:ascii="Arial" w:cs="Arial" w:eastAsia="Arial" w:hAnsi="Arial"/>
                <w:sz w:val="14"/>
                <w:szCs w:val="14"/>
                <w:color w:val="auto"/>
              </w:rPr>
              <w:t>Edyficar</w:t>
            </w:r>
          </w:p>
        </w:tc>
        <w:tc>
          <w:tcPr>
            <w:tcW w:w="5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5,361</w:t>
            </w:r>
          </w:p>
        </w:tc>
        <w:tc>
          <w:tcPr>
            <w:tcW w:w="22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7,853</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7,200</w:t>
            </w: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-32%</w:t>
            </w: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-26%</w:t>
            </w:r>
          </w:p>
        </w:tc>
        <w:tc>
          <w:tcPr>
            <w:tcW w:w="120" w:type="dxa"/>
            <w:vAlign w:val="bottom"/>
            <w:shd w:val="clear" w:color="auto" w:fill="CCFFCC"/>
          </w:tcPr>
          <w:p>
            <w:pPr>
              <w:spacing w:after="0"/>
              <w:rPr>
                <w:sz w:val="12"/>
                <w:szCs w:val="12"/>
                <w:color w:val="auto"/>
              </w:rPr>
            </w:pPr>
          </w:p>
        </w:tc>
        <w:tc>
          <w:tcPr>
            <w:tcW w:w="5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13,214</w:t>
            </w:r>
          </w:p>
        </w:tc>
        <w:tc>
          <w:tcPr>
            <w:tcW w:w="2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14,933</w:t>
            </w:r>
          </w:p>
        </w:tc>
        <w:tc>
          <w:tcPr>
            <w:tcW w:w="140" w:type="dxa"/>
            <w:vAlign w:val="bottom"/>
            <w:shd w:val="clear" w:color="auto" w:fill="CCFFCC"/>
          </w:tcPr>
          <w:p>
            <w:pPr>
              <w:spacing w:after="0"/>
              <w:rPr>
                <w:sz w:val="12"/>
                <w:szCs w:val="12"/>
                <w:color w:val="auto"/>
              </w:rPr>
            </w:pPr>
          </w:p>
        </w:tc>
        <w:tc>
          <w:tcPr>
            <w:tcW w:w="900" w:type="dxa"/>
            <w:vAlign w:val="bottom"/>
            <w:gridSpan w:val="4"/>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-11.5%</w:t>
            </w:r>
          </w:p>
        </w:tc>
      </w:tr>
      <w:tr>
        <w:trPr>
          <w:trHeight w:val="149"/>
        </w:trPr>
        <w:tc>
          <w:tcPr>
            <w:tcW w:w="4260" w:type="dxa"/>
            <w:vAlign w:val="bottom"/>
            <w:gridSpan w:val="3"/>
          </w:tcPr>
          <w:p>
            <w:pPr>
              <w:spacing w:after="0" w:line="149" w:lineRule="exact"/>
              <w:rPr>
                <w:sz w:val="20"/>
                <w:szCs w:val="20"/>
                <w:color w:val="auto"/>
              </w:rPr>
            </w:pPr>
            <w:r>
              <w:rPr>
                <w:rFonts w:ascii="Arial" w:cs="Arial" w:eastAsia="Arial" w:hAnsi="Arial"/>
                <w:sz w:val="14"/>
                <w:szCs w:val="14"/>
                <w:color w:val="auto"/>
              </w:rPr>
              <w:t>Pacifico Grupo Asegurador</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5,460</w:t>
            </w:r>
          </w:p>
        </w:tc>
        <w:tc>
          <w:tcPr>
            <w:tcW w:w="22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11,259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23,663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-77%</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16,718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28,486</w:t>
            </w:r>
          </w:p>
        </w:tc>
        <w:tc>
          <w:tcPr>
            <w:tcW w:w="140" w:type="dxa"/>
            <w:vAlign w:val="bottom"/>
          </w:tcPr>
          <w:p>
            <w:pPr>
              <w:spacing w:after="0"/>
              <w:rPr>
                <w:sz w:val="12"/>
                <w:szCs w:val="12"/>
                <w:color w:val="auto"/>
              </w:rPr>
            </w:pPr>
          </w:p>
        </w:tc>
        <w:tc>
          <w:tcPr>
            <w:tcW w:w="90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-41.3%</w:t>
            </w:r>
          </w:p>
        </w:tc>
      </w:tr>
      <w:tr>
        <w:trPr>
          <w:trHeight w:val="149"/>
        </w:trPr>
        <w:tc>
          <w:tcPr>
            <w:tcW w:w="4260" w:type="dxa"/>
            <w:vAlign w:val="bottom"/>
            <w:gridSpan w:val="3"/>
            <w:shd w:val="clear" w:color="auto" w:fill="CCFFCC"/>
          </w:tcPr>
          <w:p>
            <w:pPr>
              <w:spacing w:after="0" w:line="149" w:lineRule="exact"/>
              <w:rPr>
                <w:sz w:val="20"/>
                <w:szCs w:val="20"/>
                <w:color w:val="auto"/>
              </w:rPr>
            </w:pPr>
            <w:r>
              <w:rPr>
                <w:rFonts w:ascii="Arial" w:cs="Arial" w:eastAsia="Arial" w:hAnsi="Arial"/>
                <w:sz w:val="14"/>
                <w:szCs w:val="14"/>
                <w:color w:val="auto"/>
              </w:rPr>
              <w:t>Atlantic Security Bank</w:t>
            </w:r>
          </w:p>
        </w:tc>
        <w:tc>
          <w:tcPr>
            <w:tcW w:w="5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13,427</w:t>
            </w:r>
          </w:p>
        </w:tc>
        <w:tc>
          <w:tcPr>
            <w:tcW w:w="22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15,501</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10,610</w:t>
            </w: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-13%</w:t>
            </w: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27%</w:t>
            </w:r>
          </w:p>
        </w:tc>
        <w:tc>
          <w:tcPr>
            <w:tcW w:w="120" w:type="dxa"/>
            <w:vAlign w:val="bottom"/>
            <w:shd w:val="clear" w:color="auto" w:fill="CCFFCC"/>
          </w:tcPr>
          <w:p>
            <w:pPr>
              <w:spacing w:after="0"/>
              <w:rPr>
                <w:sz w:val="12"/>
                <w:szCs w:val="12"/>
                <w:color w:val="auto"/>
              </w:rPr>
            </w:pPr>
          </w:p>
        </w:tc>
        <w:tc>
          <w:tcPr>
            <w:tcW w:w="5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28,929</w:t>
            </w:r>
          </w:p>
        </w:tc>
        <w:tc>
          <w:tcPr>
            <w:tcW w:w="2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22,162</w:t>
            </w:r>
          </w:p>
        </w:tc>
        <w:tc>
          <w:tcPr>
            <w:tcW w:w="140" w:type="dxa"/>
            <w:vAlign w:val="bottom"/>
            <w:shd w:val="clear" w:color="auto" w:fill="CCFFCC"/>
          </w:tcPr>
          <w:p>
            <w:pPr>
              <w:spacing w:after="0"/>
              <w:rPr>
                <w:sz w:val="12"/>
                <w:szCs w:val="12"/>
                <w:color w:val="auto"/>
              </w:rPr>
            </w:pPr>
          </w:p>
        </w:tc>
        <w:tc>
          <w:tcPr>
            <w:tcW w:w="900" w:type="dxa"/>
            <w:vAlign w:val="bottom"/>
            <w:gridSpan w:val="4"/>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30.5%</w:t>
            </w:r>
          </w:p>
        </w:tc>
      </w:tr>
      <w:tr>
        <w:trPr>
          <w:trHeight w:val="149"/>
        </w:trPr>
        <w:tc>
          <w:tcPr>
            <w:tcW w:w="4260" w:type="dxa"/>
            <w:vAlign w:val="bottom"/>
            <w:gridSpan w:val="3"/>
          </w:tcPr>
          <w:p>
            <w:pPr>
              <w:spacing w:after="0" w:line="149" w:lineRule="exact"/>
              <w:rPr>
                <w:sz w:val="20"/>
                <w:szCs w:val="20"/>
                <w:color w:val="auto"/>
              </w:rPr>
            </w:pPr>
            <w:r>
              <w:rPr>
                <w:rFonts w:ascii="Arial" w:cs="Arial" w:eastAsia="Arial" w:hAnsi="Arial"/>
                <w:sz w:val="14"/>
                <w:szCs w:val="14"/>
                <w:color w:val="auto"/>
              </w:rPr>
              <w:t>Prima</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14,372</w:t>
            </w:r>
          </w:p>
        </w:tc>
        <w:tc>
          <w:tcPr>
            <w:tcW w:w="22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11,617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11,445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25,989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20,611</w:t>
            </w:r>
          </w:p>
        </w:tc>
        <w:tc>
          <w:tcPr>
            <w:tcW w:w="140" w:type="dxa"/>
            <w:vAlign w:val="bottom"/>
          </w:tcPr>
          <w:p>
            <w:pPr>
              <w:spacing w:after="0"/>
              <w:rPr>
                <w:sz w:val="12"/>
                <w:szCs w:val="12"/>
                <w:color w:val="auto"/>
              </w:rPr>
            </w:pPr>
          </w:p>
        </w:tc>
        <w:tc>
          <w:tcPr>
            <w:tcW w:w="90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26.1%</w:t>
            </w:r>
          </w:p>
        </w:tc>
      </w:tr>
      <w:tr>
        <w:trPr>
          <w:trHeight w:val="149"/>
        </w:trPr>
        <w:tc>
          <w:tcPr>
            <w:tcW w:w="4260" w:type="dxa"/>
            <w:vAlign w:val="bottom"/>
            <w:gridSpan w:val="3"/>
            <w:shd w:val="clear" w:color="auto" w:fill="CCFFCC"/>
          </w:tcPr>
          <w:p>
            <w:pPr>
              <w:spacing w:after="0" w:line="149" w:lineRule="exact"/>
              <w:rPr>
                <w:sz w:val="20"/>
                <w:szCs w:val="20"/>
                <w:color w:val="auto"/>
              </w:rPr>
            </w:pPr>
            <w:r>
              <w:rPr>
                <w:rFonts w:ascii="Arial" w:cs="Arial" w:eastAsia="Arial" w:hAnsi="Arial"/>
                <w:sz w:val="14"/>
                <w:szCs w:val="14"/>
                <w:color w:val="auto"/>
              </w:rPr>
              <w:t>Credicorp Capital (3)</w:t>
            </w:r>
          </w:p>
        </w:tc>
        <w:tc>
          <w:tcPr>
            <w:tcW w:w="5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1,468</w:t>
            </w:r>
          </w:p>
        </w:tc>
        <w:tc>
          <w:tcPr>
            <w:tcW w:w="22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6,435</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(1,164)</w:t>
            </w:r>
          </w:p>
        </w:tc>
        <w:tc>
          <w:tcPr>
            <w:tcW w:w="1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-77%</w:t>
            </w: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-226.1%</w:t>
            </w:r>
          </w:p>
        </w:tc>
        <w:tc>
          <w:tcPr>
            <w:tcW w:w="120" w:type="dxa"/>
            <w:vAlign w:val="bottom"/>
            <w:shd w:val="clear" w:color="auto" w:fill="CCFFCC"/>
          </w:tcPr>
          <w:p>
            <w:pPr>
              <w:spacing w:after="0"/>
              <w:rPr>
                <w:sz w:val="12"/>
                <w:szCs w:val="12"/>
                <w:color w:val="auto"/>
              </w:rPr>
            </w:pPr>
          </w:p>
        </w:tc>
        <w:tc>
          <w:tcPr>
            <w:tcW w:w="5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7,903</w:t>
            </w:r>
          </w:p>
        </w:tc>
        <w:tc>
          <w:tcPr>
            <w:tcW w:w="2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(1,164)</w:t>
            </w:r>
          </w:p>
        </w:tc>
        <w:tc>
          <w:tcPr>
            <w:tcW w:w="900" w:type="dxa"/>
            <w:vAlign w:val="bottom"/>
            <w:gridSpan w:val="4"/>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-778.9%</w:t>
            </w:r>
          </w:p>
        </w:tc>
      </w:tr>
      <w:tr>
        <w:trPr>
          <w:trHeight w:val="149"/>
        </w:trPr>
        <w:tc>
          <w:tcPr>
            <w:tcW w:w="426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Credicorp. Inv (4)</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2,633</w:t>
            </w:r>
          </w:p>
        </w:tc>
        <w:tc>
          <w:tcPr>
            <w:tcW w:w="22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3,433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(1,164)</w:t>
            </w: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-326.2%</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6,066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(1,164)</w:t>
            </w:r>
          </w:p>
        </w:tc>
        <w:tc>
          <w:tcPr>
            <w:tcW w:w="90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-621.1%</w:t>
            </w:r>
          </w:p>
        </w:tc>
      </w:tr>
      <w:tr>
        <w:trPr>
          <w:trHeight w:val="149"/>
        </w:trPr>
        <w:tc>
          <w:tcPr>
            <w:tcW w:w="4260" w:type="dxa"/>
            <w:vAlign w:val="bottom"/>
            <w:gridSpan w:val="3"/>
            <w:shd w:val="clear" w:color="auto" w:fill="CCFFCC"/>
          </w:tcPr>
          <w:p>
            <w:pPr>
              <w:ind w:left="160"/>
              <w:spacing w:after="0" w:line="149" w:lineRule="exact"/>
              <w:rPr>
                <w:sz w:val="20"/>
                <w:szCs w:val="20"/>
                <w:color w:val="auto"/>
              </w:rPr>
            </w:pPr>
            <w:r>
              <w:rPr>
                <w:rFonts w:ascii="Arial" w:cs="Arial" w:eastAsia="Arial" w:hAnsi="Arial"/>
                <w:sz w:val="14"/>
                <w:szCs w:val="14"/>
                <w:color w:val="auto"/>
              </w:rPr>
              <w:t>BCP Capital (5)</w:t>
            </w:r>
          </w:p>
        </w:tc>
        <w:tc>
          <w:tcPr>
            <w:tcW w:w="7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(1,274)</w:t>
            </w:r>
          </w:p>
        </w:tc>
        <w:tc>
          <w:tcPr>
            <w:tcW w:w="6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2,891</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-144%</w:t>
            </w: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4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1,616</w:t>
            </w:r>
          </w:p>
        </w:tc>
        <w:tc>
          <w:tcPr>
            <w:tcW w:w="2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12"/>
                <w:szCs w:val="12"/>
                <w:color w:val="auto"/>
              </w:rPr>
            </w:pPr>
          </w:p>
        </w:tc>
        <w:tc>
          <w:tcPr>
            <w:tcW w:w="74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FFCC"/>
          </w:tcPr>
          <w:p>
            <w:pPr>
              <w:spacing w:after="0"/>
              <w:rPr>
                <w:sz w:val="12"/>
                <w:szCs w:val="12"/>
                <w:color w:val="auto"/>
              </w:rPr>
            </w:pPr>
          </w:p>
        </w:tc>
      </w:tr>
      <w:tr>
        <w:trPr>
          <w:trHeight w:val="149"/>
        </w:trPr>
        <w:tc>
          <w:tcPr>
            <w:tcW w:w="426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CSI (6)</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109</w:t>
            </w:r>
          </w:p>
        </w:tc>
        <w:tc>
          <w:tcPr>
            <w:tcW w:w="22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220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r>
      <w:tr>
        <w:trPr>
          <w:trHeight w:val="149"/>
        </w:trPr>
        <w:tc>
          <w:tcPr>
            <w:tcW w:w="4260" w:type="dxa"/>
            <w:vAlign w:val="bottom"/>
            <w:gridSpan w:val="3"/>
            <w:shd w:val="clear" w:color="auto" w:fill="CCFFCC"/>
          </w:tcPr>
          <w:p>
            <w:pPr>
              <w:spacing w:after="0" w:line="149" w:lineRule="exact"/>
              <w:rPr>
                <w:sz w:val="20"/>
                <w:szCs w:val="20"/>
                <w:color w:val="auto"/>
              </w:rPr>
            </w:pPr>
            <w:r>
              <w:rPr>
                <w:rFonts w:ascii="Arial" w:cs="Arial" w:eastAsia="Arial" w:hAnsi="Arial"/>
                <w:sz w:val="14"/>
                <w:szCs w:val="14"/>
                <w:color w:val="auto"/>
              </w:rPr>
              <w:t>Credicorp Ltd. (7)</w:t>
            </w:r>
          </w:p>
        </w:tc>
        <w:tc>
          <w:tcPr>
            <w:tcW w:w="7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(12,699)</w:t>
            </w:r>
          </w:p>
        </w:tc>
        <w:tc>
          <w:tcPr>
            <w:tcW w:w="6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1,884</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3,515</w:t>
            </w: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-774%</w:t>
            </w: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-461%</w:t>
            </w:r>
          </w:p>
        </w:tc>
        <w:tc>
          <w:tcPr>
            <w:tcW w:w="120" w:type="dxa"/>
            <w:vAlign w:val="bottom"/>
            <w:shd w:val="clear" w:color="auto" w:fill="CCFFCC"/>
          </w:tcPr>
          <w:p>
            <w:pPr>
              <w:spacing w:after="0"/>
              <w:rPr>
                <w:sz w:val="12"/>
                <w:szCs w:val="12"/>
                <w:color w:val="auto"/>
              </w:rPr>
            </w:pPr>
          </w:p>
        </w:tc>
        <w:tc>
          <w:tcPr>
            <w:tcW w:w="7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(10,815)</w:t>
            </w:r>
          </w:p>
        </w:tc>
        <w:tc>
          <w:tcPr>
            <w:tcW w:w="120" w:type="dxa"/>
            <w:vAlign w:val="bottom"/>
            <w:shd w:val="clear" w:color="auto" w:fill="CCFFCC"/>
          </w:tcPr>
          <w:p>
            <w:pPr>
              <w:spacing w:after="0"/>
              <w:rPr>
                <w:sz w:val="12"/>
                <w:szCs w:val="12"/>
                <w:color w:val="auto"/>
              </w:rPr>
            </w:pPr>
          </w:p>
        </w:tc>
        <w:tc>
          <w:tcPr>
            <w:tcW w:w="5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1,016</w:t>
            </w:r>
          </w:p>
        </w:tc>
        <w:tc>
          <w:tcPr>
            <w:tcW w:w="140" w:type="dxa"/>
            <w:vAlign w:val="bottom"/>
            <w:shd w:val="clear" w:color="auto" w:fill="CCFFCC"/>
          </w:tcPr>
          <w:p>
            <w:pPr>
              <w:spacing w:after="0"/>
              <w:rPr>
                <w:sz w:val="12"/>
                <w:szCs w:val="12"/>
                <w:color w:val="auto"/>
              </w:rPr>
            </w:pPr>
          </w:p>
        </w:tc>
        <w:tc>
          <w:tcPr>
            <w:tcW w:w="900" w:type="dxa"/>
            <w:vAlign w:val="bottom"/>
            <w:gridSpan w:val="4"/>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-1164.0%</w:t>
            </w:r>
          </w:p>
        </w:tc>
      </w:tr>
      <w:tr>
        <w:trPr>
          <w:trHeight w:val="149"/>
        </w:trPr>
        <w:tc>
          <w:tcPr>
            <w:tcW w:w="4260" w:type="dxa"/>
            <w:vAlign w:val="bottom"/>
            <w:gridSpan w:val="3"/>
          </w:tcPr>
          <w:p>
            <w:pPr>
              <w:spacing w:after="0" w:line="149" w:lineRule="exact"/>
              <w:rPr>
                <w:sz w:val="20"/>
                <w:szCs w:val="20"/>
                <w:color w:val="auto"/>
              </w:rPr>
            </w:pPr>
            <w:r>
              <w:rPr>
                <w:rFonts w:ascii="Arial" w:cs="Arial" w:eastAsia="Arial" w:hAnsi="Arial"/>
                <w:sz w:val="14"/>
                <w:szCs w:val="14"/>
                <w:color w:val="auto"/>
              </w:rPr>
              <w:t>Others (8)</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(824)</w:t>
            </w:r>
          </w:p>
        </w:tc>
        <w:tc>
          <w:tcPr>
            <w:tcW w:w="8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(2,713)</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(1,509)</w:t>
            </w: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-45%</w:t>
            </w:r>
          </w:p>
        </w:tc>
        <w:tc>
          <w:tcPr>
            <w:tcW w:w="12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(3,536)</w:t>
            </w:r>
          </w:p>
        </w:tc>
        <w:tc>
          <w:tcPr>
            <w:tcW w:w="12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(2,040)</w:t>
            </w:r>
          </w:p>
        </w:tc>
        <w:tc>
          <w:tcPr>
            <w:tcW w:w="90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73.3%</w:t>
            </w:r>
          </w:p>
        </w:tc>
      </w:tr>
      <w:tr>
        <w:trPr>
          <w:trHeight w:val="162"/>
        </w:trPr>
        <w:tc>
          <w:tcPr>
            <w:tcW w:w="4260" w:type="dxa"/>
            <w:vAlign w:val="bottom"/>
            <w:gridSpan w:val="3"/>
            <w:shd w:val="clear" w:color="auto" w:fill="CCFFCC"/>
          </w:tcPr>
          <w:p>
            <w:pPr>
              <w:spacing w:after="0"/>
              <w:rPr>
                <w:sz w:val="20"/>
                <w:szCs w:val="20"/>
                <w:color w:val="auto"/>
              </w:rPr>
            </w:pPr>
            <w:r>
              <w:rPr>
                <w:rFonts w:ascii="Arial" w:cs="Arial" w:eastAsia="Arial" w:hAnsi="Arial"/>
                <w:sz w:val="14"/>
                <w:szCs w:val="14"/>
                <w:b w:val="1"/>
                <w:bCs w:val="1"/>
                <w:color w:val="auto"/>
              </w:rPr>
              <w:t>Net income attributable to Credicorp</w:t>
            </w:r>
          </w:p>
        </w:tc>
        <w:tc>
          <w:tcPr>
            <w:tcW w:w="56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54,495</w:t>
            </w:r>
          </w:p>
        </w:tc>
        <w:tc>
          <w:tcPr>
            <w:tcW w:w="2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181,522</w:t>
            </w:r>
          </w:p>
        </w:tc>
        <w:tc>
          <w:tcPr>
            <w:tcW w:w="2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171,946</w:t>
            </w:r>
          </w:p>
        </w:tc>
        <w:tc>
          <w:tcPr>
            <w:tcW w:w="2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-70%</w:t>
            </w:r>
          </w:p>
        </w:tc>
        <w:tc>
          <w:tcPr>
            <w:tcW w:w="1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-68%</w:t>
            </w:r>
          </w:p>
        </w:tc>
        <w:tc>
          <w:tcPr>
            <w:tcW w:w="120" w:type="dxa"/>
            <w:vAlign w:val="bottom"/>
            <w:shd w:val="clear" w:color="auto" w:fill="CCFFCC"/>
          </w:tcPr>
          <w:p>
            <w:pPr>
              <w:spacing w:after="0"/>
              <w:rPr>
                <w:sz w:val="14"/>
                <w:szCs w:val="14"/>
                <w:color w:val="auto"/>
              </w:rPr>
            </w:pPr>
          </w:p>
        </w:tc>
        <w:tc>
          <w:tcPr>
            <w:tcW w:w="54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236,017</w:t>
            </w:r>
          </w:p>
        </w:tc>
        <w:tc>
          <w:tcPr>
            <w:tcW w:w="2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54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361,059</w:t>
            </w:r>
          </w:p>
        </w:tc>
        <w:tc>
          <w:tcPr>
            <w:tcW w:w="140" w:type="dxa"/>
            <w:vAlign w:val="bottom"/>
            <w:shd w:val="clear" w:color="auto" w:fill="CCFFCC"/>
          </w:tcPr>
          <w:p>
            <w:pPr>
              <w:spacing w:after="0"/>
              <w:rPr>
                <w:sz w:val="14"/>
                <w:szCs w:val="14"/>
                <w:color w:val="auto"/>
              </w:rPr>
            </w:pPr>
          </w:p>
        </w:tc>
        <w:tc>
          <w:tcPr>
            <w:tcW w:w="900" w:type="dxa"/>
            <w:vAlign w:val="bottom"/>
            <w:gridSpan w:val="4"/>
            <w:shd w:val="clear" w:color="auto" w:fill="CCFFCC"/>
          </w:tcPr>
          <w:p>
            <w:pPr>
              <w:jc w:val="right"/>
              <w:ind w:right="20"/>
              <w:spacing w:after="0"/>
              <w:rPr>
                <w:sz w:val="20"/>
                <w:szCs w:val="20"/>
                <w:color w:val="auto"/>
              </w:rPr>
            </w:pPr>
            <w:r>
              <w:rPr>
                <w:rFonts w:ascii="Arial" w:cs="Arial" w:eastAsia="Arial" w:hAnsi="Arial"/>
                <w:sz w:val="14"/>
                <w:szCs w:val="14"/>
                <w:b w:val="1"/>
                <w:bCs w:val="1"/>
                <w:color w:val="auto"/>
              </w:rPr>
              <w:t>-34.6%</w:t>
            </w: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ind w:left="180" w:right="640" w:hanging="10"/>
        <w:spacing w:after="0" w:line="250" w:lineRule="auto"/>
        <w:tabs>
          <w:tab w:leader="none" w:pos="43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Banco de Crédito de Bolivia, Edyficar and eliminates the loss related to the sale of Correval in 2Q13 (aproximately US$ 9 million) for consolidation effects, to reflect the real contribution</w:t>
      </w:r>
    </w:p>
    <w:p>
      <w:pPr>
        <w:ind w:left="180" w:right="700"/>
        <w:spacing w:after="0" w:line="250" w:lineRule="auto"/>
        <w:rPr>
          <w:rFonts w:ascii="Arial" w:cs="Arial" w:eastAsia="Arial" w:hAnsi="Arial"/>
          <w:sz w:val="18"/>
          <w:szCs w:val="18"/>
          <w:i w:val="1"/>
          <w:iCs w:val="1"/>
          <w:color w:val="auto"/>
        </w:rPr>
      </w:pPr>
      <w:r>
        <w:rPr>
          <w:rFonts w:ascii="Arial" w:cs="Arial" w:eastAsia="Arial" w:hAnsi="Arial"/>
          <w:sz w:val="18"/>
          <w:szCs w:val="18"/>
          <w:i w:val="1"/>
          <w:iCs w:val="1"/>
          <w:color w:val="auto"/>
        </w:rPr>
        <w:t>to Credicorp. Figures differ from those reported in the P&amp;L because these contributions don't include Correval's results (these are consolidated in Credicorp Investments for management purposes).</w:t>
      </w:r>
    </w:p>
    <w:p>
      <w:pPr>
        <w:ind w:left="420" w:hanging="250"/>
        <w:spacing w:after="0"/>
        <w:tabs>
          <w:tab w:leader="none" w:pos="4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figure is lower than the net income of BCB because Credicorp owns 97.7% of BCB (directly and inderectly).</w:t>
      </w:r>
    </w:p>
    <w:p>
      <w:pPr>
        <w:spacing w:after="0" w:line="9" w:lineRule="exact"/>
        <w:rPr>
          <w:rFonts w:ascii="Arial" w:cs="Arial" w:eastAsia="Arial" w:hAnsi="Arial"/>
          <w:sz w:val="18"/>
          <w:szCs w:val="18"/>
          <w:i w:val="1"/>
          <w:iCs w:val="1"/>
          <w:color w:val="auto"/>
        </w:rPr>
      </w:pPr>
    </w:p>
    <w:p>
      <w:pPr>
        <w:ind w:left="180" w:right="520" w:hanging="10"/>
        <w:spacing w:after="0" w:line="250" w:lineRule="auto"/>
        <w:tabs>
          <w:tab w:leader="none" w:pos="43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Figures Proforma - Unaudited, according to IFRS. Not yet consolidated but for purposes of this report is the sum of Credicorp Inv., CSI and BCP Capital.</w:t>
      </w:r>
    </w:p>
    <w:p>
      <w:pPr>
        <w:ind w:left="420" w:hanging="250"/>
        <w:spacing w:after="0"/>
        <w:tabs>
          <w:tab w:leader="none" w:pos="4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BCP Chile, IMT credicorp Inv individual, BCP Colombia and Correval.</w:t>
      </w:r>
    </w:p>
    <w:p>
      <w:pPr>
        <w:spacing w:after="0" w:line="9" w:lineRule="exact"/>
        <w:rPr>
          <w:rFonts w:ascii="Arial" w:cs="Arial" w:eastAsia="Arial" w:hAnsi="Arial"/>
          <w:sz w:val="18"/>
          <w:szCs w:val="18"/>
          <w:i w:val="1"/>
          <w:iCs w:val="1"/>
          <w:color w:val="auto"/>
        </w:rPr>
      </w:pPr>
    </w:p>
    <w:p>
      <w:pPr>
        <w:ind w:left="420" w:hanging="250"/>
        <w:spacing w:after="0"/>
        <w:tabs>
          <w:tab w:leader="none" w:pos="4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Credifondo, Credibolsa, Credítitulos and Finanzas Corporativas.</w:t>
      </w:r>
    </w:p>
    <w:p>
      <w:pPr>
        <w:spacing w:after="0" w:line="9" w:lineRule="exact"/>
        <w:rPr>
          <w:rFonts w:ascii="Arial" w:cs="Arial" w:eastAsia="Arial" w:hAnsi="Arial"/>
          <w:sz w:val="18"/>
          <w:szCs w:val="18"/>
          <w:i w:val="1"/>
          <w:iCs w:val="1"/>
          <w:color w:val="auto"/>
        </w:rPr>
      </w:pPr>
    </w:p>
    <w:p>
      <w:pPr>
        <w:ind w:left="420" w:hanging="250"/>
        <w:spacing w:after="0"/>
        <w:tabs>
          <w:tab w:leader="none" w:pos="4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CSI is included independently as of 1Q13. Before it was inside Others.</w:t>
      </w:r>
    </w:p>
    <w:p>
      <w:pPr>
        <w:spacing w:after="0" w:line="9" w:lineRule="exact"/>
        <w:rPr>
          <w:rFonts w:ascii="Arial" w:cs="Arial" w:eastAsia="Arial" w:hAnsi="Arial"/>
          <w:sz w:val="18"/>
          <w:szCs w:val="18"/>
          <w:i w:val="1"/>
          <w:iCs w:val="1"/>
          <w:color w:val="auto"/>
        </w:rPr>
      </w:pPr>
    </w:p>
    <w:p>
      <w:pPr>
        <w:ind w:left="420" w:hanging="250"/>
        <w:spacing w:after="0"/>
        <w:tabs>
          <w:tab w:leader="none" w:pos="4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taxes on BCP's and PPS's dividends, and other expenses at the holding company level.</w:t>
      </w:r>
    </w:p>
    <w:p>
      <w:pPr>
        <w:spacing w:after="0" w:line="9" w:lineRule="exact"/>
        <w:rPr>
          <w:rFonts w:ascii="Arial" w:cs="Arial" w:eastAsia="Arial" w:hAnsi="Arial"/>
          <w:sz w:val="18"/>
          <w:szCs w:val="18"/>
          <w:i w:val="1"/>
          <w:iCs w:val="1"/>
          <w:color w:val="auto"/>
        </w:rPr>
      </w:pPr>
    </w:p>
    <w:p>
      <w:pPr>
        <w:ind w:left="180" w:right="640" w:hanging="10"/>
        <w:spacing w:after="0" w:line="261" w:lineRule="auto"/>
        <w:tabs>
          <w:tab w:leader="none" w:pos="43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Grupo Crédito excluding Prima (Servicorp and Emisiones BCP Latam), others of Atlantic Security Holding Corporation and others of Credicorp Ltd.</w:t>
      </w:r>
    </w:p>
    <w:p>
      <w:pPr>
        <w:spacing w:after="0" w:line="18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BCP Bolivia </w:t>
      </w:r>
      <w:r>
        <w:rPr>
          <w:rFonts w:ascii="Arial" w:cs="Arial" w:eastAsia="Arial" w:hAnsi="Arial"/>
          <w:sz w:val="18"/>
          <w:szCs w:val="18"/>
          <w:color w:val="auto"/>
        </w:rPr>
        <w:t>reported net income of US$ 4.1 million, down 13.3% QoQ. This resulted from a lower non-financial income (after an extraordinarily high result</w:t>
      </w:r>
      <w:r>
        <w:rPr>
          <w:rFonts w:ascii="Arial" w:cs="Arial" w:eastAsia="Arial" w:hAnsi="Arial"/>
          <w:sz w:val="18"/>
          <w:szCs w:val="18"/>
          <w:i w:val="1"/>
          <w:iCs w:val="1"/>
          <w:color w:val="auto"/>
        </w:rPr>
        <w:t xml:space="preserve"> </w:t>
      </w:r>
      <w:r>
        <w:rPr>
          <w:rFonts w:ascii="Arial" w:cs="Arial" w:eastAsia="Arial" w:hAnsi="Arial"/>
          <w:sz w:val="18"/>
          <w:szCs w:val="18"/>
          <w:color w:val="auto"/>
        </w:rPr>
        <w:t>in this line the previous Q) and higher provisions related to portfolio expansion. BCP Bolivia also reported a US$0.6 million translation loss as it has some investments in the Peruvian capital markets, which led its ROAE to drop to 12%.</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Edyficar </w:t>
      </w:r>
      <w:r>
        <w:rPr>
          <w:rFonts w:ascii="Arial" w:cs="Arial" w:eastAsia="Arial" w:hAnsi="Arial"/>
          <w:sz w:val="18"/>
          <w:szCs w:val="18"/>
          <w:color w:val="auto"/>
        </w:rPr>
        <w:t>posted excellent performance and business evolution in its natural currency. In fact, Edyficar is a 98.7% Nuevo Soles business and its portfolio grew</w:t>
      </w:r>
      <w:r>
        <w:rPr>
          <w:rFonts w:ascii="Arial" w:cs="Arial" w:eastAsia="Arial" w:hAnsi="Arial"/>
          <w:sz w:val="18"/>
          <w:szCs w:val="18"/>
          <w:i w:val="1"/>
          <w:iCs w:val="1"/>
          <w:color w:val="auto"/>
        </w:rPr>
        <w:t xml:space="preserve"> </w:t>
      </w:r>
      <w:r>
        <w:rPr>
          <w:rFonts w:ascii="Arial" w:cs="Arial" w:eastAsia="Arial" w:hAnsi="Arial"/>
          <w:sz w:val="18"/>
          <w:szCs w:val="18"/>
          <w:color w:val="auto"/>
        </w:rPr>
        <w:t>6.5% QoQ and 44% YoY. This Q, NII was 9% up in Nuevos Soles while net income improved +28.2% up to S/.28.8 million from S/.22.5 million. However, when expressing its results in US Dollars for reporting purposes, we find that the devaluation effect has significantly distorted its performance. After this conversion, we see that its contribution drops 32% from US$7.9 million to US$5.4 million, which was the result of both the unfavorable exchange rate and a US$11.5 million translation loss.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Atlantic Security Bank </w:t>
      </w:r>
      <w:r>
        <w:rPr>
          <w:rFonts w:ascii="Arial" w:cs="Arial" w:eastAsia="Arial" w:hAnsi="Arial"/>
          <w:sz w:val="16"/>
          <w:szCs w:val="16"/>
          <w:color w:val="auto"/>
        </w:rPr>
        <w:t>(ASB) reported net income of US$13.4 million in 2Q13, which represented a drop of 13.4% with regard to 1Q13. This drop was due to</w:t>
      </w:r>
    </w:p>
    <w:p>
      <w:pPr>
        <w:spacing w:after="0" w:line="46" w:lineRule="exact"/>
        <w:rPr>
          <w:sz w:val="20"/>
          <w:szCs w:val="20"/>
          <w:color w:val="auto"/>
        </w:rPr>
      </w:pPr>
    </w:p>
    <w:p>
      <w:pPr>
        <w:ind w:firstLine="8"/>
        <w:spacing w:after="0" w:line="261" w:lineRule="auto"/>
        <w:tabs>
          <w:tab w:leader="none" w:pos="238" w:val="left"/>
        </w:tabs>
        <w:numPr>
          <w:ilvl w:val="0"/>
          <w:numId w:val="5"/>
        </w:numPr>
        <w:rPr>
          <w:rFonts w:ascii="Arial" w:cs="Arial" w:eastAsia="Arial" w:hAnsi="Arial"/>
          <w:sz w:val="18"/>
          <w:szCs w:val="18"/>
          <w:color w:val="auto"/>
        </w:rPr>
      </w:pPr>
      <w:r>
        <w:rPr>
          <w:rFonts w:ascii="Arial" w:cs="Arial" w:eastAsia="Arial" w:hAnsi="Arial"/>
          <w:sz w:val="18"/>
          <w:szCs w:val="18"/>
          <w:color w:val="auto"/>
        </w:rPr>
        <w:t>lower interest income following a contraction at the portfolio level, (ii) fewer earnings on investments, and (iii) losses on FX transactions due to the unexpected devaluation of the Nuevo Sol. Despite this evolution, ASB’s ROAE remained strong and reached 30.3%.</w:t>
      </w:r>
    </w:p>
    <w:p>
      <w:pPr>
        <w:spacing w:after="0" w:line="18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 xml:space="preserve">Pacifico Grupo Asegurador </w:t>
      </w:r>
      <w:r>
        <w:rPr>
          <w:rFonts w:ascii="Arial" w:cs="Arial" w:eastAsia="Arial" w:hAnsi="Arial"/>
          <w:sz w:val="18"/>
          <w:szCs w:val="18"/>
          <w:color w:val="auto"/>
        </w:rPr>
        <w:t>(PGA) reported a 52% decline in its contribution to Credicorp, which totaled US$ 5.5 million after deducting the US$6.4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translation loss recorded for this 2Q. Reported net premium growth was 2% for the 2Q. This growth, however, was understated given that 48% of premiums are calculated in Nuevos Soles. Higher claims led to a decrease in the underwriting result. This was offset by the fact that the company’s investments performed very well, which led to a subsequent increase in financial income.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Life business was again the top performer within the PGA and contributed to US$ 13.8 million to PGA. The P&amp;C business, however, was a loss generator as it concentrated most of the translation loss. The EPS business (medical insurance) reported a 49% drop in its contribution, which totaled US$1.2 million. The medical segment (Clinics) is still in the development phase and incurred extraordinary expenses to launch its new Medical Services Brand, </w:t>
      </w:r>
      <w:r>
        <w:rPr>
          <w:rFonts w:ascii="Arial" w:cs="Arial" w:eastAsia="Arial" w:hAnsi="Arial"/>
          <w:sz w:val="18"/>
          <w:szCs w:val="18"/>
          <w:i w:val="1"/>
          <w:iCs w:val="1"/>
          <w:color w:val="auto"/>
        </w:rPr>
        <w:t xml:space="preserve">Sanna, </w:t>
      </w:r>
      <w:r>
        <w:rPr>
          <w:rFonts w:ascii="Arial" w:cs="Arial" w:eastAsia="Arial" w:hAnsi="Arial"/>
          <w:sz w:val="18"/>
          <w:szCs w:val="18"/>
          <w:color w:val="auto"/>
        </w:rPr>
        <w:t>and reported a loss of US$2.2 million for the 2Q.</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Prima</w:t>
      </w:r>
      <w:r>
        <w:rPr>
          <w:rFonts w:ascii="Arial" w:cs="Arial" w:eastAsia="Arial" w:hAnsi="Arial"/>
          <w:sz w:val="17"/>
          <w:szCs w:val="17"/>
          <w:color w:val="auto"/>
        </w:rPr>
        <w:t>´s contribution to Credicorp reached US$14.4 million, up 24% from the previous Q. It is important to emphasize that income from commissions this</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was affected by the following factors: (i) an increase of 6.1% was recorded in income in Nuevos Soles with regard to 1Q13 (local accounting); this same growth, calculated in US Dollars, was equivalent to 3.1% due to local currency devaluation; and (ii) the application of the IAS 18 (international accounting standard), which led to deferred income for US$ 1.4 million. In IFRS, these effects translated into a 1.0% drop in fee income and slightly lower operating income. Despite this evolution, lower tax provisions and a translation gain of US$1.6 million (the only entity in the group with a positive translation result) resulted in the increase reported in its net income. ROAE reached an extraordinary 38.8% for the Q.</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7" w:name="page8"/>
    <w:bookmarkEnd w:id="7"/>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i w:val="1"/>
          <w:iCs w:val="1"/>
          <w:color w:val="auto"/>
        </w:rPr>
        <w:t xml:space="preserve">Credicorp Capital </w:t>
      </w:r>
      <w:r>
        <w:rPr>
          <w:rFonts w:ascii="Arial" w:cs="Arial" w:eastAsia="Arial" w:hAnsi="Arial"/>
          <w:sz w:val="18"/>
          <w:szCs w:val="18"/>
          <w:color w:val="auto"/>
        </w:rPr>
        <w:t>reflects the results of the investment banking group, which is still facing some challenges relative to the consolidation and organizational</w:t>
      </w:r>
      <w:r>
        <w:rPr>
          <w:rFonts w:ascii="Arial" w:cs="Arial" w:eastAsia="Arial" w:hAnsi="Arial"/>
          <w:sz w:val="18"/>
          <w:szCs w:val="18"/>
          <w:i w:val="1"/>
          <w:iCs w:val="1"/>
          <w:color w:val="auto"/>
        </w:rPr>
        <w:t xml:space="preserve"> </w:t>
      </w:r>
      <w:r>
        <w:rPr>
          <w:rFonts w:ascii="Arial" w:cs="Arial" w:eastAsia="Arial" w:hAnsi="Arial"/>
          <w:sz w:val="18"/>
          <w:szCs w:val="18"/>
          <w:color w:val="auto"/>
        </w:rPr>
        <w:t>process. Therefore, the results of the group are still affected by consolidation adjustments and the high cost of reorganizing all three operations. Credicorp Capital contributed a total of US$1.5 million in 2Q13, which fails to reflect the company’s real potential.</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Credicorp Ltd’s </w:t>
      </w:r>
      <w:r>
        <w:rPr>
          <w:rFonts w:ascii="Arial" w:cs="Arial" w:eastAsia="Arial" w:hAnsi="Arial"/>
          <w:sz w:val="18"/>
          <w:szCs w:val="18"/>
          <w:color w:val="auto"/>
        </w:rPr>
        <w:t>line mainly includes provisions for tax retention on dividends paid to Credicorp (estimated US$3.7 million) and interest on investments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Peruvian companies. This 2Q in addition to tax provisions, a translation loss was recorded for dividend payments of US$9 million that inflated the result to a negative contribution of US$12.7 million.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Others</w:t>
      </w:r>
      <w:r>
        <w:rPr>
          <w:rFonts w:ascii="Arial" w:cs="Arial" w:eastAsia="Arial" w:hAnsi="Arial"/>
          <w:sz w:val="18"/>
          <w:szCs w:val="18"/>
          <w:color w:val="auto"/>
        </w:rPr>
        <w:t xml:space="preserve"> account encompasses the holding’s different companies, and mainly GrupoCrédito, which controls start-up operations such as Tarjeta Naranja, which is still in the red though largely compensated by income from the Fiduciary business and other investments.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Overall, Credicorp posted good growth and operating performance for the Q in the currencies in which the businesses are conducted. These results, however, were strongly affected by the devaluation of local currency this Q. ROAE dropped to 5.4% and includes all the accounting extraordinary and non-cash effects of said devaluation. It is however interesting to see that excluding only the effects of the devaluation in the Q (i.e. the translation loss of US$ 78.5 million, the loss in the structural forward valuation of US$ 32.9 million and the US$ 19.2 additional taxes related to this FX move), and including other non-recurrent losses such as the loss in the valuation of the bonds portfolio and the additional provisions for the Q, ROAE for Credicorp would be close to 18% for the 2Q13.</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chart below summarizes Credicorp’s capital requirements as a mixed conglomerate, whose principal businesses are banking, insurance, pension funds, among others.</w:t>
      </w:r>
    </w:p>
    <w:p>
      <w:pPr>
        <w:spacing w:after="0" w:line="16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240" w:type="dxa"/>
            <w:vAlign w:val="bottom"/>
            <w:gridSpan w:val="4"/>
          </w:tcPr>
          <w:p>
            <w:pPr>
              <w:spacing w:after="0"/>
              <w:rPr>
                <w:sz w:val="20"/>
                <w:szCs w:val="20"/>
                <w:color w:val="auto"/>
              </w:rPr>
            </w:pPr>
            <w:r>
              <w:rPr>
                <w:rFonts w:ascii="Arial" w:cs="Arial" w:eastAsia="Arial" w:hAnsi="Arial"/>
                <w:sz w:val="14"/>
                <w:szCs w:val="14"/>
                <w:b w:val="1"/>
                <w:bCs w:val="1"/>
                <w:color w:val="auto"/>
              </w:rPr>
              <w:t>Regulatory Capital and Capital Adequacy Ratios</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0"/>
              </w:rPr>
              <w:t>Balance as of</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5"/>
          </w:tcPr>
          <w:p>
            <w:pPr>
              <w:jc w:val="right"/>
              <w:ind w:right="888"/>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71"/>
        </w:trPr>
        <w:tc>
          <w:tcPr>
            <w:tcW w:w="5240" w:type="dxa"/>
            <w:vAlign w:val="bottom"/>
            <w:gridSpan w:val="4"/>
          </w:tcPr>
          <w:p>
            <w:pPr>
              <w:spacing w:after="0"/>
              <w:rPr>
                <w:sz w:val="20"/>
                <w:szCs w:val="20"/>
                <w:color w:val="auto"/>
              </w:rPr>
            </w:pPr>
            <w:r>
              <w:rPr>
                <w:rFonts w:ascii="Arial" w:cs="Arial" w:eastAsia="Arial" w:hAnsi="Arial"/>
                <w:sz w:val="14"/>
                <w:szCs w:val="14"/>
                <w:color w:val="auto"/>
              </w:rPr>
              <w:t>US$ (000)</w:t>
            </w: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 13</w:t>
            </w:r>
          </w:p>
        </w:tc>
        <w:tc>
          <w:tcPr>
            <w:tcW w:w="100" w:type="dxa"/>
            <w:vAlign w:val="bottom"/>
          </w:tcPr>
          <w:p>
            <w:pPr>
              <w:spacing w:after="0"/>
              <w:rPr>
                <w:sz w:val="14"/>
                <w:szCs w:val="14"/>
                <w:color w:val="auto"/>
              </w:rPr>
            </w:pPr>
          </w:p>
        </w:tc>
        <w:tc>
          <w:tcPr>
            <w:tcW w:w="12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Mar 13</w:t>
            </w: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Jun 12</w:t>
            </w:r>
          </w:p>
        </w:tc>
        <w:tc>
          <w:tcPr>
            <w:tcW w:w="1260" w:type="dxa"/>
            <w:vAlign w:val="bottom"/>
            <w:gridSpan w:val="3"/>
          </w:tcPr>
          <w:p>
            <w:pPr>
              <w:jc w:val="right"/>
              <w:ind w:right="208"/>
              <w:spacing w:after="0"/>
              <w:rPr>
                <w:sz w:val="20"/>
                <w:szCs w:val="20"/>
                <w:color w:val="auto"/>
              </w:rPr>
            </w:pPr>
            <w:r>
              <w:rPr>
                <w:rFonts w:ascii="Arial" w:cs="Arial" w:eastAsia="Arial" w:hAnsi="Arial"/>
                <w:sz w:val="14"/>
                <w:szCs w:val="14"/>
                <w:b w:val="1"/>
                <w:bCs w:val="1"/>
                <w:color w:val="auto"/>
                <w:w w:val="95"/>
              </w:rPr>
              <w:t>Jun 13 / Mar 12</w:t>
            </w:r>
          </w:p>
        </w:tc>
        <w:tc>
          <w:tcPr>
            <w:tcW w:w="116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w w:val="93"/>
              </w:rPr>
              <w:t>Jun 13 / Jun 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Capital Stock</w:t>
            </w:r>
          </w:p>
        </w:tc>
        <w:tc>
          <w:tcPr>
            <w:tcW w:w="100" w:type="dxa"/>
            <w:vAlign w:val="bottom"/>
            <w:vMerge w:val="continue"/>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496,041</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490,051</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505,164</w:t>
            </w:r>
          </w:p>
        </w:tc>
        <w:tc>
          <w:tcPr>
            <w:tcW w:w="200" w:type="dxa"/>
            <w:vAlign w:val="bottom"/>
            <w:shd w:val="clear" w:color="auto" w:fill="CCFFCC"/>
          </w:tcPr>
          <w:p>
            <w:pPr>
              <w:spacing w:after="0"/>
              <w:rPr>
                <w:sz w:val="12"/>
                <w:szCs w:val="12"/>
                <w:color w:val="auto"/>
              </w:rPr>
            </w:pPr>
          </w:p>
        </w:tc>
        <w:tc>
          <w:tcPr>
            <w:tcW w:w="1260" w:type="dxa"/>
            <w:vAlign w:val="bottom"/>
            <w:gridSpan w:val="3"/>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1.2%</w:t>
            </w:r>
          </w:p>
        </w:tc>
        <w:tc>
          <w:tcPr>
            <w:tcW w:w="1160" w:type="dxa"/>
            <w:vAlign w:val="bottom"/>
            <w:gridSpan w:val="3"/>
            <w:shd w:val="clear" w:color="auto" w:fill="CCFFCC"/>
          </w:tcPr>
          <w:p>
            <w:pPr>
              <w:jc w:val="right"/>
              <w:spacing w:after="0" w:line="142"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3"/>
          </w:tcPr>
          <w:p>
            <w:pPr>
              <w:spacing w:after="0" w:line="149" w:lineRule="exact"/>
              <w:rPr>
                <w:sz w:val="20"/>
                <w:szCs w:val="20"/>
                <w:color w:val="auto"/>
              </w:rPr>
            </w:pPr>
            <w:r>
              <w:rPr>
                <w:rFonts w:ascii="Arial" w:cs="Arial" w:eastAsia="Arial" w:hAnsi="Arial"/>
                <w:sz w:val="14"/>
                <w:szCs w:val="14"/>
                <w:color w:val="auto"/>
              </w:rPr>
              <w:t>Legal and Other capital reserves (1)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2,894,076</w:t>
            </w:r>
          </w:p>
        </w:tc>
        <w:tc>
          <w:tcPr>
            <w:tcW w:w="22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2,895,550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2,297,813</w:t>
            </w:r>
          </w:p>
        </w:tc>
        <w:tc>
          <w:tcPr>
            <w:tcW w:w="200" w:type="dxa"/>
            <w:vAlign w:val="bottom"/>
          </w:tcPr>
          <w:p>
            <w:pPr>
              <w:spacing w:after="0"/>
              <w:rPr>
                <w:sz w:val="12"/>
                <w:szCs w:val="12"/>
                <w:color w:val="auto"/>
              </w:rPr>
            </w:pPr>
          </w:p>
        </w:tc>
        <w:tc>
          <w:tcPr>
            <w:tcW w:w="126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-0.1%</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3"/>
            <w:shd w:val="clear" w:color="auto" w:fill="CCFFCC"/>
          </w:tcPr>
          <w:p>
            <w:pPr>
              <w:spacing w:after="0" w:line="149" w:lineRule="exact"/>
              <w:rPr>
                <w:sz w:val="20"/>
                <w:szCs w:val="20"/>
                <w:color w:val="auto"/>
              </w:rPr>
            </w:pPr>
            <w:r>
              <w:rPr>
                <w:rFonts w:ascii="Arial" w:cs="Arial" w:eastAsia="Arial" w:hAnsi="Arial"/>
                <w:sz w:val="14"/>
                <w:szCs w:val="14"/>
                <w:color w:val="auto"/>
              </w:rPr>
              <w:t>Minority interest (2)</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104,642</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105,263</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78,300</w:t>
            </w:r>
          </w:p>
        </w:tc>
        <w:tc>
          <w:tcPr>
            <w:tcW w:w="200" w:type="dxa"/>
            <w:vAlign w:val="bottom"/>
            <w:shd w:val="clear" w:color="auto" w:fill="CCFFCC"/>
          </w:tcPr>
          <w:p>
            <w:pPr>
              <w:spacing w:after="0"/>
              <w:rPr>
                <w:sz w:val="12"/>
                <w:szCs w:val="12"/>
                <w:color w:val="auto"/>
              </w:rPr>
            </w:pPr>
          </w:p>
        </w:tc>
        <w:tc>
          <w:tcPr>
            <w:tcW w:w="1260" w:type="dxa"/>
            <w:vAlign w:val="bottom"/>
            <w:gridSpan w:val="3"/>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-0.6%</w:t>
            </w:r>
          </w:p>
        </w:tc>
        <w:tc>
          <w:tcPr>
            <w:tcW w:w="116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3"/>
          </w:tcPr>
          <w:p>
            <w:pPr>
              <w:spacing w:after="0" w:line="149" w:lineRule="exact"/>
              <w:rPr>
                <w:sz w:val="20"/>
                <w:szCs w:val="20"/>
                <w:color w:val="auto"/>
              </w:rPr>
            </w:pPr>
            <w:r>
              <w:rPr>
                <w:rFonts w:ascii="Arial" w:cs="Arial" w:eastAsia="Arial" w:hAnsi="Arial"/>
                <w:sz w:val="14"/>
                <w:szCs w:val="14"/>
                <w:color w:val="auto"/>
              </w:rPr>
              <w:t>Loan loss reserves (3)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295,306</w:t>
            </w:r>
          </w:p>
        </w:tc>
        <w:tc>
          <w:tcPr>
            <w:tcW w:w="22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300,817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256,136</w:t>
            </w:r>
          </w:p>
        </w:tc>
        <w:tc>
          <w:tcPr>
            <w:tcW w:w="200" w:type="dxa"/>
            <w:vAlign w:val="bottom"/>
          </w:tcPr>
          <w:p>
            <w:pPr>
              <w:spacing w:after="0"/>
              <w:rPr>
                <w:sz w:val="12"/>
                <w:szCs w:val="12"/>
                <w:color w:val="auto"/>
              </w:rPr>
            </w:pPr>
          </w:p>
        </w:tc>
        <w:tc>
          <w:tcPr>
            <w:tcW w:w="126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-1.8%</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3"/>
            <w:shd w:val="clear" w:color="auto" w:fill="CCFFCC"/>
          </w:tcPr>
          <w:p>
            <w:pPr>
              <w:spacing w:after="0" w:line="149" w:lineRule="exact"/>
              <w:rPr>
                <w:sz w:val="20"/>
                <w:szCs w:val="20"/>
                <w:color w:val="auto"/>
              </w:rPr>
            </w:pPr>
            <w:r>
              <w:rPr>
                <w:rFonts w:ascii="Arial" w:cs="Arial" w:eastAsia="Arial" w:hAnsi="Arial"/>
                <w:sz w:val="14"/>
                <w:szCs w:val="14"/>
                <w:color w:val="auto"/>
              </w:rPr>
              <w:t>Perpetual subordinated debt</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227,500</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227,500</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225,300</w:t>
            </w:r>
          </w:p>
        </w:tc>
        <w:tc>
          <w:tcPr>
            <w:tcW w:w="200" w:type="dxa"/>
            <w:vAlign w:val="bottom"/>
            <w:shd w:val="clear" w:color="auto" w:fill="CCFFCC"/>
          </w:tcPr>
          <w:p>
            <w:pPr>
              <w:spacing w:after="0"/>
              <w:rPr>
                <w:sz w:val="12"/>
                <w:szCs w:val="12"/>
                <w:color w:val="auto"/>
              </w:rPr>
            </w:pPr>
          </w:p>
        </w:tc>
        <w:tc>
          <w:tcPr>
            <w:tcW w:w="1260" w:type="dxa"/>
            <w:vAlign w:val="bottom"/>
            <w:gridSpan w:val="3"/>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0.0%</w:t>
            </w:r>
          </w:p>
        </w:tc>
        <w:tc>
          <w:tcPr>
            <w:tcW w:w="116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3"/>
          </w:tcPr>
          <w:p>
            <w:pPr>
              <w:spacing w:after="0" w:line="149" w:lineRule="exact"/>
              <w:rPr>
                <w:sz w:val="20"/>
                <w:szCs w:val="20"/>
                <w:color w:val="auto"/>
              </w:rPr>
            </w:pPr>
            <w:r>
              <w:rPr>
                <w:rFonts w:ascii="Arial" w:cs="Arial" w:eastAsia="Arial" w:hAnsi="Arial"/>
                <w:sz w:val="14"/>
                <w:szCs w:val="14"/>
                <w:color w:val="auto"/>
              </w:rPr>
              <w:t>Subordinated Debt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1,282,284</w:t>
            </w:r>
          </w:p>
        </w:tc>
        <w:tc>
          <w:tcPr>
            <w:tcW w:w="22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1,138,246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1,156,911</w:t>
            </w:r>
          </w:p>
        </w:tc>
        <w:tc>
          <w:tcPr>
            <w:tcW w:w="200" w:type="dxa"/>
            <w:vAlign w:val="bottom"/>
          </w:tcPr>
          <w:p>
            <w:pPr>
              <w:spacing w:after="0"/>
              <w:rPr>
                <w:sz w:val="12"/>
                <w:szCs w:val="12"/>
                <w:color w:val="auto"/>
              </w:rPr>
            </w:pPr>
          </w:p>
        </w:tc>
        <w:tc>
          <w:tcPr>
            <w:tcW w:w="126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12.7%</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3"/>
            <w:shd w:val="clear" w:color="auto" w:fill="CCFFCC"/>
          </w:tcPr>
          <w:p>
            <w:pPr>
              <w:spacing w:after="0" w:line="149" w:lineRule="exact"/>
              <w:rPr>
                <w:sz w:val="20"/>
                <w:szCs w:val="20"/>
                <w:color w:val="auto"/>
              </w:rPr>
            </w:pPr>
            <w:r>
              <w:rPr>
                <w:rFonts w:ascii="Arial" w:cs="Arial" w:eastAsia="Arial" w:hAnsi="Arial"/>
                <w:sz w:val="14"/>
                <w:szCs w:val="14"/>
                <w:color w:val="auto"/>
              </w:rPr>
              <w:t>Investments in equity and subordinated debt of financial and insurance companies</w:t>
            </w:r>
          </w:p>
        </w:tc>
        <w:tc>
          <w:tcPr>
            <w:tcW w:w="11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(185,497)</w:t>
            </w:r>
          </w:p>
        </w:tc>
        <w:tc>
          <w:tcPr>
            <w:tcW w:w="1220" w:type="dxa"/>
            <w:vAlign w:val="bottom"/>
            <w:gridSpan w:val="3"/>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(203,023)</w:t>
            </w:r>
          </w:p>
        </w:tc>
        <w:tc>
          <w:tcPr>
            <w:tcW w:w="10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(215,153)</w:t>
            </w:r>
          </w:p>
        </w:tc>
        <w:tc>
          <w:tcPr>
            <w:tcW w:w="1260" w:type="dxa"/>
            <w:vAlign w:val="bottom"/>
            <w:gridSpan w:val="3"/>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-8.6%</w:t>
            </w:r>
          </w:p>
        </w:tc>
        <w:tc>
          <w:tcPr>
            <w:tcW w:w="116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3"/>
          </w:tcPr>
          <w:p>
            <w:pPr>
              <w:spacing w:after="0" w:line="149" w:lineRule="exact"/>
              <w:rPr>
                <w:sz w:val="20"/>
                <w:szCs w:val="20"/>
                <w:color w:val="auto"/>
              </w:rPr>
            </w:pPr>
            <w:r>
              <w:rPr>
                <w:rFonts w:ascii="Arial" w:cs="Arial" w:eastAsia="Arial" w:hAnsi="Arial"/>
                <w:sz w:val="14"/>
                <w:szCs w:val="14"/>
                <w:color w:val="auto"/>
              </w:rPr>
              <w:t>Goodwill</w:t>
            </w: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(361,620)</w:t>
            </w:r>
          </w:p>
        </w:tc>
        <w:tc>
          <w:tcPr>
            <w:tcW w:w="12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(376,410)</w:t>
            </w:r>
          </w:p>
        </w:tc>
        <w:tc>
          <w:tcPr>
            <w:tcW w:w="10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(248,358)</w:t>
            </w:r>
          </w:p>
        </w:tc>
        <w:tc>
          <w:tcPr>
            <w:tcW w:w="126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-3.9%</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3"/>
            <w:shd w:val="clear" w:color="auto" w:fill="CCFFCC"/>
          </w:tcPr>
          <w:p>
            <w:pPr>
              <w:spacing w:after="0" w:line="149" w:lineRule="exact"/>
              <w:rPr>
                <w:sz w:val="20"/>
                <w:szCs w:val="20"/>
                <w:color w:val="auto"/>
              </w:rPr>
            </w:pPr>
            <w:r>
              <w:rPr>
                <w:rFonts w:ascii="Arial" w:cs="Arial" w:eastAsia="Arial" w:hAnsi="Arial"/>
                <w:sz w:val="14"/>
                <w:szCs w:val="14"/>
                <w:color w:val="auto"/>
              </w:rPr>
              <w:t>Deduction for subordinated debt limit (50% of Tier I excluding deductions) (4)</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(179,508)</w:t>
            </w:r>
          </w:p>
        </w:tc>
        <w:tc>
          <w:tcPr>
            <w:tcW w:w="1260" w:type="dxa"/>
            <w:vAlign w:val="bottom"/>
            <w:gridSpan w:val="3"/>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0.0%</w:t>
            </w:r>
          </w:p>
        </w:tc>
        <w:tc>
          <w:tcPr>
            <w:tcW w:w="116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20" w:type="dxa"/>
            <w:vAlign w:val="bottom"/>
            <w:gridSpan w:val="3"/>
          </w:tcPr>
          <w:p>
            <w:pPr>
              <w:spacing w:after="0"/>
              <w:rPr>
                <w:sz w:val="20"/>
                <w:szCs w:val="20"/>
                <w:color w:val="auto"/>
              </w:rPr>
            </w:pPr>
            <w:r>
              <w:rPr>
                <w:rFonts w:ascii="Arial" w:cs="Arial" w:eastAsia="Arial" w:hAnsi="Arial"/>
                <w:sz w:val="14"/>
                <w:szCs w:val="14"/>
                <w:color w:val="auto"/>
              </w:rPr>
              <w:t>Deduction for Tier I Limit (50% of Regulatory capital) (4)</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(207,144)</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Borders>
              <w:top w:val="single" w:sz="8" w:color="CCFFCC"/>
            </w:tcBorders>
            <w:gridSpan w:val="3"/>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Total Regulatory Capital (A)</w:t>
            </w:r>
          </w:p>
        </w:tc>
        <w:tc>
          <w:tcPr>
            <w:tcW w:w="9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4,752,731</w:t>
            </w:r>
          </w:p>
        </w:tc>
        <w:tc>
          <w:tcPr>
            <w:tcW w:w="22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4,577,993</w:t>
            </w:r>
          </w:p>
        </w:tc>
        <w:tc>
          <w:tcPr>
            <w:tcW w:w="22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3,669,463</w:t>
            </w:r>
          </w:p>
        </w:tc>
        <w:tc>
          <w:tcPr>
            <w:tcW w:w="20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8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3.8</w:t>
            </w:r>
          </w:p>
        </w:tc>
        <w:tc>
          <w:tcPr>
            <w:tcW w:w="260" w:type="dxa"/>
            <w:vAlign w:val="bottom"/>
            <w:tcBorders>
              <w:top w:val="single" w:sz="8" w:color="CCFFCC"/>
            </w:tcBorders>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120" w:type="dxa"/>
            <w:vAlign w:val="bottom"/>
            <w:tcBorders>
              <w:top w:val="single" w:sz="8" w:color="CCFFCC"/>
            </w:tcBorders>
            <w:shd w:val="clear" w:color="auto" w:fill="CCFFCC"/>
          </w:tcPr>
          <w:p>
            <w:pPr>
              <w:spacing w:after="0"/>
              <w:rPr>
                <w:sz w:val="12"/>
                <w:szCs w:val="12"/>
                <w:color w:val="auto"/>
              </w:rPr>
            </w:pPr>
          </w:p>
        </w:tc>
        <w:tc>
          <w:tcPr>
            <w:tcW w:w="8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29.5</w:t>
            </w:r>
          </w:p>
        </w:tc>
        <w:tc>
          <w:tcPr>
            <w:tcW w:w="16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gridSpan w:val="3"/>
            <w:shd w:val="clear" w:color="auto" w:fill="CCFFCC"/>
          </w:tcPr>
          <w:p>
            <w:pPr>
              <w:spacing w:after="0" w:line="149" w:lineRule="exact"/>
              <w:rPr>
                <w:sz w:val="20"/>
                <w:szCs w:val="20"/>
                <w:color w:val="auto"/>
              </w:rPr>
            </w:pPr>
            <w:r>
              <w:rPr>
                <w:rFonts w:ascii="Arial" w:cs="Arial" w:eastAsia="Arial" w:hAnsi="Arial"/>
                <w:sz w:val="14"/>
                <w:szCs w:val="14"/>
                <w:color w:val="auto"/>
              </w:rPr>
              <w:t>Tier I (5)</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2,830,737</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2,801,815</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1,834,731</w:t>
            </w:r>
          </w:p>
        </w:tc>
        <w:tc>
          <w:tcPr>
            <w:tcW w:w="200" w:type="dxa"/>
            <w:vAlign w:val="bottom"/>
            <w:shd w:val="clear" w:color="auto" w:fill="CCFFCC"/>
          </w:tcPr>
          <w:p>
            <w:pPr>
              <w:spacing w:after="0"/>
              <w:rPr>
                <w:sz w:val="12"/>
                <w:szCs w:val="12"/>
                <w:color w:val="auto"/>
              </w:rPr>
            </w:pPr>
          </w:p>
        </w:tc>
        <w:tc>
          <w:tcPr>
            <w:tcW w:w="1260" w:type="dxa"/>
            <w:vAlign w:val="bottom"/>
            <w:gridSpan w:val="3"/>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1.0%</w:t>
            </w:r>
          </w:p>
        </w:tc>
        <w:tc>
          <w:tcPr>
            <w:tcW w:w="116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20" w:type="dxa"/>
            <w:vAlign w:val="bottom"/>
            <w:gridSpan w:val="3"/>
          </w:tcPr>
          <w:p>
            <w:pPr>
              <w:spacing w:after="0"/>
              <w:rPr>
                <w:sz w:val="20"/>
                <w:szCs w:val="20"/>
                <w:color w:val="auto"/>
              </w:rPr>
            </w:pPr>
            <w:r>
              <w:rPr>
                <w:rFonts w:ascii="Arial" w:cs="Arial" w:eastAsia="Arial" w:hAnsi="Arial"/>
                <w:sz w:val="14"/>
                <w:szCs w:val="14"/>
                <w:color w:val="auto"/>
              </w:rPr>
              <w:t>Tier II (6) + Tier III (7)</w:t>
            </w:r>
          </w:p>
        </w:tc>
        <w:tc>
          <w:tcPr>
            <w:tcW w:w="900" w:type="dxa"/>
            <w:vAlign w:val="bottom"/>
          </w:tcPr>
          <w:p>
            <w:pPr>
              <w:jc w:val="right"/>
              <w:spacing w:after="0"/>
              <w:rPr>
                <w:sz w:val="20"/>
                <w:szCs w:val="20"/>
                <w:color w:val="auto"/>
              </w:rPr>
            </w:pPr>
            <w:r>
              <w:rPr>
                <w:rFonts w:ascii="Arial" w:cs="Arial" w:eastAsia="Arial" w:hAnsi="Arial"/>
                <w:sz w:val="14"/>
                <w:szCs w:val="14"/>
                <w:color w:val="auto"/>
              </w:rPr>
              <w:t>1,921,994</w:t>
            </w:r>
          </w:p>
        </w:tc>
        <w:tc>
          <w:tcPr>
            <w:tcW w:w="2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1,776,178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1,834,731</w:t>
            </w:r>
          </w:p>
        </w:tc>
        <w:tc>
          <w:tcPr>
            <w:tcW w:w="200" w:type="dxa"/>
            <w:vAlign w:val="bottom"/>
          </w:tcPr>
          <w:p>
            <w:pPr>
              <w:spacing w:after="0"/>
              <w:rPr>
                <w:sz w:val="14"/>
                <w:szCs w:val="14"/>
                <w:color w:val="auto"/>
              </w:rPr>
            </w:pPr>
          </w:p>
        </w:tc>
        <w:tc>
          <w:tcPr>
            <w:tcW w:w="1260" w:type="dxa"/>
            <w:vAlign w:val="bottom"/>
            <w:gridSpan w:val="3"/>
          </w:tcPr>
          <w:p>
            <w:pPr>
              <w:jc w:val="right"/>
              <w:ind w:right="68"/>
              <w:spacing w:after="0"/>
              <w:rPr>
                <w:sz w:val="20"/>
                <w:szCs w:val="20"/>
                <w:color w:val="auto"/>
              </w:rPr>
            </w:pPr>
            <w:r>
              <w:rPr>
                <w:rFonts w:ascii="Arial" w:cs="Arial" w:eastAsia="Arial" w:hAnsi="Arial"/>
                <w:sz w:val="14"/>
                <w:szCs w:val="14"/>
                <w:color w:val="auto"/>
              </w:rPr>
              <w:t>8.2%</w:t>
            </w:r>
          </w:p>
        </w:tc>
        <w:tc>
          <w:tcPr>
            <w:tcW w:w="1160" w:type="dxa"/>
            <w:vAlign w:val="bottom"/>
            <w:gridSpan w:val="3"/>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02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0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880" w:type="dxa"/>
            <w:vAlign w:val="bottom"/>
            <w:tcBorders>
              <w:top w:val="single" w:sz="8" w:color="auto"/>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880" w:type="dxa"/>
            <w:vAlign w:val="bottom"/>
            <w:tcBorders>
              <w:top w:val="single" w:sz="8" w:color="auto"/>
            </w:tcBorders>
            <w:shd w:val="clear" w:color="auto" w:fill="CCFFCC"/>
          </w:tcPr>
          <w:p>
            <w:pPr>
              <w:spacing w:after="0"/>
              <w:rPr>
                <w:sz w:val="12"/>
                <w:szCs w:val="12"/>
                <w:color w:val="auto"/>
              </w:rPr>
            </w:pPr>
          </w:p>
        </w:tc>
        <w:tc>
          <w:tcPr>
            <w:tcW w:w="16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gridSpan w:val="3"/>
          </w:tcPr>
          <w:p>
            <w:pPr>
              <w:spacing w:after="0" w:line="149" w:lineRule="exact"/>
              <w:rPr>
                <w:sz w:val="20"/>
                <w:szCs w:val="20"/>
                <w:color w:val="auto"/>
              </w:rPr>
            </w:pPr>
            <w:r>
              <w:rPr>
                <w:rFonts w:ascii="Arial" w:cs="Arial" w:eastAsia="Arial" w:hAnsi="Arial"/>
                <w:sz w:val="14"/>
                <w:szCs w:val="14"/>
                <w:color w:val="auto"/>
              </w:rPr>
              <w:t>Financial Consolidated Group (FCG) Regulatory Capital Requirements</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3,476,635</w:t>
            </w:r>
          </w:p>
        </w:tc>
        <w:tc>
          <w:tcPr>
            <w:tcW w:w="22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3,367,681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2,452,058</w:t>
            </w:r>
          </w:p>
        </w:tc>
        <w:tc>
          <w:tcPr>
            <w:tcW w:w="200" w:type="dxa"/>
            <w:vAlign w:val="bottom"/>
          </w:tcPr>
          <w:p>
            <w:pPr>
              <w:spacing w:after="0"/>
              <w:rPr>
                <w:sz w:val="12"/>
                <w:szCs w:val="12"/>
                <w:color w:val="auto"/>
              </w:rPr>
            </w:pPr>
          </w:p>
        </w:tc>
        <w:tc>
          <w:tcPr>
            <w:tcW w:w="126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3.2%</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3"/>
            <w:shd w:val="clear" w:color="auto" w:fill="CCFFCC"/>
          </w:tcPr>
          <w:p>
            <w:pPr>
              <w:spacing w:after="0" w:line="149" w:lineRule="exact"/>
              <w:rPr>
                <w:sz w:val="20"/>
                <w:szCs w:val="20"/>
                <w:color w:val="auto"/>
              </w:rPr>
            </w:pPr>
            <w:r>
              <w:rPr>
                <w:rFonts w:ascii="Arial" w:cs="Arial" w:eastAsia="Arial" w:hAnsi="Arial"/>
                <w:sz w:val="14"/>
                <w:szCs w:val="14"/>
                <w:color w:val="auto"/>
              </w:rPr>
              <w:t>Insurance Consolidated Group (ICG) Capital Requirements</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294,896</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274,620</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231,416</w:t>
            </w:r>
          </w:p>
        </w:tc>
        <w:tc>
          <w:tcPr>
            <w:tcW w:w="200" w:type="dxa"/>
            <w:vAlign w:val="bottom"/>
            <w:shd w:val="clear" w:color="auto" w:fill="CCFFCC"/>
          </w:tcPr>
          <w:p>
            <w:pPr>
              <w:spacing w:after="0"/>
              <w:rPr>
                <w:sz w:val="12"/>
                <w:szCs w:val="12"/>
                <w:color w:val="auto"/>
              </w:rPr>
            </w:pPr>
          </w:p>
        </w:tc>
        <w:tc>
          <w:tcPr>
            <w:tcW w:w="1260" w:type="dxa"/>
            <w:vAlign w:val="bottom"/>
            <w:gridSpan w:val="3"/>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7.4%</w:t>
            </w:r>
          </w:p>
        </w:tc>
        <w:tc>
          <w:tcPr>
            <w:tcW w:w="116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3"/>
          </w:tcPr>
          <w:p>
            <w:pPr>
              <w:spacing w:after="0" w:line="149" w:lineRule="exact"/>
              <w:rPr>
                <w:sz w:val="20"/>
                <w:szCs w:val="20"/>
                <w:color w:val="auto"/>
              </w:rPr>
            </w:pPr>
            <w:r>
              <w:rPr>
                <w:rFonts w:ascii="Arial" w:cs="Arial" w:eastAsia="Arial" w:hAnsi="Arial"/>
                <w:sz w:val="14"/>
                <w:szCs w:val="14"/>
                <w:color w:val="auto"/>
              </w:rPr>
              <w:t>FCG Capital Requirements related to operations with ICG (8)</w:t>
            </w: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(48,136)</w:t>
            </w:r>
          </w:p>
        </w:tc>
        <w:tc>
          <w:tcPr>
            <w:tcW w:w="12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(24,179)</w:t>
            </w:r>
          </w:p>
        </w:tc>
        <w:tc>
          <w:tcPr>
            <w:tcW w:w="10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(24,363)</w:t>
            </w:r>
          </w:p>
        </w:tc>
        <w:tc>
          <w:tcPr>
            <w:tcW w:w="126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99.1%</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97.6%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2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ICG Capital Requirements related to operations with FCG(9)</w:t>
            </w: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Borders>
              <w:bottom w:val="single" w:sz="8" w:color="CCFFCC"/>
            </w:tcBorders>
            <w:gridSpan w:val="3"/>
          </w:tcPr>
          <w:p>
            <w:pPr>
              <w:spacing w:after="0" w:line="142" w:lineRule="exact"/>
              <w:rPr>
                <w:sz w:val="20"/>
                <w:szCs w:val="20"/>
                <w:color w:val="auto"/>
              </w:rPr>
            </w:pPr>
            <w:r>
              <w:rPr>
                <w:rFonts w:ascii="Arial" w:cs="Arial" w:eastAsia="Arial" w:hAnsi="Arial"/>
                <w:sz w:val="14"/>
                <w:szCs w:val="14"/>
                <w:b w:val="1"/>
                <w:bCs w:val="1"/>
                <w:color w:val="auto"/>
              </w:rPr>
              <w:t>Total Regulatory Capital Requirements (B)</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3,642,674</w:t>
            </w:r>
          </w:p>
        </w:tc>
        <w:tc>
          <w:tcPr>
            <w:tcW w:w="220" w:type="dxa"/>
            <w:vAlign w:val="bottom"/>
            <w:tcBorders>
              <w:bottom w:val="single" w:sz="8" w:color="CCFFCC"/>
            </w:tcBorders>
          </w:tcPr>
          <w:p>
            <w:pPr>
              <w:spacing w:after="0"/>
              <w:rPr>
                <w:sz w:val="12"/>
                <w:szCs w:val="12"/>
                <w:color w:val="auto"/>
              </w:rPr>
            </w:pPr>
          </w:p>
        </w:tc>
        <w:tc>
          <w:tcPr>
            <w:tcW w:w="100" w:type="dxa"/>
            <w:vAlign w:val="bottom"/>
            <w:tcBorders>
              <w:bottom w:val="single" w:sz="8" w:color="CCFFCC"/>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3,723,395</w:t>
            </w:r>
          </w:p>
        </w:tc>
        <w:tc>
          <w:tcPr>
            <w:tcW w:w="220" w:type="dxa"/>
            <w:vAlign w:val="bottom"/>
            <w:tcBorders>
              <w:bottom w:val="single" w:sz="8" w:color="CCFFCC"/>
            </w:tcBorders>
          </w:tcPr>
          <w:p>
            <w:pPr>
              <w:spacing w:after="0"/>
              <w:rPr>
                <w:sz w:val="12"/>
                <w:szCs w:val="12"/>
                <w:color w:val="auto"/>
              </w:rPr>
            </w:pPr>
          </w:p>
        </w:tc>
        <w:tc>
          <w:tcPr>
            <w:tcW w:w="100" w:type="dxa"/>
            <w:vAlign w:val="bottom"/>
            <w:tcBorders>
              <w:bottom w:val="single" w:sz="8" w:color="CCFFCC"/>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2,915,077</w:t>
            </w:r>
          </w:p>
        </w:tc>
        <w:tc>
          <w:tcPr>
            <w:tcW w:w="20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-2.2</w:t>
            </w:r>
          </w:p>
        </w:tc>
        <w:tc>
          <w:tcPr>
            <w:tcW w:w="260" w:type="dxa"/>
            <w:vAlign w:val="bottom"/>
            <w:tcBorders>
              <w:bottom w:val="single" w:sz="8" w:color="CCFFCC"/>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120" w:type="dxa"/>
            <w:vAlign w:val="bottom"/>
            <w:tcBorders>
              <w:bottom w:val="single" w:sz="8" w:color="CCFFCC"/>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25.0</w:t>
            </w:r>
          </w:p>
        </w:tc>
        <w:tc>
          <w:tcPr>
            <w:tcW w:w="160" w:type="dxa"/>
            <w:vAlign w:val="bottom"/>
            <w:tcBorders>
              <w:bottom w:val="single" w:sz="8" w:color="CCFFCC"/>
            </w:tcBorders>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gridSpan w:val="3"/>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Regulatory Capital Ratio (A) / (B)</w:t>
            </w:r>
          </w:p>
        </w:tc>
        <w:tc>
          <w:tcPr>
            <w:tcW w:w="90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1.30</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1.23</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1.26</w:t>
            </w: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6.1</w:t>
            </w:r>
          </w:p>
        </w:tc>
        <w:tc>
          <w:tcPr>
            <w:tcW w:w="260" w:type="dxa"/>
            <w:vAlign w:val="bottom"/>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120" w:type="dxa"/>
            <w:vAlign w:val="bottom"/>
            <w:shd w:val="clear" w:color="auto" w:fill="CCFFCC"/>
          </w:tcPr>
          <w:p>
            <w:pPr>
              <w:spacing w:after="0"/>
              <w:rPr>
                <w:sz w:val="12"/>
                <w:szCs w:val="12"/>
                <w:color w:val="auto"/>
              </w:rPr>
            </w:pPr>
          </w:p>
        </w:tc>
        <w:tc>
          <w:tcPr>
            <w:tcW w:w="8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3.7</w:t>
            </w:r>
          </w:p>
        </w:tc>
        <w:tc>
          <w:tcPr>
            <w:tcW w:w="1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20" w:type="dxa"/>
            <w:vAlign w:val="bottom"/>
            <w:gridSpan w:val="3"/>
          </w:tcPr>
          <w:p>
            <w:pPr>
              <w:spacing w:after="0"/>
              <w:rPr>
                <w:sz w:val="20"/>
                <w:szCs w:val="20"/>
                <w:color w:val="auto"/>
              </w:rPr>
            </w:pPr>
            <w:r>
              <w:rPr>
                <w:rFonts w:ascii="Arial" w:cs="Arial" w:eastAsia="Arial" w:hAnsi="Arial"/>
                <w:sz w:val="14"/>
                <w:szCs w:val="14"/>
                <w:b w:val="1"/>
                <w:bCs w:val="1"/>
                <w:color w:val="auto"/>
              </w:rPr>
              <w:t>Required Regulatory Capital Ratio (10)</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-8890</wp:posOffset>
            </wp:positionV>
            <wp:extent cx="2109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ind w:left="420" w:hanging="250"/>
        <w:spacing w:after="0"/>
        <w:tabs>
          <w:tab w:leader="none" w:pos="42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Legal and Other capital reserves include restricted capital reserves (US$ 2,458 MM) and optional capital reserves ( US$436 MM).</w:t>
      </w:r>
    </w:p>
    <w:p>
      <w:pPr>
        <w:spacing w:after="0" w:line="7" w:lineRule="exact"/>
        <w:rPr>
          <w:rFonts w:ascii="Arial" w:cs="Arial" w:eastAsia="Arial" w:hAnsi="Arial"/>
          <w:sz w:val="18"/>
          <w:szCs w:val="18"/>
          <w:i w:val="1"/>
          <w:iCs w:val="1"/>
          <w:color w:val="auto"/>
        </w:rPr>
      </w:pPr>
    </w:p>
    <w:p>
      <w:pPr>
        <w:ind w:left="180" w:right="180" w:hanging="10"/>
        <w:spacing w:after="0" w:line="250" w:lineRule="auto"/>
        <w:tabs>
          <w:tab w:leader="none" w:pos="43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Minority Interest includes USD103.6 MM from minority interest Tier I capital stock and reserves and USD0.1MM from minority interest tier II capital stock and reserves.</w:t>
      </w:r>
    </w:p>
    <w:p>
      <w:pPr>
        <w:ind w:left="180" w:right="500" w:hanging="10"/>
        <w:spacing w:after="0" w:line="250" w:lineRule="auto"/>
        <w:tabs>
          <w:tab w:leader="none" w:pos="43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Up to 1.25% of total risk-weighted assets of Banco de Crédito del Perú, Solución Empresa Administradora Hipotecaria, Financiera Edyficar and Atlantic Security Bank.</w:t>
      </w:r>
    </w:p>
    <w:p>
      <w:pPr>
        <w:ind w:left="420" w:hanging="250"/>
        <w:spacing w:after="0"/>
        <w:tabs>
          <w:tab w:leader="none" w:pos="42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Tier II + Tier III can not be more than 50% of total regulatory capital.</w:t>
      </w:r>
    </w:p>
    <w:p>
      <w:pPr>
        <w:spacing w:after="0" w:line="9" w:lineRule="exact"/>
        <w:rPr>
          <w:rFonts w:ascii="Arial" w:cs="Arial" w:eastAsia="Arial" w:hAnsi="Arial"/>
          <w:sz w:val="18"/>
          <w:szCs w:val="18"/>
          <w:i w:val="1"/>
          <w:iCs w:val="1"/>
          <w:color w:val="auto"/>
        </w:rPr>
      </w:pPr>
    </w:p>
    <w:p>
      <w:pPr>
        <w:ind w:left="420" w:hanging="250"/>
        <w:spacing w:after="0"/>
        <w:tabs>
          <w:tab w:leader="none" w:pos="42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Tier II = Capital + Restricted capital Reserves + tier I capital stock and reserves from minority interest.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 Goodwill - (0.5 x Investment in equity and subordinated debt of financial and insurance companies) + Perpetual subordinated debt</w:t>
      </w:r>
    </w:p>
    <w:p>
      <w:pPr>
        <w:spacing w:after="0" w:line="9" w:lineRule="exact"/>
        <w:rPr>
          <w:sz w:val="20"/>
          <w:szCs w:val="20"/>
          <w:color w:val="auto"/>
        </w:rPr>
      </w:pPr>
    </w:p>
    <w:p>
      <w:pPr>
        <w:ind w:left="180" w:right="340" w:hanging="10"/>
        <w:spacing w:after="0" w:line="250" w:lineRule="auto"/>
        <w:tabs>
          <w:tab w:leader="none" w:pos="43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Tier II = Subordinated debt + minority interest tier II capital stock and reserves + Loan loss reserves - (0.5 x Investment in equity and subordinated debt of financial and insurance companies).</w:t>
      </w:r>
    </w:p>
    <w:p>
      <w:pPr>
        <w:ind w:left="420" w:hanging="250"/>
        <w:spacing w:after="0"/>
        <w:tabs>
          <w:tab w:leader="none" w:pos="4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Tier III = Subordinated debt covering market risk only.</w:t>
      </w:r>
    </w:p>
    <w:p>
      <w:pPr>
        <w:spacing w:after="0" w:line="9" w:lineRule="exact"/>
        <w:rPr>
          <w:rFonts w:ascii="Arial" w:cs="Arial" w:eastAsia="Arial" w:hAnsi="Arial"/>
          <w:sz w:val="18"/>
          <w:szCs w:val="18"/>
          <w:i w:val="1"/>
          <w:iCs w:val="1"/>
          <w:color w:val="auto"/>
        </w:rPr>
      </w:pPr>
    </w:p>
    <w:p>
      <w:pPr>
        <w:ind w:left="420" w:hanging="250"/>
        <w:spacing w:after="0"/>
        <w:tabs>
          <w:tab w:leader="none" w:pos="4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regulatory capital requirements of the financial consolidated group.</w:t>
      </w:r>
    </w:p>
    <w:p>
      <w:pPr>
        <w:spacing w:after="0" w:line="9" w:lineRule="exact"/>
        <w:rPr>
          <w:rFonts w:ascii="Arial" w:cs="Arial" w:eastAsia="Arial" w:hAnsi="Arial"/>
          <w:sz w:val="18"/>
          <w:szCs w:val="18"/>
          <w:i w:val="1"/>
          <w:iCs w:val="1"/>
          <w:color w:val="auto"/>
        </w:rPr>
      </w:pPr>
    </w:p>
    <w:p>
      <w:pPr>
        <w:ind w:left="420" w:hanging="250"/>
        <w:spacing w:after="0"/>
        <w:tabs>
          <w:tab w:leader="none" w:pos="4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regulatory capital requirements of the insurance consolidated group.</w:t>
      </w:r>
    </w:p>
    <w:p>
      <w:pPr>
        <w:spacing w:after="0" w:line="9" w:lineRule="exact"/>
        <w:rPr>
          <w:rFonts w:ascii="Arial" w:cs="Arial" w:eastAsia="Arial" w:hAnsi="Arial"/>
          <w:sz w:val="18"/>
          <w:szCs w:val="18"/>
          <w:i w:val="1"/>
          <w:iCs w:val="1"/>
          <w:color w:val="auto"/>
        </w:rPr>
      </w:pPr>
    </w:p>
    <w:p>
      <w:pPr>
        <w:ind w:left="520" w:hanging="350"/>
        <w:spacing w:after="0"/>
        <w:tabs>
          <w:tab w:leader="none" w:pos="5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Regulatory Capital / Total Regulatory Capital Requirements (legal minimum = 1.00).</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the table indicates, in general terms Credicorp has maintained a comfortable capitalization level as a holding that is equivalent to 1.30 times the capital required by the Peruvian regulator. This ratio, which is higher than that reported at the end of 1Q13, was primarily due to: (i) the +12.7% increases in subordinated debt following the issuance of US$ 170 million in the international market in the month of April; (ii) a decrease in the market value of some of Credicorp’s investments, which translates into a smaller deduction when calculating cash equity; and (iii) the -2.2% QoQ decrease in the group’s capital requirements, which is due primarily to a reduction in the financial system’s consolidated requirement due to the devaluation of the Nuevo Sol in 2Q13.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It is also important to note that Tier 1 represents 59.6% of Credicorp’s total regulatory capital.</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table shows that the largest capital requirement (93.5%) comes from the financial business; BCP’s banking business represents 72.6% of this figure.</w:t>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586" w:gutter="0" w:footer="0" w:header="0"/>
        </w:sectPr>
      </w:pPr>
    </w:p>
    <w:bookmarkStart w:id="8" w:name="page9"/>
    <w:bookmarkEnd w:id="8"/>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line="277" w:lineRule="auto"/>
        <w:rPr>
          <w:sz w:val="20"/>
          <w:szCs w:val="20"/>
          <w:color w:val="auto"/>
        </w:rPr>
      </w:pPr>
      <w:r>
        <w:rPr>
          <w:rFonts w:ascii="Arial" w:cs="Arial" w:eastAsia="Arial" w:hAnsi="Arial"/>
          <w:sz w:val="18"/>
          <w:szCs w:val="18"/>
          <w:color w:val="auto"/>
        </w:rPr>
        <w:t>Credicorp’s capacity to generate income, coupled with its policy for earnings capitalization, dividend distribution, and reserves has ensured that the organization has the capital that it needs to expand its businesses.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Finally, it is important to note that Credicorp has considerable investments that it can liquidate to increase its regulatory capital by approximately US$ 600 million.</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 w:name="page10"/>
    <w:bookmarkEnd w:id="9"/>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II. Banco de Crédito del Perú Consolidated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2Q13</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banking business registered an excellent performance but this was overshadowed by the impact of a 7.5% devaluation of the Nuevo Sol against the US Dollar in 2Q13. This effect not only led to a translation loss of US$ 63.4 million, a loss of US$ 32.9 million on forwards contracts, and an additional income tax of US$ 13.5 million, but also hid the excellent evolution of the local currency (LC) component of the business’s main lines. If we were to exclude the effect of the devaluation on the aforementioned lines, net income in 2Q13 totaled US$ 136.3 with an ROAE of 20.3% (vs. US$ 26.5 million in net income and 4.0% ROAE as reported).</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6"/>
          </w:tcPr>
          <w:p>
            <w:pPr>
              <w:ind w:left="580"/>
              <w:spacing w:after="0"/>
              <w:rPr>
                <w:sz w:val="20"/>
                <w:szCs w:val="20"/>
                <w:color w:val="auto"/>
              </w:rPr>
            </w:pPr>
            <w:r>
              <w:rPr>
                <w:rFonts w:ascii="Arial" w:cs="Arial" w:eastAsia="Arial" w:hAnsi="Arial"/>
                <w:sz w:val="14"/>
                <w:szCs w:val="14"/>
                <w:b w:val="1"/>
                <w:bCs w:val="1"/>
                <w:color w:val="auto"/>
              </w:rPr>
              <w:t>2T13 Part. %</w:t>
            </w:r>
          </w:p>
        </w:tc>
        <w:tc>
          <w:tcPr>
            <w:tcW w:w="1480" w:type="dxa"/>
            <w:vAlign w:val="bottom"/>
            <w:gridSpan w:val="4"/>
            <w:vMerge w:val="restart"/>
          </w:tcPr>
          <w:p>
            <w:pPr>
              <w:ind w:left="500"/>
              <w:spacing w:after="0"/>
              <w:rPr>
                <w:sz w:val="20"/>
                <w:szCs w:val="20"/>
                <w:color w:val="auto"/>
              </w:rPr>
            </w:pPr>
            <w:r>
              <w:rPr>
                <w:rFonts w:ascii="Arial" w:cs="Arial" w:eastAsia="Arial" w:hAnsi="Arial"/>
                <w:sz w:val="14"/>
                <w:szCs w:val="14"/>
                <w:b w:val="1"/>
                <w:bCs w:val="1"/>
                <w:color w:val="auto"/>
                <w:w w:val="94"/>
              </w:rPr>
              <w:t>Local Currency</w:t>
            </w:r>
          </w:p>
        </w:tc>
        <w:tc>
          <w:tcPr>
            <w:tcW w:w="1140" w:type="dxa"/>
            <w:vAlign w:val="bottom"/>
            <w:gridSpan w:val="4"/>
          </w:tcPr>
          <w:p>
            <w:pPr>
              <w:ind w:left="420"/>
              <w:spacing w:after="0"/>
              <w:rPr>
                <w:sz w:val="20"/>
                <w:szCs w:val="20"/>
                <w:color w:val="auto"/>
              </w:rPr>
            </w:pPr>
            <w:r>
              <w:rPr>
                <w:rFonts w:ascii="Arial" w:cs="Arial" w:eastAsia="Arial" w:hAnsi="Arial"/>
                <w:sz w:val="14"/>
                <w:szCs w:val="14"/>
                <w:b w:val="1"/>
                <w:bCs w:val="1"/>
                <w:color w:val="auto"/>
              </w:rPr>
              <w:t>Change %</w:t>
            </w:r>
          </w:p>
        </w:tc>
        <w:tc>
          <w:tcPr>
            <w:tcW w:w="2080" w:type="dxa"/>
            <w:vAlign w:val="bottom"/>
            <w:gridSpan w:val="6"/>
            <w:vMerge w:val="restart"/>
          </w:tcPr>
          <w:p>
            <w:pPr>
              <w:jc w:val="right"/>
              <w:ind w:right="700"/>
              <w:spacing w:after="0"/>
              <w:rPr>
                <w:sz w:val="20"/>
                <w:szCs w:val="20"/>
                <w:color w:val="auto"/>
              </w:rPr>
            </w:pPr>
            <w:r>
              <w:rPr>
                <w:rFonts w:ascii="Arial" w:cs="Arial" w:eastAsia="Arial" w:hAnsi="Arial"/>
                <w:sz w:val="14"/>
                <w:szCs w:val="14"/>
                <w:b w:val="1"/>
                <w:bCs w:val="1"/>
                <w:color w:val="auto"/>
              </w:rPr>
              <w:t>Foreign Currency</w:t>
            </w:r>
          </w:p>
        </w:tc>
        <w:tc>
          <w:tcPr>
            <w:tcW w:w="0" w:type="dxa"/>
            <w:vAlign w:val="bottom"/>
          </w:tcPr>
          <w:p>
            <w:pPr>
              <w:spacing w:after="0"/>
              <w:rPr>
                <w:sz w:val="1"/>
                <w:szCs w:val="1"/>
                <w:color w:val="auto"/>
              </w:rPr>
            </w:pPr>
          </w:p>
        </w:tc>
      </w:tr>
      <w:tr>
        <w:trPr>
          <w:trHeight w:val="162"/>
        </w:trPr>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8"/>
              </w:rPr>
              <w:t>Local</w:t>
            </w:r>
          </w:p>
        </w:tc>
        <w:tc>
          <w:tcPr>
            <w:tcW w:w="12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3"/>
              </w:rPr>
              <w:t>Foreign</w:t>
            </w:r>
          </w:p>
        </w:tc>
        <w:tc>
          <w:tcPr>
            <w:tcW w:w="1480" w:type="dxa"/>
            <w:vAlign w:val="bottom"/>
            <w:gridSpan w:val="4"/>
            <w:vMerge w:val="continue"/>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Foreign Currency Position BCP</w:t>
            </w:r>
          </w:p>
        </w:tc>
        <w:tc>
          <w:tcPr>
            <w:tcW w:w="100" w:type="dxa"/>
            <w:vAlign w:val="bottom"/>
            <w:tcBorders>
              <w:bottom w:val="single" w:sz="8" w:color="CCFFC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7"/>
              </w:rPr>
              <w:t>Currency</w:t>
            </w:r>
          </w:p>
        </w:tc>
        <w:tc>
          <w:tcPr>
            <w:tcW w:w="240" w:type="dxa"/>
            <w:vAlign w:val="bottom"/>
            <w:tcBorders>
              <w:bottom w:val="single" w:sz="8" w:color="CCFFC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Currency</w:t>
            </w:r>
          </w:p>
        </w:tc>
        <w:tc>
          <w:tcPr>
            <w:tcW w:w="220" w:type="dxa"/>
            <w:vAlign w:val="bottom"/>
            <w:tcBorders>
              <w:bottom w:val="single" w:sz="8" w:color="CCFFC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FFCC"/>
            </w:tcBorders>
          </w:tcPr>
          <w:p>
            <w:pPr>
              <w:spacing w:after="0"/>
              <w:rPr>
                <w:sz w:val="14"/>
                <w:szCs w:val="14"/>
                <w:color w:val="auto"/>
              </w:rPr>
            </w:pPr>
          </w:p>
        </w:tc>
        <w:tc>
          <w:tcPr>
            <w:tcW w:w="360" w:type="dxa"/>
            <w:vAlign w:val="bottom"/>
            <w:tcBorders>
              <w:bottom w:val="single" w:sz="8" w:color="auto"/>
            </w:tcBorders>
            <w:gridSpan w:val="2"/>
          </w:tcPr>
          <w:p>
            <w:pPr>
              <w:spacing w:after="0"/>
              <w:rPr>
                <w:sz w:val="14"/>
                <w:szCs w:val="14"/>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YoY</w:t>
            </w:r>
          </w:p>
        </w:tc>
        <w:tc>
          <w:tcPr>
            <w:tcW w:w="220" w:type="dxa"/>
            <w:vAlign w:val="bottom"/>
            <w:tcBorders>
              <w:bottom w:val="single" w:sz="8" w:color="CCFFCC"/>
            </w:tcBorders>
          </w:tcPr>
          <w:p>
            <w:pPr>
              <w:spacing w:after="0"/>
              <w:rPr>
                <w:sz w:val="14"/>
                <w:szCs w:val="14"/>
                <w:color w:val="auto"/>
              </w:rPr>
            </w:pPr>
          </w:p>
        </w:tc>
        <w:tc>
          <w:tcPr>
            <w:tcW w:w="280" w:type="dxa"/>
            <w:vAlign w:val="bottom"/>
            <w:tcBorders>
              <w:bottom w:val="single" w:sz="8" w:color="auto"/>
            </w:tcBorders>
            <w:gridSpan w:val="2"/>
          </w:tcPr>
          <w:p>
            <w:pPr>
              <w:spacing w:after="0"/>
              <w:rPr>
                <w:sz w:val="14"/>
                <w:szCs w:val="14"/>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FFC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YoY</w:t>
            </w:r>
          </w:p>
        </w:tc>
        <w:tc>
          <w:tcPr>
            <w:tcW w:w="120" w:type="dxa"/>
            <w:vAlign w:val="bottom"/>
            <w:tcBorders>
              <w:bottom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2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Net Interest income</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88.8%</w:t>
            </w:r>
          </w:p>
        </w:tc>
        <w:tc>
          <w:tcPr>
            <w:tcW w:w="1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11.2%</w:t>
            </w: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8.0%</w:t>
            </w:r>
          </w:p>
        </w:tc>
        <w:tc>
          <w:tcPr>
            <w:tcW w:w="1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20.3%</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-36.1%</w:t>
            </w:r>
          </w:p>
        </w:tc>
        <w:tc>
          <w:tcPr>
            <w:tcW w:w="100" w:type="dxa"/>
            <w:vAlign w:val="bottom"/>
            <w:shd w:val="clear" w:color="auto" w:fill="CCFFCC"/>
          </w:tcPr>
          <w:p>
            <w:pPr>
              <w:spacing w:after="0"/>
              <w:rPr>
                <w:sz w:val="12"/>
                <w:szCs w:val="12"/>
                <w:color w:val="auto"/>
              </w:rPr>
            </w:pPr>
          </w:p>
        </w:tc>
        <w:tc>
          <w:tcPr>
            <w:tcW w:w="1020" w:type="dxa"/>
            <w:vAlign w:val="bottom"/>
            <w:gridSpan w:val="3"/>
            <w:shd w:val="clear" w:color="auto" w:fill="CCFFCC"/>
          </w:tcPr>
          <w:p>
            <w:pPr>
              <w:jc w:val="right"/>
              <w:ind w:right="20"/>
              <w:spacing w:after="0" w:line="142" w:lineRule="exact"/>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149"/>
        </w:trPr>
        <w:tc>
          <w:tcPr>
            <w:tcW w:w="4040" w:type="dxa"/>
            <w:vAlign w:val="bottom"/>
            <w:gridSpan w:val="3"/>
          </w:tcPr>
          <w:p>
            <w:pPr>
              <w:spacing w:after="0" w:line="149" w:lineRule="exact"/>
              <w:rPr>
                <w:sz w:val="20"/>
                <w:szCs w:val="20"/>
                <w:color w:val="auto"/>
              </w:rPr>
            </w:pPr>
            <w:r>
              <w:rPr>
                <w:rFonts w:ascii="Arial" w:cs="Arial" w:eastAsia="Arial" w:hAnsi="Arial"/>
                <w:sz w:val="14"/>
                <w:szCs w:val="14"/>
                <w:color w:val="auto"/>
              </w:rPr>
              <w:t>Net provisiones for loan losses</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93.4%</w:t>
            </w:r>
          </w:p>
        </w:tc>
        <w:tc>
          <w:tcPr>
            <w:tcW w:w="10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6.6%</w:t>
            </w:r>
          </w:p>
        </w:tc>
        <w:tc>
          <w:tcPr>
            <w:tcW w:w="12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19.1%</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33.6%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-1747.8%</w:t>
            </w:r>
          </w:p>
        </w:tc>
        <w:tc>
          <w:tcPr>
            <w:tcW w:w="100" w:type="dxa"/>
            <w:vAlign w:val="bottom"/>
          </w:tcPr>
          <w:p>
            <w:pPr>
              <w:spacing w:after="0"/>
              <w:rPr>
                <w:sz w:val="12"/>
                <w:szCs w:val="12"/>
                <w:color w:val="auto"/>
              </w:rPr>
            </w:pPr>
          </w:p>
        </w:tc>
        <w:tc>
          <w:tcPr>
            <w:tcW w:w="10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-75.1%</w:t>
            </w:r>
          </w:p>
        </w:tc>
        <w:tc>
          <w:tcPr>
            <w:tcW w:w="0" w:type="dxa"/>
            <w:vAlign w:val="bottom"/>
          </w:tcPr>
          <w:p>
            <w:pPr>
              <w:spacing w:after="0"/>
              <w:rPr>
                <w:sz w:val="1"/>
                <w:szCs w:val="1"/>
                <w:color w:val="auto"/>
              </w:rPr>
            </w:pPr>
          </w:p>
        </w:tc>
      </w:tr>
      <w:tr>
        <w:trPr>
          <w:trHeight w:val="149"/>
        </w:trPr>
        <w:tc>
          <w:tcPr>
            <w:tcW w:w="4040" w:type="dxa"/>
            <w:vAlign w:val="bottom"/>
            <w:gridSpan w:val="3"/>
            <w:shd w:val="clear" w:color="auto" w:fill="CCFFCC"/>
          </w:tcPr>
          <w:p>
            <w:pPr>
              <w:spacing w:after="0" w:line="149" w:lineRule="exact"/>
              <w:rPr>
                <w:sz w:val="20"/>
                <w:szCs w:val="20"/>
                <w:color w:val="auto"/>
              </w:rPr>
            </w:pPr>
            <w:r>
              <w:rPr>
                <w:rFonts w:ascii="Arial" w:cs="Arial" w:eastAsia="Arial" w:hAnsi="Arial"/>
                <w:sz w:val="14"/>
                <w:szCs w:val="14"/>
                <w:color w:val="auto"/>
              </w:rPr>
              <w:t>Non financial income</w:t>
            </w:r>
          </w:p>
        </w:tc>
        <w:tc>
          <w:tcPr>
            <w:tcW w:w="11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73.8%</w:t>
            </w:r>
          </w:p>
        </w:tc>
        <w:tc>
          <w:tcPr>
            <w:tcW w:w="1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26.2%</w:t>
            </w: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17.5%</w:t>
            </w:r>
          </w:p>
        </w:tc>
        <w:tc>
          <w:tcPr>
            <w:tcW w:w="1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17.8%</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-0.7%</w:t>
            </w:r>
          </w:p>
        </w:tc>
        <w:tc>
          <w:tcPr>
            <w:tcW w:w="100" w:type="dxa"/>
            <w:vAlign w:val="bottom"/>
            <w:shd w:val="clear" w:color="auto" w:fill="CCFFCC"/>
          </w:tcPr>
          <w:p>
            <w:pPr>
              <w:spacing w:after="0"/>
              <w:rPr>
                <w:sz w:val="12"/>
                <w:szCs w:val="12"/>
                <w:color w:val="auto"/>
              </w:rPr>
            </w:pPr>
          </w:p>
        </w:tc>
        <w:tc>
          <w:tcPr>
            <w:tcW w:w="1020" w:type="dxa"/>
            <w:vAlign w:val="bottom"/>
            <w:gridSpan w:val="3"/>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62"/>
        </w:trPr>
        <w:tc>
          <w:tcPr>
            <w:tcW w:w="4040" w:type="dxa"/>
            <w:vAlign w:val="bottom"/>
            <w:gridSpan w:val="3"/>
          </w:tcPr>
          <w:p>
            <w:pPr>
              <w:spacing w:after="0"/>
              <w:rPr>
                <w:sz w:val="20"/>
                <w:szCs w:val="20"/>
                <w:color w:val="auto"/>
              </w:rPr>
            </w:pPr>
            <w:r>
              <w:rPr>
                <w:rFonts w:ascii="Arial" w:cs="Arial" w:eastAsia="Arial" w:hAnsi="Arial"/>
                <w:sz w:val="14"/>
                <w:szCs w:val="14"/>
                <w:color w:val="auto"/>
              </w:rPr>
              <w:t>Operating expenses</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69.9%</w:t>
            </w:r>
          </w:p>
        </w:tc>
        <w:tc>
          <w:tcPr>
            <w:tcW w:w="10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30.1%</w:t>
            </w: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14"/>
                <w:szCs w:val="14"/>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4"/>
                <w:szCs w:val="14"/>
                <w:color w:val="auto"/>
              </w:rPr>
              <w:t>67.6%</w:t>
            </w:r>
          </w:p>
        </w:tc>
        <w:tc>
          <w:tcPr>
            <w:tcW w:w="0" w:type="dxa"/>
            <w:vAlign w:val="bottom"/>
          </w:tcPr>
          <w:p>
            <w:pPr>
              <w:spacing w:after="0"/>
              <w:rPr>
                <w:sz w:val="1"/>
                <w:szCs w:val="1"/>
                <w:color w:val="auto"/>
              </w:rPr>
            </w:pPr>
          </w:p>
        </w:tc>
      </w:tr>
      <w:tr>
        <w:trPr>
          <w:trHeight w:val="20"/>
        </w:trPr>
        <w:tc>
          <w:tcPr>
            <w:tcW w:w="4040" w:type="dxa"/>
            <w:vAlign w:val="bottom"/>
            <w:gridSpan w:val="3"/>
            <w:vMerge w:val="restart"/>
            <w:shd w:val="clear" w:color="auto" w:fill="CCFFCC"/>
          </w:tcPr>
          <w:p>
            <w:pPr>
              <w:spacing w:after="0"/>
              <w:rPr>
                <w:sz w:val="20"/>
                <w:szCs w:val="20"/>
                <w:color w:val="auto"/>
              </w:rPr>
            </w:pPr>
            <w:r>
              <w:rPr>
                <w:rFonts w:ascii="Arial" w:cs="Arial" w:eastAsia="Arial" w:hAnsi="Arial"/>
                <w:sz w:val="14"/>
                <w:szCs w:val="14"/>
                <w:color w:val="auto"/>
              </w:rPr>
              <w:t>Total Loans</w:t>
            </w: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40" w:type="dxa"/>
            <w:vAlign w:val="bottom"/>
            <w:gridSpan w:val="3"/>
            <w:vMerge w:val="continue"/>
            <w:shd w:val="clear" w:color="auto" w:fill="CCFFCC"/>
          </w:tcPr>
          <w:p>
            <w:pPr>
              <w:spacing w:after="0"/>
              <w:rPr>
                <w:sz w:val="12"/>
                <w:szCs w:val="12"/>
                <w:color w:val="auto"/>
              </w:rPr>
            </w:pPr>
          </w:p>
        </w:tc>
        <w:tc>
          <w:tcPr>
            <w:tcW w:w="112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44.7%</w:t>
            </w:r>
          </w:p>
        </w:tc>
        <w:tc>
          <w:tcPr>
            <w:tcW w:w="1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55.3%</w:t>
            </w: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5.8%</w:t>
            </w:r>
          </w:p>
        </w:tc>
        <w:tc>
          <w:tcPr>
            <w:tcW w:w="1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22.5%</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-0.7%</w:t>
            </w:r>
          </w:p>
        </w:tc>
        <w:tc>
          <w:tcPr>
            <w:tcW w:w="100" w:type="dxa"/>
            <w:vAlign w:val="bottom"/>
            <w:shd w:val="clear" w:color="auto" w:fill="CCFFCC"/>
          </w:tcPr>
          <w:p>
            <w:pPr>
              <w:spacing w:after="0"/>
              <w:rPr>
                <w:sz w:val="12"/>
                <w:szCs w:val="12"/>
                <w:color w:val="auto"/>
              </w:rPr>
            </w:pPr>
          </w:p>
        </w:tc>
        <w:tc>
          <w:tcPr>
            <w:tcW w:w="1020" w:type="dxa"/>
            <w:vAlign w:val="bottom"/>
            <w:gridSpan w:val="3"/>
            <w:shd w:val="clear" w:color="auto" w:fill="CCFFCC"/>
          </w:tcPr>
          <w:p>
            <w:pPr>
              <w:jc w:val="right"/>
              <w:ind w:right="20"/>
              <w:spacing w:after="0" w:line="142"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9"/>
        </w:trPr>
        <w:tc>
          <w:tcPr>
            <w:tcW w:w="4040" w:type="dxa"/>
            <w:vAlign w:val="bottom"/>
            <w:gridSpan w:val="3"/>
          </w:tcPr>
          <w:p>
            <w:pPr>
              <w:spacing w:after="0" w:line="149" w:lineRule="exact"/>
              <w:rPr>
                <w:sz w:val="20"/>
                <w:szCs w:val="20"/>
                <w:color w:val="auto"/>
              </w:rPr>
            </w:pPr>
            <w:r>
              <w:rPr>
                <w:rFonts w:ascii="Arial" w:cs="Arial" w:eastAsia="Arial" w:hAnsi="Arial"/>
                <w:sz w:val="14"/>
                <w:szCs w:val="14"/>
                <w:color w:val="auto"/>
              </w:rPr>
              <w:t>Total Assets</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46.9%</w:t>
            </w:r>
          </w:p>
        </w:tc>
        <w:tc>
          <w:tcPr>
            <w:tcW w:w="10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53.1%</w:t>
            </w:r>
          </w:p>
        </w:tc>
        <w:tc>
          <w:tcPr>
            <w:tcW w:w="12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-7.4%</w:t>
            </w:r>
          </w:p>
        </w:tc>
        <w:tc>
          <w:tcPr>
            <w:tcW w:w="100" w:type="dxa"/>
            <w:vAlign w:val="bottom"/>
          </w:tcPr>
          <w:p>
            <w:pPr>
              <w:spacing w:after="0"/>
              <w:rPr>
                <w:sz w:val="12"/>
                <w:szCs w:val="12"/>
                <w:color w:val="auto"/>
              </w:rPr>
            </w:pPr>
          </w:p>
        </w:tc>
        <w:tc>
          <w:tcPr>
            <w:tcW w:w="10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49"/>
        </w:trPr>
        <w:tc>
          <w:tcPr>
            <w:tcW w:w="4040" w:type="dxa"/>
            <w:vAlign w:val="bottom"/>
            <w:gridSpan w:val="3"/>
            <w:shd w:val="clear" w:color="auto" w:fill="CCFFCC"/>
          </w:tcPr>
          <w:p>
            <w:pPr>
              <w:spacing w:after="0" w:line="149" w:lineRule="exact"/>
              <w:rPr>
                <w:sz w:val="20"/>
                <w:szCs w:val="20"/>
                <w:color w:val="auto"/>
              </w:rPr>
            </w:pPr>
            <w:r>
              <w:rPr>
                <w:rFonts w:ascii="Arial" w:cs="Arial" w:eastAsia="Arial" w:hAnsi="Arial"/>
                <w:sz w:val="14"/>
                <w:szCs w:val="14"/>
                <w:color w:val="auto"/>
              </w:rPr>
              <w:t>Total Deposits</w:t>
            </w:r>
          </w:p>
        </w:tc>
        <w:tc>
          <w:tcPr>
            <w:tcW w:w="11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54.7%</w:t>
            </w:r>
          </w:p>
        </w:tc>
        <w:tc>
          <w:tcPr>
            <w:tcW w:w="1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45.3%</w:t>
            </w: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-1.8%</w:t>
            </w:r>
          </w:p>
        </w:tc>
        <w:tc>
          <w:tcPr>
            <w:tcW w:w="1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22.6%</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-5.4%</w:t>
            </w:r>
          </w:p>
        </w:tc>
        <w:tc>
          <w:tcPr>
            <w:tcW w:w="100" w:type="dxa"/>
            <w:vAlign w:val="bottom"/>
            <w:shd w:val="clear" w:color="auto" w:fill="CCFFCC"/>
          </w:tcPr>
          <w:p>
            <w:pPr>
              <w:spacing w:after="0"/>
              <w:rPr>
                <w:sz w:val="12"/>
                <w:szCs w:val="12"/>
                <w:color w:val="auto"/>
              </w:rPr>
            </w:pPr>
          </w:p>
        </w:tc>
        <w:tc>
          <w:tcPr>
            <w:tcW w:w="1020" w:type="dxa"/>
            <w:vAlign w:val="bottom"/>
            <w:gridSpan w:val="3"/>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62"/>
        </w:trPr>
        <w:tc>
          <w:tcPr>
            <w:tcW w:w="4040" w:type="dxa"/>
            <w:vAlign w:val="bottom"/>
            <w:gridSpan w:val="3"/>
          </w:tcPr>
          <w:p>
            <w:pPr>
              <w:spacing w:after="0"/>
              <w:rPr>
                <w:sz w:val="20"/>
                <w:szCs w:val="20"/>
                <w:color w:val="auto"/>
              </w:rPr>
            </w:pPr>
            <w:r>
              <w:rPr>
                <w:rFonts w:ascii="Arial" w:cs="Arial" w:eastAsia="Arial" w:hAnsi="Arial"/>
                <w:sz w:val="14"/>
                <w:szCs w:val="14"/>
                <w:color w:val="auto"/>
              </w:rPr>
              <w:t>Total Liabilities</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48.1%</w:t>
            </w:r>
          </w:p>
        </w:tc>
        <w:tc>
          <w:tcPr>
            <w:tcW w:w="10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51.9%</w:t>
            </w: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23.2%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4"/>
                <w:szCs w:val="14"/>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Good business evolution this Q was reflected in:</w:t>
      </w:r>
    </w:p>
    <w:p>
      <w:pPr>
        <w:spacing w:after="0" w:line="225" w:lineRule="exact"/>
        <w:rPr>
          <w:sz w:val="20"/>
          <w:szCs w:val="20"/>
          <w:color w:val="auto"/>
        </w:rPr>
      </w:pPr>
    </w:p>
    <w:p>
      <w:pPr>
        <w:jc w:val="both"/>
        <w:ind w:left="1280" w:hanging="381"/>
        <w:spacing w:after="0" w:line="302" w:lineRule="auto"/>
        <w:tabs>
          <w:tab w:leader="none" w:pos="12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Adjusted NII in LC, which represents 83.9% of total adjusted NII, expanded +4.7% QoQ and +20.4% YoY, if we exclude the valuation of derivatives impacted by the devaluation of the Nuevo Sol (Other income and Other expenses). This outstanding performance was in line with the excellent dynamic seen the loan portfolio. Nevertheless, the effect of the devaluation of the Nuevo Sol; the contraction of -8.7% QoQ in adjusted NII in foreign currency (FC); and the aforementioned valuation of derivatives explain the -1.6% QoQ decline in NII.</w:t>
      </w:r>
    </w:p>
    <w:p>
      <w:pPr>
        <w:spacing w:after="0" w:line="154" w:lineRule="exact"/>
        <w:rPr>
          <w:rFonts w:ascii="Arial" w:cs="Arial" w:eastAsia="Arial" w:hAnsi="Arial"/>
          <w:sz w:val="16"/>
          <w:szCs w:val="16"/>
          <w:color w:val="auto"/>
        </w:rPr>
      </w:pPr>
    </w:p>
    <w:p>
      <w:pPr>
        <w:jc w:val="both"/>
        <w:ind w:left="1280" w:hanging="381"/>
        <w:spacing w:after="0" w:line="259" w:lineRule="auto"/>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Banking service fees and gains on foreign currency transactions evolved very favorably and posted growth of 7.4% and 12.1% QoQ, respectively, despite the fact that 67.7% and 82.7% of these components, respectively, are generated in LC. The aforementioned was offset by a net loss on sales of securities (-US$ 27.0 million), which was primarily attributable to the performance of sovereign bonds in Latin America.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helped attenuate:</w:t>
      </w:r>
    </w:p>
    <w:p>
      <w:pPr>
        <w:spacing w:after="0" w:line="225" w:lineRule="exact"/>
        <w:rPr>
          <w:sz w:val="20"/>
          <w:szCs w:val="20"/>
          <w:color w:val="auto"/>
        </w:rPr>
      </w:pPr>
    </w:p>
    <w:p>
      <w:pPr>
        <w:ind w:left="1280" w:hanging="381"/>
        <w:spacing w:after="0" w:line="308" w:lineRule="auto"/>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21.8% increase in provisions for loan losses, which was linked primarily with higher delinquency in the SME segment as well as an increase charge offs (US$ 72.9 million in 2Q13 vs US$ 59.3 million in 1Q13), which increased the provision stock by 2% QoQ.</w:t>
      </w:r>
    </w:p>
    <w:p>
      <w:pPr>
        <w:spacing w:after="0" w:line="146" w:lineRule="exact"/>
        <w:rPr>
          <w:rFonts w:ascii="Arial" w:cs="Arial" w:eastAsia="Arial" w:hAnsi="Arial"/>
          <w:sz w:val="17"/>
          <w:szCs w:val="17"/>
          <w:color w:val="auto"/>
        </w:rPr>
      </w:pPr>
    </w:p>
    <w:p>
      <w:pPr>
        <w:ind w:left="1280" w:hanging="381"/>
        <w:spacing w:after="0" w:line="308" w:lineRule="auto"/>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+7.0% QoQ expansion in operating expenses due to an increase in administrative and other expenses; the latter was associated with the loss generated by Correval’s sale to Credicorp Capital, which is neutral in the consolidation of Credicorp subsidiaries’ results.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important to note that the NIM on loans expanded 9 bps QoQ, going from 8.10% to 8.19% at the end of 2Q13. This is clear evidence that the loan business is performing well given that this increase also includes the significant impact of a devaluation of the Nuevo Sol on proportionally higher income in LC.</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terms of operating efficiency, the efficiency ratio was situated at 49.3%. This figure is only slightly above the 48.7% reported in 1Q13 because the +1.7% QoQ increase in core income attenuated the increase in operating expenses.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 w:name="page11"/>
    <w:bookmarkEnd w:id="10"/>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162"/>
        </w:trPr>
        <w:tc>
          <w:tcPr>
            <w:tcW w:w="3620" w:type="dxa"/>
            <w:vAlign w:val="bottom"/>
            <w:gridSpan w:val="2"/>
          </w:tcPr>
          <w:p>
            <w:pPr>
              <w:spacing w:after="0"/>
              <w:rPr>
                <w:sz w:val="20"/>
                <w:szCs w:val="20"/>
                <w:color w:val="auto"/>
              </w:rPr>
            </w:pPr>
            <w:r>
              <w:rPr>
                <w:rFonts w:ascii="Arial" w:cs="Arial" w:eastAsia="Arial" w:hAnsi="Arial"/>
                <w:sz w:val="14"/>
                <w:szCs w:val="14"/>
                <w:b w:val="1"/>
                <w:bCs w:val="1"/>
                <w:color w:val="auto"/>
              </w:rPr>
              <w:t>Banco de Credito and Subsidiaries</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5"/>
          </w:tcPr>
          <w:p>
            <w:pPr>
              <w:jc w:val="right"/>
              <w:ind w:right="598"/>
              <w:spacing w:after="0"/>
              <w:rPr>
                <w:sz w:val="20"/>
                <w:szCs w:val="20"/>
                <w:color w:val="auto"/>
              </w:rPr>
            </w:pPr>
            <w:r>
              <w:rPr>
                <w:rFonts w:ascii="Arial" w:cs="Arial" w:eastAsia="Arial" w:hAnsi="Arial"/>
                <w:sz w:val="14"/>
                <w:szCs w:val="14"/>
                <w:b w:val="1"/>
                <w:bCs w:val="1"/>
                <w:color w:val="auto"/>
              </w:rPr>
              <w:t>Change %</w:t>
            </w:r>
          </w:p>
        </w:tc>
        <w:tc>
          <w:tcPr>
            <w:tcW w:w="80" w:type="dxa"/>
            <w:vAlign w:val="bottom"/>
          </w:tcPr>
          <w:p>
            <w:pPr>
              <w:spacing w:after="0"/>
              <w:rPr>
                <w:sz w:val="14"/>
                <w:szCs w:val="14"/>
                <w:color w:val="auto"/>
              </w:rPr>
            </w:pPr>
          </w:p>
        </w:tc>
        <w:tc>
          <w:tcPr>
            <w:tcW w:w="18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Year to date</w:t>
            </w:r>
          </w:p>
        </w:tc>
        <w:tc>
          <w:tcPr>
            <w:tcW w:w="108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71"/>
        </w:trPr>
        <w:tc>
          <w:tcPr>
            <w:tcW w:w="3520" w:type="dxa"/>
            <w:vAlign w:val="bottom"/>
          </w:tcPr>
          <w:p>
            <w:pPr>
              <w:spacing w:after="0"/>
              <w:rPr>
                <w:sz w:val="20"/>
                <w:szCs w:val="20"/>
                <w:color w:val="auto"/>
              </w:rPr>
            </w:pPr>
            <w:r>
              <w:rPr>
                <w:rFonts w:ascii="Arial" w:cs="Arial" w:eastAsia="Arial" w:hAnsi="Arial"/>
                <w:sz w:val="14"/>
                <w:szCs w:val="14"/>
                <w:color w:val="auto"/>
              </w:rPr>
              <w:t>US$ 000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Arial" w:cs="Arial" w:eastAsia="Arial" w:hAnsi="Arial"/>
                <w:sz w:val="14"/>
                <w:szCs w:val="14"/>
                <w:b w:val="1"/>
                <w:bCs w:val="1"/>
                <w:color w:val="auto"/>
              </w:rPr>
              <w:t>2Q13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Arial" w:cs="Arial" w:eastAsia="Arial" w:hAnsi="Arial"/>
                <w:sz w:val="14"/>
                <w:szCs w:val="14"/>
                <w:b w:val="1"/>
                <w:bCs w:val="1"/>
                <w:color w:val="auto"/>
              </w:rPr>
              <w:t>1Q13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Arial" w:cs="Arial" w:eastAsia="Arial" w:hAnsi="Arial"/>
                <w:sz w:val="14"/>
                <w:szCs w:val="14"/>
                <w:b w:val="1"/>
                <w:bCs w:val="1"/>
                <w:color w:val="auto"/>
              </w:rPr>
              <w:t>2Q12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b w:val="1"/>
                <w:bCs w:val="1"/>
                <w:color w:val="auto"/>
              </w:rPr>
              <w:t>QoQ</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128"/>
              <w:spacing w:after="0"/>
              <w:rPr>
                <w:sz w:val="20"/>
                <w:szCs w:val="20"/>
                <w:color w:val="auto"/>
              </w:rPr>
            </w:pPr>
            <w:r>
              <w:rPr>
                <w:rFonts w:ascii="Arial" w:cs="Arial" w:eastAsia="Arial" w:hAnsi="Arial"/>
                <w:sz w:val="14"/>
                <w:szCs w:val="14"/>
                <w:b w:val="1"/>
                <w:bCs w:val="1"/>
                <w:color w:val="auto"/>
              </w:rPr>
              <w:t>YoY</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b w:val="1"/>
                <w:bCs w:val="1"/>
                <w:color w:val="auto"/>
              </w:rPr>
              <w:t>Jun 13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b w:val="1"/>
                <w:bCs w:val="1"/>
                <w:color w:val="auto"/>
              </w:rPr>
              <w:t>Jun 12</w:t>
            </w:r>
          </w:p>
        </w:tc>
        <w:tc>
          <w:tcPr>
            <w:tcW w:w="220" w:type="dxa"/>
            <w:vAlign w:val="bottom"/>
          </w:tcPr>
          <w:p>
            <w:pPr>
              <w:spacing w:after="0"/>
              <w:rPr>
                <w:sz w:val="14"/>
                <w:szCs w:val="14"/>
                <w:color w:val="auto"/>
              </w:rPr>
            </w:pPr>
          </w:p>
        </w:tc>
        <w:tc>
          <w:tcPr>
            <w:tcW w:w="108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w w:val="89"/>
              </w:rPr>
              <w:t>Jun 13 / Jun 12</w:t>
            </w:r>
          </w:p>
        </w:tc>
        <w:tc>
          <w:tcPr>
            <w:tcW w:w="0" w:type="dxa"/>
            <w:vAlign w:val="bottom"/>
          </w:tcPr>
          <w:p>
            <w:pPr>
              <w:spacing w:after="0"/>
              <w:rPr>
                <w:sz w:val="1"/>
                <w:szCs w:val="1"/>
                <w:color w:val="auto"/>
              </w:rPr>
            </w:pPr>
          </w:p>
        </w:tc>
      </w:tr>
      <w:tr>
        <w:trPr>
          <w:trHeight w:val="20"/>
        </w:trPr>
        <w:tc>
          <w:tcPr>
            <w:tcW w:w="35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FFCC"/>
            </w:tcBorders>
            <w:shd w:val="clear" w:color="auto" w:fill="CCFFCC"/>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2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Net financial income</w:t>
            </w:r>
          </w:p>
        </w:tc>
        <w:tc>
          <w:tcPr>
            <w:tcW w:w="100" w:type="dxa"/>
            <w:vAlign w:val="bottom"/>
            <w:vMerge w:val="continue"/>
            <w:shd w:val="clear" w:color="auto" w:fill="CCFFCC"/>
          </w:tcPr>
          <w:p>
            <w:pPr>
              <w:spacing w:after="0"/>
              <w:rPr>
                <w:sz w:val="12"/>
                <w:szCs w:val="12"/>
                <w:color w:val="auto"/>
              </w:rPr>
            </w:pPr>
          </w:p>
        </w:tc>
        <w:tc>
          <w:tcPr>
            <w:tcW w:w="74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405,388</w:t>
            </w:r>
          </w:p>
        </w:tc>
        <w:tc>
          <w:tcPr>
            <w:tcW w:w="22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411,908</w:t>
            </w:r>
          </w:p>
        </w:tc>
        <w:tc>
          <w:tcPr>
            <w:tcW w:w="22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355,261</w:t>
            </w:r>
          </w:p>
        </w:tc>
        <w:tc>
          <w:tcPr>
            <w:tcW w:w="2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-1.6%</w:t>
            </w:r>
          </w:p>
        </w:tc>
        <w:tc>
          <w:tcPr>
            <w:tcW w:w="10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78"/>
              <w:spacing w:after="0" w:line="142" w:lineRule="exact"/>
              <w:rPr>
                <w:sz w:val="20"/>
                <w:szCs w:val="20"/>
                <w:color w:val="auto"/>
              </w:rPr>
            </w:pPr>
            <w:r>
              <w:rPr>
                <w:rFonts w:ascii="Arial" w:cs="Arial" w:eastAsia="Arial" w:hAnsi="Arial"/>
                <w:sz w:val="14"/>
                <w:szCs w:val="14"/>
                <w:color w:val="auto"/>
              </w:rPr>
              <w:t>14.1%</w:t>
            </w:r>
          </w:p>
        </w:tc>
        <w:tc>
          <w:tcPr>
            <w:tcW w:w="74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817,296</w:t>
            </w:r>
          </w:p>
        </w:tc>
        <w:tc>
          <w:tcPr>
            <w:tcW w:w="22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697,760</w:t>
            </w:r>
          </w:p>
        </w:tc>
        <w:tc>
          <w:tcPr>
            <w:tcW w:w="220" w:type="dxa"/>
            <w:vAlign w:val="bottom"/>
            <w:tcBorders>
              <w:right w:val="single" w:sz="8" w:color="CCFFCC"/>
            </w:tcBorders>
            <w:shd w:val="clear" w:color="auto" w:fill="CCFFCC"/>
          </w:tcPr>
          <w:p>
            <w:pPr>
              <w:spacing w:after="0"/>
              <w:rPr>
                <w:sz w:val="12"/>
                <w:szCs w:val="12"/>
                <w:color w:val="auto"/>
              </w:rPr>
            </w:pPr>
          </w:p>
        </w:tc>
        <w:tc>
          <w:tcPr>
            <w:tcW w:w="1080" w:type="dxa"/>
            <w:vAlign w:val="bottom"/>
            <w:gridSpan w:val="3"/>
            <w:shd w:val="clear" w:color="auto" w:fill="CCFFCC"/>
          </w:tcPr>
          <w:p>
            <w:pPr>
              <w:jc w:val="right"/>
              <w:spacing w:after="0" w:line="142" w:lineRule="exact"/>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49"/>
        </w:trPr>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Total provisions for loan loasses</w:t>
            </w:r>
          </w:p>
        </w:tc>
        <w:tc>
          <w:tcPr>
            <w:tcW w:w="9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(115,288)</w:t>
            </w:r>
          </w:p>
        </w:tc>
        <w:tc>
          <w:tcPr>
            <w:tcW w:w="9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(94,673)</w:t>
            </w:r>
          </w:p>
        </w:tc>
        <w:tc>
          <w:tcPr>
            <w:tcW w:w="9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(111,091)</w:t>
            </w:r>
          </w:p>
        </w:tc>
        <w:tc>
          <w:tcPr>
            <w:tcW w:w="80" w:type="dxa"/>
            <w:vAlign w:val="bottom"/>
          </w:tcPr>
          <w:p>
            <w:pPr>
              <w:spacing w:after="0"/>
              <w:rPr>
                <w:sz w:val="12"/>
                <w:szCs w:val="12"/>
                <w:color w:val="auto"/>
              </w:rPr>
            </w:pPr>
          </w:p>
        </w:tc>
        <w:tc>
          <w:tcPr>
            <w:tcW w:w="7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21.8%</w:t>
            </w:r>
          </w:p>
        </w:tc>
        <w:tc>
          <w:tcPr>
            <w:tcW w:w="100" w:type="dxa"/>
            <w:vAlign w:val="bottom"/>
          </w:tcPr>
          <w:p>
            <w:pPr>
              <w:spacing w:after="0"/>
              <w:rPr>
                <w:sz w:val="12"/>
                <w:szCs w:val="12"/>
                <w:color w:val="auto"/>
              </w:rPr>
            </w:pPr>
          </w:p>
        </w:tc>
        <w:tc>
          <w:tcPr>
            <w:tcW w:w="780" w:type="dxa"/>
            <w:vAlign w:val="bottom"/>
            <w:gridSpan w:val="2"/>
          </w:tcPr>
          <w:p>
            <w:pPr>
              <w:jc w:val="right"/>
              <w:ind w:right="78"/>
              <w:spacing w:after="0" w:line="149" w:lineRule="exact"/>
              <w:rPr>
                <w:sz w:val="20"/>
                <w:szCs w:val="20"/>
                <w:color w:val="auto"/>
              </w:rPr>
            </w:pPr>
            <w:r>
              <w:rPr>
                <w:rFonts w:ascii="Arial" w:cs="Arial" w:eastAsia="Arial" w:hAnsi="Arial"/>
                <w:sz w:val="14"/>
                <w:szCs w:val="14"/>
                <w:color w:val="auto"/>
              </w:rPr>
              <w:t>3.8%</w:t>
            </w:r>
          </w:p>
        </w:tc>
        <w:tc>
          <w:tcPr>
            <w:tcW w:w="9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(209,961)</w:t>
            </w:r>
          </w:p>
        </w:tc>
        <w:tc>
          <w:tcPr>
            <w:tcW w:w="9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(180,933)</w:t>
            </w:r>
          </w:p>
        </w:tc>
        <w:tc>
          <w:tcPr>
            <w:tcW w:w="10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49"/>
        </w:trPr>
        <w:tc>
          <w:tcPr>
            <w:tcW w:w="36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Non financial income</w:t>
            </w:r>
          </w:p>
        </w:tc>
        <w:tc>
          <w:tcPr>
            <w:tcW w:w="7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192,604</w:t>
            </w:r>
          </w:p>
        </w:tc>
        <w:tc>
          <w:tcPr>
            <w:tcW w:w="22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211,110</w:t>
            </w:r>
          </w:p>
        </w:tc>
        <w:tc>
          <w:tcPr>
            <w:tcW w:w="22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206,387</w:t>
            </w:r>
          </w:p>
        </w:tc>
        <w:tc>
          <w:tcPr>
            <w:tcW w:w="2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-8.8%</w:t>
            </w:r>
          </w:p>
        </w:tc>
        <w:tc>
          <w:tcPr>
            <w:tcW w:w="10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78"/>
              <w:spacing w:after="0" w:line="149" w:lineRule="exact"/>
              <w:rPr>
                <w:sz w:val="20"/>
                <w:szCs w:val="20"/>
                <w:color w:val="auto"/>
              </w:rPr>
            </w:pPr>
            <w:r>
              <w:rPr>
                <w:rFonts w:ascii="Arial" w:cs="Arial" w:eastAsia="Arial" w:hAnsi="Arial"/>
                <w:sz w:val="14"/>
                <w:szCs w:val="14"/>
                <w:color w:val="auto"/>
              </w:rPr>
              <w:t>-6.7%</w:t>
            </w:r>
          </w:p>
        </w:tc>
        <w:tc>
          <w:tcPr>
            <w:tcW w:w="7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403,714</w:t>
            </w:r>
          </w:p>
        </w:tc>
        <w:tc>
          <w:tcPr>
            <w:tcW w:w="22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405,086</w:t>
            </w:r>
          </w:p>
        </w:tc>
        <w:tc>
          <w:tcPr>
            <w:tcW w:w="220" w:type="dxa"/>
            <w:vAlign w:val="bottom"/>
            <w:tcBorders>
              <w:right w:val="single" w:sz="8" w:color="CCFFCC"/>
            </w:tcBorders>
            <w:shd w:val="clear" w:color="auto" w:fill="CCFFCC"/>
          </w:tcPr>
          <w:p>
            <w:pPr>
              <w:spacing w:after="0"/>
              <w:rPr>
                <w:sz w:val="12"/>
                <w:szCs w:val="12"/>
                <w:color w:val="auto"/>
              </w:rPr>
            </w:pPr>
          </w:p>
        </w:tc>
        <w:tc>
          <w:tcPr>
            <w:tcW w:w="108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Operating expenses (1)</w:t>
            </w:r>
          </w:p>
        </w:tc>
        <w:tc>
          <w:tcPr>
            <w:tcW w:w="9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(329,881)</w:t>
            </w:r>
          </w:p>
        </w:tc>
        <w:tc>
          <w:tcPr>
            <w:tcW w:w="9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(308,392)</w:t>
            </w:r>
          </w:p>
        </w:tc>
        <w:tc>
          <w:tcPr>
            <w:tcW w:w="9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(271,650)</w:t>
            </w:r>
          </w:p>
        </w:tc>
        <w:tc>
          <w:tcPr>
            <w:tcW w:w="80" w:type="dxa"/>
            <w:vAlign w:val="bottom"/>
          </w:tcPr>
          <w:p>
            <w:pPr>
              <w:spacing w:after="0"/>
              <w:rPr>
                <w:sz w:val="12"/>
                <w:szCs w:val="12"/>
                <w:color w:val="auto"/>
              </w:rPr>
            </w:pPr>
          </w:p>
        </w:tc>
        <w:tc>
          <w:tcPr>
            <w:tcW w:w="7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7.0%</w:t>
            </w:r>
          </w:p>
        </w:tc>
        <w:tc>
          <w:tcPr>
            <w:tcW w:w="100" w:type="dxa"/>
            <w:vAlign w:val="bottom"/>
          </w:tcPr>
          <w:p>
            <w:pPr>
              <w:spacing w:after="0"/>
              <w:rPr>
                <w:sz w:val="12"/>
                <w:szCs w:val="12"/>
                <w:color w:val="auto"/>
              </w:rPr>
            </w:pPr>
          </w:p>
        </w:tc>
        <w:tc>
          <w:tcPr>
            <w:tcW w:w="780" w:type="dxa"/>
            <w:vAlign w:val="bottom"/>
            <w:gridSpan w:val="2"/>
          </w:tcPr>
          <w:p>
            <w:pPr>
              <w:jc w:val="right"/>
              <w:ind w:right="78"/>
              <w:spacing w:after="0" w:line="149" w:lineRule="exact"/>
              <w:rPr>
                <w:sz w:val="20"/>
                <w:szCs w:val="20"/>
                <w:color w:val="auto"/>
              </w:rPr>
            </w:pPr>
            <w:r>
              <w:rPr>
                <w:rFonts w:ascii="Arial" w:cs="Arial" w:eastAsia="Arial" w:hAnsi="Arial"/>
                <w:sz w:val="14"/>
                <w:szCs w:val="14"/>
                <w:color w:val="auto"/>
              </w:rPr>
              <w:t>21.4%</w:t>
            </w:r>
          </w:p>
        </w:tc>
        <w:tc>
          <w:tcPr>
            <w:tcW w:w="9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(638,273)</w:t>
            </w:r>
          </w:p>
        </w:tc>
        <w:tc>
          <w:tcPr>
            <w:tcW w:w="9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(528,898)</w:t>
            </w:r>
          </w:p>
        </w:tc>
        <w:tc>
          <w:tcPr>
            <w:tcW w:w="10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149"/>
        </w:trPr>
        <w:tc>
          <w:tcPr>
            <w:tcW w:w="36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Operating income (2)</w:t>
            </w:r>
          </w:p>
        </w:tc>
        <w:tc>
          <w:tcPr>
            <w:tcW w:w="7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152,823</w:t>
            </w:r>
          </w:p>
        </w:tc>
        <w:tc>
          <w:tcPr>
            <w:tcW w:w="22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219,953</w:t>
            </w:r>
          </w:p>
        </w:tc>
        <w:tc>
          <w:tcPr>
            <w:tcW w:w="22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178,907</w:t>
            </w:r>
          </w:p>
        </w:tc>
        <w:tc>
          <w:tcPr>
            <w:tcW w:w="2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-30.5%</w:t>
            </w:r>
          </w:p>
        </w:tc>
        <w:tc>
          <w:tcPr>
            <w:tcW w:w="10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78"/>
              <w:spacing w:after="0" w:line="149" w:lineRule="exact"/>
              <w:rPr>
                <w:sz w:val="20"/>
                <w:szCs w:val="20"/>
                <w:color w:val="auto"/>
              </w:rPr>
            </w:pPr>
            <w:r>
              <w:rPr>
                <w:rFonts w:ascii="Arial" w:cs="Arial" w:eastAsia="Arial" w:hAnsi="Arial"/>
                <w:sz w:val="14"/>
                <w:szCs w:val="14"/>
                <w:color w:val="auto"/>
              </w:rPr>
              <w:t>-14.6%</w:t>
            </w:r>
          </w:p>
        </w:tc>
        <w:tc>
          <w:tcPr>
            <w:tcW w:w="7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372,776</w:t>
            </w:r>
          </w:p>
        </w:tc>
        <w:tc>
          <w:tcPr>
            <w:tcW w:w="22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393,015</w:t>
            </w:r>
          </w:p>
        </w:tc>
        <w:tc>
          <w:tcPr>
            <w:tcW w:w="220" w:type="dxa"/>
            <w:vAlign w:val="bottom"/>
            <w:tcBorders>
              <w:right w:val="single" w:sz="8" w:color="CCFFCC"/>
            </w:tcBorders>
            <w:shd w:val="clear" w:color="auto" w:fill="CCFFCC"/>
          </w:tcPr>
          <w:p>
            <w:pPr>
              <w:spacing w:after="0"/>
              <w:rPr>
                <w:sz w:val="12"/>
                <w:szCs w:val="12"/>
                <w:color w:val="auto"/>
              </w:rPr>
            </w:pPr>
          </w:p>
        </w:tc>
        <w:tc>
          <w:tcPr>
            <w:tcW w:w="108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36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Core operating income</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152,823</w:t>
            </w:r>
          </w:p>
        </w:tc>
        <w:tc>
          <w:tcPr>
            <w:tcW w:w="2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219,953</w:t>
            </w:r>
          </w:p>
        </w:tc>
        <w:tc>
          <w:tcPr>
            <w:tcW w:w="2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178,907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-30.5%</w:t>
            </w:r>
          </w:p>
        </w:tc>
        <w:tc>
          <w:tcPr>
            <w:tcW w:w="100" w:type="dxa"/>
            <w:vAlign w:val="bottom"/>
          </w:tcPr>
          <w:p>
            <w:pPr>
              <w:spacing w:after="0"/>
              <w:rPr>
                <w:sz w:val="12"/>
                <w:szCs w:val="12"/>
                <w:color w:val="auto"/>
              </w:rPr>
            </w:pPr>
          </w:p>
        </w:tc>
        <w:tc>
          <w:tcPr>
            <w:tcW w:w="780" w:type="dxa"/>
            <w:vAlign w:val="bottom"/>
            <w:gridSpan w:val="2"/>
          </w:tcPr>
          <w:p>
            <w:pPr>
              <w:jc w:val="right"/>
              <w:ind w:right="78"/>
              <w:spacing w:after="0" w:line="149" w:lineRule="exact"/>
              <w:rPr>
                <w:sz w:val="20"/>
                <w:szCs w:val="20"/>
                <w:color w:val="auto"/>
              </w:rPr>
            </w:pPr>
            <w:r>
              <w:rPr>
                <w:rFonts w:ascii="Arial" w:cs="Arial" w:eastAsia="Arial" w:hAnsi="Arial"/>
                <w:sz w:val="14"/>
                <w:szCs w:val="14"/>
                <w:color w:val="auto"/>
              </w:rPr>
              <w:t>-14.6%</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372,776</w:t>
            </w:r>
          </w:p>
        </w:tc>
        <w:tc>
          <w:tcPr>
            <w:tcW w:w="2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393,015</w:t>
            </w:r>
          </w:p>
        </w:tc>
        <w:tc>
          <w:tcPr>
            <w:tcW w:w="220" w:type="dxa"/>
            <w:vAlign w:val="bottom"/>
          </w:tcPr>
          <w:p>
            <w:pPr>
              <w:spacing w:after="0"/>
              <w:rPr>
                <w:sz w:val="12"/>
                <w:szCs w:val="12"/>
                <w:color w:val="auto"/>
              </w:rPr>
            </w:pPr>
          </w:p>
        </w:tc>
        <w:tc>
          <w:tcPr>
            <w:tcW w:w="10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3620" w:type="dxa"/>
            <w:vAlign w:val="bottom"/>
            <w:gridSpan w:val="2"/>
            <w:shd w:val="clear" w:color="auto" w:fill="CCFFCC"/>
          </w:tcPr>
          <w:p>
            <w:pPr>
              <w:ind w:left="160"/>
              <w:spacing w:after="0" w:line="149" w:lineRule="exact"/>
              <w:rPr>
                <w:sz w:val="20"/>
                <w:szCs w:val="20"/>
                <w:color w:val="auto"/>
              </w:rPr>
            </w:pPr>
            <w:r>
              <w:rPr>
                <w:rFonts w:ascii="Arial" w:cs="Arial" w:eastAsia="Arial" w:hAnsi="Arial"/>
                <w:sz w:val="14"/>
                <w:szCs w:val="14"/>
                <w:color w:val="auto"/>
              </w:rPr>
              <w:t>Non core operating income (3)</w:t>
            </w:r>
          </w:p>
        </w:tc>
        <w:tc>
          <w:tcPr>
            <w:tcW w:w="7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0.0%</w:t>
            </w:r>
          </w:p>
        </w:tc>
        <w:tc>
          <w:tcPr>
            <w:tcW w:w="10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78"/>
              <w:spacing w:after="0" w:line="149" w:lineRule="exact"/>
              <w:rPr>
                <w:sz w:val="20"/>
                <w:szCs w:val="20"/>
                <w:color w:val="auto"/>
              </w:rPr>
            </w:pPr>
            <w:r>
              <w:rPr>
                <w:rFonts w:ascii="Arial" w:cs="Arial" w:eastAsia="Arial" w:hAnsi="Arial"/>
                <w:sz w:val="14"/>
                <w:szCs w:val="14"/>
                <w:color w:val="auto"/>
              </w:rPr>
              <w:t>0.0%</w:t>
            </w:r>
          </w:p>
        </w:tc>
        <w:tc>
          <w:tcPr>
            <w:tcW w:w="7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FFCC"/>
            </w:tcBorders>
            <w:shd w:val="clear" w:color="auto" w:fill="CCFFCC"/>
          </w:tcPr>
          <w:p>
            <w:pPr>
              <w:spacing w:after="0"/>
              <w:rPr>
                <w:sz w:val="12"/>
                <w:szCs w:val="12"/>
                <w:color w:val="auto"/>
              </w:rPr>
            </w:pPr>
          </w:p>
        </w:tc>
        <w:tc>
          <w:tcPr>
            <w:tcW w:w="108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Translation results</w:t>
            </w:r>
          </w:p>
        </w:tc>
        <w:tc>
          <w:tcPr>
            <w:tcW w:w="9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(63,395)</w:t>
            </w:r>
          </w:p>
        </w:tc>
        <w:tc>
          <w:tcPr>
            <w:tcW w:w="9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(15,753)</w:t>
            </w:r>
          </w:p>
        </w:tc>
        <w:tc>
          <w:tcPr>
            <w:tcW w:w="9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(2,988)</w:t>
            </w:r>
          </w:p>
        </w:tc>
        <w:tc>
          <w:tcPr>
            <w:tcW w:w="80" w:type="dxa"/>
            <w:vAlign w:val="bottom"/>
          </w:tcPr>
          <w:p>
            <w:pPr>
              <w:spacing w:after="0"/>
              <w:rPr>
                <w:sz w:val="12"/>
                <w:szCs w:val="12"/>
                <w:color w:val="auto"/>
              </w:rPr>
            </w:pPr>
          </w:p>
        </w:tc>
        <w:tc>
          <w:tcPr>
            <w:tcW w:w="7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302.4%</w:t>
            </w:r>
          </w:p>
        </w:tc>
        <w:tc>
          <w:tcPr>
            <w:tcW w:w="100" w:type="dxa"/>
            <w:vAlign w:val="bottom"/>
          </w:tcPr>
          <w:p>
            <w:pPr>
              <w:spacing w:after="0"/>
              <w:rPr>
                <w:sz w:val="12"/>
                <w:szCs w:val="12"/>
                <w:color w:val="auto"/>
              </w:rPr>
            </w:pPr>
          </w:p>
        </w:tc>
        <w:tc>
          <w:tcPr>
            <w:tcW w:w="780" w:type="dxa"/>
            <w:vAlign w:val="bottom"/>
            <w:gridSpan w:val="2"/>
          </w:tcPr>
          <w:p>
            <w:pPr>
              <w:jc w:val="right"/>
              <w:ind w:right="78"/>
              <w:spacing w:after="0" w:line="149" w:lineRule="exact"/>
              <w:rPr>
                <w:sz w:val="20"/>
                <w:szCs w:val="20"/>
                <w:color w:val="auto"/>
              </w:rPr>
            </w:pPr>
            <w:r>
              <w:rPr>
                <w:rFonts w:ascii="Arial" w:cs="Arial" w:eastAsia="Arial" w:hAnsi="Arial"/>
                <w:sz w:val="14"/>
                <w:szCs w:val="14"/>
                <w:color w:val="auto"/>
              </w:rPr>
              <w:t>2021.7%</w:t>
            </w:r>
          </w:p>
        </w:tc>
        <w:tc>
          <w:tcPr>
            <w:tcW w:w="9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(79,148)</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8,426</w:t>
            </w:r>
          </w:p>
        </w:tc>
        <w:tc>
          <w:tcPr>
            <w:tcW w:w="220" w:type="dxa"/>
            <w:vAlign w:val="bottom"/>
          </w:tcPr>
          <w:p>
            <w:pPr>
              <w:spacing w:after="0"/>
              <w:rPr>
                <w:sz w:val="12"/>
                <w:szCs w:val="12"/>
                <w:color w:val="auto"/>
              </w:rPr>
            </w:pPr>
          </w:p>
        </w:tc>
        <w:tc>
          <w:tcPr>
            <w:tcW w:w="10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-1039.3%</w:t>
            </w:r>
          </w:p>
        </w:tc>
        <w:tc>
          <w:tcPr>
            <w:tcW w:w="0" w:type="dxa"/>
            <w:vAlign w:val="bottom"/>
          </w:tcPr>
          <w:p>
            <w:pPr>
              <w:spacing w:after="0"/>
              <w:rPr>
                <w:sz w:val="1"/>
                <w:szCs w:val="1"/>
                <w:color w:val="auto"/>
              </w:rPr>
            </w:pPr>
          </w:p>
        </w:tc>
      </w:tr>
      <w:tr>
        <w:trPr>
          <w:trHeight w:val="149"/>
        </w:trPr>
        <w:tc>
          <w:tcPr>
            <w:tcW w:w="36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Income taxes</w:t>
            </w:r>
          </w:p>
        </w:tc>
        <w:tc>
          <w:tcPr>
            <w:tcW w:w="960" w:type="dxa"/>
            <w:vAlign w:val="bottom"/>
            <w:gridSpan w:val="3"/>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(62,774)</w:t>
            </w:r>
          </w:p>
        </w:tc>
        <w:tc>
          <w:tcPr>
            <w:tcW w:w="960" w:type="dxa"/>
            <w:vAlign w:val="bottom"/>
            <w:gridSpan w:val="3"/>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(62,042)</w:t>
            </w:r>
          </w:p>
        </w:tc>
        <w:tc>
          <w:tcPr>
            <w:tcW w:w="960" w:type="dxa"/>
            <w:vAlign w:val="bottom"/>
            <w:gridSpan w:val="3"/>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(47,944)</w:t>
            </w:r>
          </w:p>
        </w:tc>
        <w:tc>
          <w:tcPr>
            <w:tcW w:w="8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1.2%</w:t>
            </w:r>
          </w:p>
        </w:tc>
        <w:tc>
          <w:tcPr>
            <w:tcW w:w="10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78"/>
              <w:spacing w:after="0" w:line="149" w:lineRule="exact"/>
              <w:rPr>
                <w:sz w:val="20"/>
                <w:szCs w:val="20"/>
                <w:color w:val="auto"/>
              </w:rPr>
            </w:pPr>
            <w:r>
              <w:rPr>
                <w:rFonts w:ascii="Arial" w:cs="Arial" w:eastAsia="Arial" w:hAnsi="Arial"/>
                <w:sz w:val="14"/>
                <w:szCs w:val="14"/>
                <w:color w:val="auto"/>
              </w:rPr>
              <w:t>30.9%</w:t>
            </w:r>
          </w:p>
        </w:tc>
        <w:tc>
          <w:tcPr>
            <w:tcW w:w="960" w:type="dxa"/>
            <w:vAlign w:val="bottom"/>
            <w:gridSpan w:val="3"/>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(124,816)</w:t>
            </w:r>
          </w:p>
        </w:tc>
        <w:tc>
          <w:tcPr>
            <w:tcW w:w="960" w:type="dxa"/>
            <w:vAlign w:val="bottom"/>
            <w:tcBorders>
              <w:right w:val="single" w:sz="8" w:color="CCFFCC"/>
            </w:tcBorders>
            <w:gridSpan w:val="3"/>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(102,598)</w:t>
            </w:r>
          </w:p>
        </w:tc>
        <w:tc>
          <w:tcPr>
            <w:tcW w:w="108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162"/>
        </w:trPr>
        <w:tc>
          <w:tcPr>
            <w:tcW w:w="3620" w:type="dxa"/>
            <w:vAlign w:val="bottom"/>
            <w:gridSpan w:val="2"/>
          </w:tcPr>
          <w:p>
            <w:pPr>
              <w:spacing w:after="0"/>
              <w:rPr>
                <w:sz w:val="20"/>
                <w:szCs w:val="20"/>
                <w:color w:val="auto"/>
              </w:rPr>
            </w:pPr>
            <w:r>
              <w:rPr>
                <w:rFonts w:ascii="Arial" w:cs="Arial" w:eastAsia="Arial" w:hAnsi="Arial"/>
                <w:sz w:val="14"/>
                <w:szCs w:val="14"/>
                <w:b w:val="1"/>
                <w:bCs w:val="1"/>
                <w:color w:val="auto"/>
              </w:rPr>
              <w:t>Net income</w:t>
            </w: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26,473</w:t>
            </w:r>
          </w:p>
        </w:tc>
        <w:tc>
          <w:tcPr>
            <w:tcW w:w="2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141,946</w:t>
            </w:r>
          </w:p>
        </w:tc>
        <w:tc>
          <w:tcPr>
            <w:tcW w:w="2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127,735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-81.3%</w:t>
            </w:r>
          </w:p>
        </w:tc>
        <w:tc>
          <w:tcPr>
            <w:tcW w:w="100" w:type="dxa"/>
            <w:vAlign w:val="bottom"/>
          </w:tcPr>
          <w:p>
            <w:pPr>
              <w:spacing w:after="0"/>
              <w:rPr>
                <w:sz w:val="14"/>
                <w:szCs w:val="14"/>
                <w:color w:val="auto"/>
              </w:rPr>
            </w:pPr>
          </w:p>
        </w:tc>
        <w:tc>
          <w:tcPr>
            <w:tcW w:w="780" w:type="dxa"/>
            <w:vAlign w:val="bottom"/>
            <w:gridSpan w:val="2"/>
          </w:tcPr>
          <w:p>
            <w:pPr>
              <w:jc w:val="right"/>
              <w:ind w:right="58"/>
              <w:spacing w:after="0"/>
              <w:rPr>
                <w:sz w:val="20"/>
                <w:szCs w:val="20"/>
                <w:color w:val="auto"/>
              </w:rPr>
            </w:pPr>
            <w:r>
              <w:rPr>
                <w:rFonts w:ascii="Arial" w:cs="Arial" w:eastAsia="Arial" w:hAnsi="Arial"/>
                <w:sz w:val="14"/>
                <w:szCs w:val="14"/>
                <w:b w:val="1"/>
                <w:bCs w:val="1"/>
                <w:color w:val="auto"/>
              </w:rPr>
              <w:t>-79.3%</w:t>
            </w: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168,419</w:t>
            </w:r>
          </w:p>
        </w:tc>
        <w:tc>
          <w:tcPr>
            <w:tcW w:w="2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298,354</w:t>
            </w:r>
          </w:p>
        </w:tc>
        <w:tc>
          <w:tcPr>
            <w:tcW w:w="220" w:type="dxa"/>
            <w:vAlign w:val="bottom"/>
          </w:tcPr>
          <w:p>
            <w:pPr>
              <w:spacing w:after="0"/>
              <w:rPr>
                <w:sz w:val="14"/>
                <w:szCs w:val="14"/>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-43.6%</w:t>
            </w:r>
          </w:p>
        </w:tc>
        <w:tc>
          <w:tcPr>
            <w:tcW w:w="0" w:type="dxa"/>
            <w:vAlign w:val="bottom"/>
          </w:tcPr>
          <w:p>
            <w:pPr>
              <w:spacing w:after="0"/>
              <w:rPr>
                <w:sz w:val="1"/>
                <w:szCs w:val="1"/>
                <w:color w:val="auto"/>
              </w:rPr>
            </w:pPr>
          </w:p>
        </w:tc>
      </w:tr>
      <w:tr>
        <w:trPr>
          <w:trHeight w:val="142"/>
        </w:trPr>
        <w:tc>
          <w:tcPr>
            <w:tcW w:w="3620" w:type="dxa"/>
            <w:vAlign w:val="bottom"/>
            <w:tcBorders>
              <w:top w:val="single" w:sz="8" w:color="CCFFCC"/>
            </w:tcBorders>
            <w:gridSpan w:val="2"/>
            <w:shd w:val="clear" w:color="auto" w:fill="CCFFCC"/>
          </w:tcPr>
          <w:p>
            <w:pPr>
              <w:spacing w:after="0" w:line="142" w:lineRule="exact"/>
              <w:rPr>
                <w:sz w:val="20"/>
                <w:szCs w:val="20"/>
                <w:color w:val="auto"/>
              </w:rPr>
            </w:pPr>
            <w:r>
              <w:rPr>
                <w:rFonts w:ascii="Arial" w:cs="Arial" w:eastAsia="Arial" w:hAnsi="Arial"/>
                <w:sz w:val="14"/>
                <w:szCs w:val="14"/>
                <w:color w:val="auto"/>
              </w:rPr>
              <w:t>Net income / share (US$)</w:t>
            </w:r>
          </w:p>
        </w:tc>
        <w:tc>
          <w:tcPr>
            <w:tcW w:w="100" w:type="dxa"/>
            <w:vAlign w:val="bottom"/>
            <w:tcBorders>
              <w:top w:val="single" w:sz="8" w:color="CCFFCC"/>
            </w:tcBorders>
            <w:shd w:val="clear" w:color="auto" w:fill="CCFFCC"/>
          </w:tcPr>
          <w:p>
            <w:pPr>
              <w:spacing w:after="0"/>
              <w:rPr>
                <w:sz w:val="12"/>
                <w:szCs w:val="12"/>
                <w:color w:val="auto"/>
              </w:rPr>
            </w:pPr>
          </w:p>
        </w:tc>
        <w:tc>
          <w:tcPr>
            <w:tcW w:w="6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0.009</w:t>
            </w:r>
          </w:p>
        </w:tc>
        <w:tc>
          <w:tcPr>
            <w:tcW w:w="22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6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0.046</w:t>
            </w:r>
          </w:p>
        </w:tc>
        <w:tc>
          <w:tcPr>
            <w:tcW w:w="22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6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0.041</w:t>
            </w:r>
          </w:p>
        </w:tc>
        <w:tc>
          <w:tcPr>
            <w:tcW w:w="22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5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-81.4</w:t>
            </w:r>
          </w:p>
        </w:tc>
        <w:tc>
          <w:tcPr>
            <w:tcW w:w="240" w:type="dxa"/>
            <w:vAlign w:val="bottom"/>
            <w:tcBorders>
              <w:top w:val="single" w:sz="8" w:color="CCFFCC"/>
            </w:tcBorders>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w w:val="79"/>
              </w:rPr>
              <w:t>%</w:t>
            </w:r>
          </w:p>
        </w:tc>
        <w:tc>
          <w:tcPr>
            <w:tcW w:w="100" w:type="dxa"/>
            <w:vAlign w:val="bottom"/>
            <w:tcBorders>
              <w:top w:val="single" w:sz="8" w:color="CCFFCC"/>
            </w:tcBorders>
            <w:shd w:val="clear" w:color="auto" w:fill="CCFFCC"/>
          </w:tcPr>
          <w:p>
            <w:pPr>
              <w:spacing w:after="0"/>
              <w:rPr>
                <w:sz w:val="12"/>
                <w:szCs w:val="12"/>
                <w:color w:val="auto"/>
              </w:rPr>
            </w:pPr>
          </w:p>
        </w:tc>
        <w:tc>
          <w:tcPr>
            <w:tcW w:w="5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-79.4</w:t>
            </w:r>
          </w:p>
        </w:tc>
        <w:tc>
          <w:tcPr>
            <w:tcW w:w="240" w:type="dxa"/>
            <w:vAlign w:val="bottom"/>
            <w:tcBorders>
              <w:top w:val="single" w:sz="8" w:color="CCFFCC"/>
            </w:tcBorders>
            <w:shd w:val="clear" w:color="auto" w:fill="CCFFCC"/>
          </w:tcPr>
          <w:p>
            <w:pPr>
              <w:jc w:val="right"/>
              <w:ind w:right="78"/>
              <w:spacing w:after="0"/>
              <w:rPr>
                <w:sz w:val="20"/>
                <w:szCs w:val="20"/>
                <w:color w:val="auto"/>
              </w:rPr>
            </w:pPr>
            <w:r>
              <w:rPr>
                <w:rFonts w:ascii="Arial" w:cs="Arial" w:eastAsia="Arial" w:hAnsi="Arial"/>
                <w:sz w:val="12"/>
                <w:szCs w:val="12"/>
                <w:color w:val="auto"/>
                <w:w w:val="74"/>
              </w:rPr>
              <w:t>%</w:t>
            </w:r>
          </w:p>
        </w:tc>
        <w:tc>
          <w:tcPr>
            <w:tcW w:w="80" w:type="dxa"/>
            <w:vAlign w:val="bottom"/>
            <w:tcBorders>
              <w:top w:val="single" w:sz="8" w:color="CCFFCC"/>
            </w:tcBorders>
            <w:shd w:val="clear" w:color="auto" w:fill="CCFFCC"/>
          </w:tcPr>
          <w:p>
            <w:pPr>
              <w:spacing w:after="0"/>
              <w:rPr>
                <w:sz w:val="12"/>
                <w:szCs w:val="12"/>
                <w:color w:val="auto"/>
              </w:rPr>
            </w:pPr>
          </w:p>
        </w:tc>
        <w:tc>
          <w:tcPr>
            <w:tcW w:w="6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0.054</w:t>
            </w:r>
          </w:p>
        </w:tc>
        <w:tc>
          <w:tcPr>
            <w:tcW w:w="22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6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0.096</w:t>
            </w:r>
          </w:p>
        </w:tc>
        <w:tc>
          <w:tcPr>
            <w:tcW w:w="220" w:type="dxa"/>
            <w:vAlign w:val="bottom"/>
            <w:tcBorders>
              <w:top w:val="single" w:sz="8" w:color="CCFFCC"/>
              <w:right w:val="single" w:sz="8" w:color="CCFFCC"/>
            </w:tcBorders>
            <w:shd w:val="clear" w:color="auto" w:fill="CCFFCC"/>
          </w:tcPr>
          <w:p>
            <w:pPr>
              <w:spacing w:after="0"/>
              <w:rPr>
                <w:sz w:val="12"/>
                <w:szCs w:val="12"/>
                <w:color w:val="auto"/>
              </w:rPr>
            </w:pPr>
          </w:p>
        </w:tc>
        <w:tc>
          <w:tcPr>
            <w:tcW w:w="140" w:type="dxa"/>
            <w:vAlign w:val="bottom"/>
            <w:tcBorders>
              <w:top w:val="single" w:sz="8" w:color="CCFFCC"/>
            </w:tcBorders>
            <w:shd w:val="clear" w:color="auto" w:fill="CCFFCC"/>
          </w:tcPr>
          <w:p>
            <w:pPr>
              <w:spacing w:after="0"/>
              <w:rPr>
                <w:sz w:val="12"/>
                <w:szCs w:val="12"/>
                <w:color w:val="auto"/>
              </w:rPr>
            </w:pP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-43.6</w:t>
            </w:r>
          </w:p>
        </w:tc>
        <w:tc>
          <w:tcPr>
            <w:tcW w:w="16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3620" w:type="dxa"/>
            <w:vAlign w:val="bottom"/>
            <w:gridSpan w:val="2"/>
          </w:tcPr>
          <w:p>
            <w:pPr>
              <w:spacing w:after="0" w:line="142" w:lineRule="exact"/>
              <w:rPr>
                <w:sz w:val="20"/>
                <w:szCs w:val="20"/>
                <w:color w:val="auto"/>
              </w:rPr>
            </w:pPr>
            <w:r>
              <w:rPr>
                <w:rFonts w:ascii="Arial" w:cs="Arial" w:eastAsia="Arial" w:hAnsi="Arial"/>
                <w:sz w:val="14"/>
                <w:szCs w:val="14"/>
                <w:color w:val="auto"/>
              </w:rPr>
              <w:t>Total loans</w:t>
            </w:r>
          </w:p>
        </w:tc>
        <w:tc>
          <w:tcPr>
            <w:tcW w:w="1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w w:val="88"/>
              </w:rPr>
              <w:t>20,687,219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w w:val="91"/>
              </w:rPr>
              <w:t>20,905,587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w w:val="88"/>
              </w:rPr>
              <w:t>18,599,091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8"/>
              <w:spacing w:after="0" w:line="142" w:lineRule="exact"/>
              <w:rPr>
                <w:sz w:val="20"/>
                <w:szCs w:val="20"/>
                <w:color w:val="auto"/>
              </w:rPr>
            </w:pPr>
            <w:r>
              <w:rPr>
                <w:rFonts w:ascii="Arial" w:cs="Arial" w:eastAsia="Arial" w:hAnsi="Arial"/>
                <w:sz w:val="14"/>
                <w:szCs w:val="14"/>
                <w:color w:val="auto"/>
              </w:rPr>
              <w:t>-1.0%</w:t>
            </w:r>
          </w:p>
        </w:tc>
        <w:tc>
          <w:tcPr>
            <w:tcW w:w="100" w:type="dxa"/>
            <w:vAlign w:val="bottom"/>
          </w:tcPr>
          <w:p>
            <w:pPr>
              <w:spacing w:after="0"/>
              <w:rPr>
                <w:sz w:val="12"/>
                <w:szCs w:val="12"/>
                <w:color w:val="auto"/>
              </w:rPr>
            </w:pPr>
          </w:p>
        </w:tc>
        <w:tc>
          <w:tcPr>
            <w:tcW w:w="780" w:type="dxa"/>
            <w:vAlign w:val="bottom"/>
            <w:gridSpan w:val="2"/>
          </w:tcPr>
          <w:p>
            <w:pPr>
              <w:jc w:val="right"/>
              <w:ind w:right="78"/>
              <w:spacing w:after="0" w:line="142" w:lineRule="exact"/>
              <w:rPr>
                <w:sz w:val="20"/>
                <w:szCs w:val="20"/>
                <w:color w:val="auto"/>
              </w:rPr>
            </w:pPr>
            <w:r>
              <w:rPr>
                <w:rFonts w:ascii="Arial" w:cs="Arial" w:eastAsia="Arial" w:hAnsi="Arial"/>
                <w:sz w:val="14"/>
                <w:szCs w:val="14"/>
                <w:color w:val="auto"/>
              </w:rPr>
              <w:t>11.2%</w:t>
            </w:r>
          </w:p>
        </w:tc>
        <w:tc>
          <w:tcPr>
            <w:tcW w:w="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w w:val="88"/>
              </w:rPr>
              <w:t>20,687,219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w w:val="88"/>
              </w:rPr>
              <w:t>18,599,091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49"/>
        </w:trPr>
        <w:tc>
          <w:tcPr>
            <w:tcW w:w="36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Deposits and obligations</w:t>
            </w:r>
          </w:p>
        </w:tc>
        <w:tc>
          <w:tcPr>
            <w:tcW w:w="7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22,364,889</w:t>
            </w:r>
          </w:p>
        </w:tc>
        <w:tc>
          <w:tcPr>
            <w:tcW w:w="22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24,089,609</w:t>
            </w:r>
          </w:p>
        </w:tc>
        <w:tc>
          <w:tcPr>
            <w:tcW w:w="22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w w:val="99"/>
              </w:rPr>
              <w:t>19,743,309</w:t>
            </w:r>
          </w:p>
        </w:tc>
        <w:tc>
          <w:tcPr>
            <w:tcW w:w="2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-7.2%</w:t>
            </w:r>
          </w:p>
        </w:tc>
        <w:tc>
          <w:tcPr>
            <w:tcW w:w="10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78"/>
              <w:spacing w:after="0" w:line="149" w:lineRule="exact"/>
              <w:rPr>
                <w:sz w:val="20"/>
                <w:szCs w:val="20"/>
                <w:color w:val="auto"/>
              </w:rPr>
            </w:pPr>
            <w:r>
              <w:rPr>
                <w:rFonts w:ascii="Arial" w:cs="Arial" w:eastAsia="Arial" w:hAnsi="Arial"/>
                <w:sz w:val="14"/>
                <w:szCs w:val="14"/>
                <w:color w:val="auto"/>
              </w:rPr>
              <w:t>13.3%</w:t>
            </w:r>
          </w:p>
        </w:tc>
        <w:tc>
          <w:tcPr>
            <w:tcW w:w="7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w w:val="99"/>
              </w:rPr>
              <w:t>22,364,889</w:t>
            </w:r>
          </w:p>
        </w:tc>
        <w:tc>
          <w:tcPr>
            <w:tcW w:w="22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w w:val="99"/>
              </w:rPr>
              <w:t>19,743,309</w:t>
            </w:r>
          </w:p>
        </w:tc>
        <w:tc>
          <w:tcPr>
            <w:tcW w:w="220" w:type="dxa"/>
            <w:vAlign w:val="bottom"/>
            <w:tcBorders>
              <w:right w:val="single" w:sz="8" w:color="CCFFCC"/>
            </w:tcBorders>
            <w:shd w:val="clear" w:color="auto" w:fill="CCFFCC"/>
          </w:tcPr>
          <w:p>
            <w:pPr>
              <w:spacing w:after="0"/>
              <w:rPr>
                <w:sz w:val="12"/>
                <w:szCs w:val="12"/>
                <w:color w:val="auto"/>
              </w:rPr>
            </w:pPr>
          </w:p>
        </w:tc>
        <w:tc>
          <w:tcPr>
            <w:tcW w:w="108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62"/>
        </w:trPr>
        <w:tc>
          <w:tcPr>
            <w:tcW w:w="3620" w:type="dxa"/>
            <w:vAlign w:val="bottom"/>
            <w:gridSpan w:val="2"/>
          </w:tcPr>
          <w:p>
            <w:pPr>
              <w:spacing w:after="0"/>
              <w:rPr>
                <w:sz w:val="20"/>
                <w:szCs w:val="20"/>
                <w:color w:val="auto"/>
              </w:rPr>
            </w:pPr>
            <w:r>
              <w:rPr>
                <w:rFonts w:ascii="Arial" w:cs="Arial" w:eastAsia="Arial" w:hAnsi="Arial"/>
                <w:sz w:val="14"/>
                <w:szCs w:val="14"/>
                <w:color w:val="auto"/>
              </w:rPr>
              <w:t>Net shareholders' equity</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2,670,880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2,692,647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9"/>
              </w:rPr>
              <w:t>2,440,708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4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4"/>
                <w:szCs w:val="14"/>
                <w:color w:val="auto"/>
              </w:rPr>
            </w:pPr>
          </w:p>
        </w:tc>
        <w:tc>
          <w:tcPr>
            <w:tcW w:w="780" w:type="dxa"/>
            <w:vAlign w:val="bottom"/>
            <w:gridSpan w:val="2"/>
          </w:tcPr>
          <w:p>
            <w:pPr>
              <w:jc w:val="right"/>
              <w:ind w:right="78"/>
              <w:spacing w:after="0"/>
              <w:rPr>
                <w:sz w:val="20"/>
                <w:szCs w:val="20"/>
                <w:color w:val="auto"/>
              </w:rPr>
            </w:pPr>
            <w:r>
              <w:rPr>
                <w:rFonts w:ascii="Arial" w:cs="Arial" w:eastAsia="Arial" w:hAnsi="Arial"/>
                <w:sz w:val="14"/>
                <w:szCs w:val="14"/>
                <w:color w:val="auto"/>
              </w:rPr>
              <w:t>9.4%</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2,670,880</w:t>
            </w:r>
          </w:p>
        </w:tc>
        <w:tc>
          <w:tcPr>
            <w:tcW w:w="2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2,440,708</w:t>
            </w:r>
          </w:p>
        </w:tc>
        <w:tc>
          <w:tcPr>
            <w:tcW w:w="220" w:type="dxa"/>
            <w:vAlign w:val="bottom"/>
          </w:tcPr>
          <w:p>
            <w:pPr>
              <w:spacing w:after="0"/>
              <w:rPr>
                <w:sz w:val="14"/>
                <w:szCs w:val="14"/>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0"/>
        </w:trPr>
        <w:tc>
          <w:tcPr>
            <w:tcW w:w="3620" w:type="dxa"/>
            <w:vAlign w:val="bottom"/>
            <w:gridSpan w:val="2"/>
            <w:vMerge w:val="restart"/>
            <w:shd w:val="clear" w:color="auto" w:fill="CCFFCC"/>
          </w:tcPr>
          <w:p>
            <w:pPr>
              <w:spacing w:after="0"/>
              <w:rPr>
                <w:sz w:val="20"/>
                <w:szCs w:val="20"/>
                <w:color w:val="auto"/>
              </w:rPr>
            </w:pPr>
            <w:r>
              <w:rPr>
                <w:rFonts w:ascii="Arial" w:cs="Arial" w:eastAsia="Arial" w:hAnsi="Arial"/>
                <w:sz w:val="14"/>
                <w:szCs w:val="14"/>
                <w:color w:val="auto"/>
              </w:rPr>
              <w:t>Net financial margin</w:t>
            </w:r>
          </w:p>
        </w:tc>
        <w:tc>
          <w:tcPr>
            <w:tcW w:w="100" w:type="dxa"/>
            <w:vAlign w:val="bottom"/>
            <w:vMerge w:val="restart"/>
            <w:shd w:val="clear" w:color="auto" w:fill="CCFFC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80" w:type="dxa"/>
            <w:vAlign w:val="bottom"/>
            <w:vMerge w:val="restart"/>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80" w:type="dxa"/>
            <w:vAlign w:val="bottom"/>
            <w:vMerge w:val="restart"/>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80" w:type="dxa"/>
            <w:vAlign w:val="bottom"/>
            <w:vMerge w:val="restart"/>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80" w:type="dxa"/>
            <w:vAlign w:val="bottom"/>
            <w:vMerge w:val="restart"/>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right w:val="single" w:sz="8" w:color="CCFFCC"/>
            </w:tcBorders>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620" w:type="dxa"/>
            <w:vAlign w:val="bottom"/>
            <w:gridSpan w:val="2"/>
            <w:vMerge w:val="continue"/>
            <w:shd w:val="clear" w:color="auto" w:fill="CCFFCC"/>
          </w:tcPr>
          <w:p>
            <w:pPr>
              <w:spacing w:after="0"/>
              <w:rPr>
                <w:sz w:val="12"/>
                <w:szCs w:val="12"/>
                <w:color w:val="auto"/>
              </w:rPr>
            </w:pPr>
          </w:p>
        </w:tc>
        <w:tc>
          <w:tcPr>
            <w:tcW w:w="100" w:type="dxa"/>
            <w:vAlign w:val="bottom"/>
            <w:vMerge w:val="continue"/>
            <w:shd w:val="clear" w:color="auto" w:fill="CCFFCC"/>
          </w:tcPr>
          <w:p>
            <w:pPr>
              <w:spacing w:after="0"/>
              <w:rPr>
                <w:sz w:val="12"/>
                <w:szCs w:val="12"/>
                <w:color w:val="auto"/>
              </w:rPr>
            </w:pPr>
          </w:p>
        </w:tc>
        <w:tc>
          <w:tcPr>
            <w:tcW w:w="86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4.92%</w:t>
            </w:r>
          </w:p>
        </w:tc>
        <w:tc>
          <w:tcPr>
            <w:tcW w:w="80" w:type="dxa"/>
            <w:vAlign w:val="bottom"/>
            <w:vMerge w:val="continue"/>
            <w:shd w:val="clear" w:color="auto" w:fill="CCFFCC"/>
          </w:tcPr>
          <w:p>
            <w:pPr>
              <w:spacing w:after="0"/>
              <w:rPr>
                <w:sz w:val="12"/>
                <w:szCs w:val="12"/>
                <w:color w:val="auto"/>
              </w:rPr>
            </w:pPr>
          </w:p>
        </w:tc>
        <w:tc>
          <w:tcPr>
            <w:tcW w:w="88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4.97%</w:t>
            </w:r>
          </w:p>
        </w:tc>
        <w:tc>
          <w:tcPr>
            <w:tcW w:w="80" w:type="dxa"/>
            <w:vAlign w:val="bottom"/>
            <w:vMerge w:val="continue"/>
            <w:shd w:val="clear" w:color="auto" w:fill="CCFFCC"/>
          </w:tcPr>
          <w:p>
            <w:pPr>
              <w:spacing w:after="0"/>
              <w:rPr>
                <w:sz w:val="12"/>
                <w:szCs w:val="12"/>
                <w:color w:val="auto"/>
              </w:rPr>
            </w:pPr>
          </w:p>
        </w:tc>
        <w:tc>
          <w:tcPr>
            <w:tcW w:w="88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5.29%</w:t>
            </w:r>
          </w:p>
        </w:tc>
        <w:tc>
          <w:tcPr>
            <w:tcW w:w="80" w:type="dxa"/>
            <w:vAlign w:val="bottom"/>
            <w:shd w:val="clear" w:color="auto" w:fill="CCFFCC"/>
          </w:tcPr>
          <w:p>
            <w:pPr>
              <w:spacing w:after="0"/>
              <w:rPr>
                <w:sz w:val="12"/>
                <w:szCs w:val="12"/>
                <w:color w:val="auto"/>
              </w:rPr>
            </w:pPr>
          </w:p>
        </w:tc>
        <w:tc>
          <w:tcPr>
            <w:tcW w:w="5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 w:type="dxa"/>
            <w:vAlign w:val="bottom"/>
            <w:vMerge w:val="continue"/>
            <w:shd w:val="clear" w:color="auto" w:fill="CCFFCC"/>
          </w:tcPr>
          <w:p>
            <w:pPr>
              <w:spacing w:after="0"/>
              <w:rPr>
                <w:sz w:val="12"/>
                <w:szCs w:val="12"/>
                <w:color w:val="auto"/>
              </w:rPr>
            </w:pPr>
          </w:p>
        </w:tc>
        <w:tc>
          <w:tcPr>
            <w:tcW w:w="88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5.07%</w:t>
            </w:r>
          </w:p>
        </w:tc>
        <w:tc>
          <w:tcPr>
            <w:tcW w:w="80" w:type="dxa"/>
            <w:vAlign w:val="bottom"/>
            <w:vMerge w:val="continue"/>
            <w:shd w:val="clear" w:color="auto" w:fill="CCFFCC"/>
          </w:tcPr>
          <w:p>
            <w:pPr>
              <w:spacing w:after="0"/>
              <w:rPr>
                <w:sz w:val="12"/>
                <w:szCs w:val="12"/>
                <w:color w:val="auto"/>
              </w:rPr>
            </w:pPr>
          </w:p>
        </w:tc>
        <w:tc>
          <w:tcPr>
            <w:tcW w:w="880" w:type="dxa"/>
            <w:vAlign w:val="bottom"/>
            <w:tcBorders>
              <w:right w:val="single" w:sz="8" w:color="CCFFCC"/>
            </w:tcBorders>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5.31%</w:t>
            </w:r>
          </w:p>
        </w:tc>
        <w:tc>
          <w:tcPr>
            <w:tcW w:w="14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Efficiency ratio</w:t>
            </w:r>
          </w:p>
        </w:tc>
        <w:tc>
          <w:tcPr>
            <w:tcW w:w="9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49.3%</w:t>
            </w:r>
          </w:p>
        </w:tc>
        <w:tc>
          <w:tcPr>
            <w:tcW w:w="9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48.7%</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48.4%</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49.0%</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47.9%</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Return on average equity</w:t>
            </w:r>
          </w:p>
        </w:tc>
        <w:tc>
          <w:tcPr>
            <w:tcW w:w="96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4.0%</w:t>
            </w:r>
          </w:p>
        </w:tc>
        <w:tc>
          <w:tcPr>
            <w:tcW w:w="96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20.8%</w:t>
            </w:r>
          </w:p>
        </w:tc>
        <w:tc>
          <w:tcPr>
            <w:tcW w:w="960" w:type="dxa"/>
            <w:vAlign w:val="bottom"/>
            <w:gridSpan w:val="3"/>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21.4%</w:t>
            </w:r>
          </w:p>
        </w:tc>
        <w:tc>
          <w:tcPr>
            <w:tcW w:w="80" w:type="dxa"/>
            <w:vAlign w:val="bottom"/>
            <w:shd w:val="clear" w:color="auto" w:fill="CCFFCC"/>
          </w:tcPr>
          <w:p>
            <w:pPr>
              <w:spacing w:after="0"/>
              <w:rPr>
                <w:sz w:val="12"/>
                <w:szCs w:val="12"/>
                <w:color w:val="auto"/>
              </w:rPr>
            </w:pPr>
          </w:p>
        </w:tc>
        <w:tc>
          <w:tcPr>
            <w:tcW w:w="5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60" w:type="dxa"/>
            <w:vAlign w:val="bottom"/>
            <w:gridSpan w:val="3"/>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12.4%</w:t>
            </w:r>
          </w:p>
        </w:tc>
        <w:tc>
          <w:tcPr>
            <w:tcW w:w="960" w:type="dxa"/>
            <w:vAlign w:val="bottom"/>
            <w:tcBorders>
              <w:right w:val="single" w:sz="8" w:color="CCFFCC"/>
            </w:tcBorders>
            <w:gridSpan w:val="3"/>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25.2%</w:t>
            </w:r>
          </w:p>
        </w:tc>
        <w:tc>
          <w:tcPr>
            <w:tcW w:w="14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PDL ratio</w:t>
            </w:r>
          </w:p>
        </w:tc>
        <w:tc>
          <w:tcPr>
            <w:tcW w:w="9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2.16%</w:t>
            </w:r>
          </w:p>
        </w:tc>
        <w:tc>
          <w:tcPr>
            <w:tcW w:w="9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2.04%</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1.80%</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2.16%</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1.80%</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NPL ratio (4)</w:t>
            </w:r>
          </w:p>
        </w:tc>
        <w:tc>
          <w:tcPr>
            <w:tcW w:w="96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2.80%</w:t>
            </w:r>
          </w:p>
        </w:tc>
        <w:tc>
          <w:tcPr>
            <w:tcW w:w="96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2.69%</w:t>
            </w:r>
          </w:p>
        </w:tc>
        <w:tc>
          <w:tcPr>
            <w:tcW w:w="960" w:type="dxa"/>
            <w:vAlign w:val="bottom"/>
            <w:gridSpan w:val="3"/>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2.42%</w:t>
            </w:r>
          </w:p>
        </w:tc>
        <w:tc>
          <w:tcPr>
            <w:tcW w:w="80" w:type="dxa"/>
            <w:vAlign w:val="bottom"/>
            <w:shd w:val="clear" w:color="auto" w:fill="CCFFCC"/>
          </w:tcPr>
          <w:p>
            <w:pPr>
              <w:spacing w:after="0"/>
              <w:rPr>
                <w:sz w:val="12"/>
                <w:szCs w:val="12"/>
                <w:color w:val="auto"/>
              </w:rPr>
            </w:pPr>
          </w:p>
        </w:tc>
        <w:tc>
          <w:tcPr>
            <w:tcW w:w="5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60" w:type="dxa"/>
            <w:vAlign w:val="bottom"/>
            <w:gridSpan w:val="3"/>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2.80%</w:t>
            </w:r>
          </w:p>
        </w:tc>
        <w:tc>
          <w:tcPr>
            <w:tcW w:w="960" w:type="dxa"/>
            <w:vAlign w:val="bottom"/>
            <w:tcBorders>
              <w:right w:val="single" w:sz="8" w:color="CCFFCC"/>
            </w:tcBorders>
            <w:gridSpan w:val="3"/>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2.42%</w:t>
            </w:r>
          </w:p>
        </w:tc>
        <w:tc>
          <w:tcPr>
            <w:tcW w:w="14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Coverage ratio of PDLs</w:t>
            </w:r>
          </w:p>
        </w:tc>
        <w:tc>
          <w:tcPr>
            <w:tcW w:w="9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168.7%</w:t>
            </w:r>
          </w:p>
        </w:tc>
        <w:tc>
          <w:tcPr>
            <w:tcW w:w="9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172.8%</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186.9%</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168.7%</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186.9%</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Coverage ratio of NPLs</w:t>
            </w:r>
          </w:p>
        </w:tc>
        <w:tc>
          <w:tcPr>
            <w:tcW w:w="96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130.1%</w:t>
            </w:r>
          </w:p>
        </w:tc>
        <w:tc>
          <w:tcPr>
            <w:tcW w:w="96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131.2%</w:t>
            </w:r>
          </w:p>
        </w:tc>
        <w:tc>
          <w:tcPr>
            <w:tcW w:w="960" w:type="dxa"/>
            <w:vAlign w:val="bottom"/>
            <w:gridSpan w:val="3"/>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139.2%</w:t>
            </w:r>
          </w:p>
        </w:tc>
        <w:tc>
          <w:tcPr>
            <w:tcW w:w="80" w:type="dxa"/>
            <w:vAlign w:val="bottom"/>
            <w:shd w:val="clear" w:color="auto" w:fill="CCFFCC"/>
          </w:tcPr>
          <w:p>
            <w:pPr>
              <w:spacing w:after="0"/>
              <w:rPr>
                <w:sz w:val="12"/>
                <w:szCs w:val="12"/>
                <w:color w:val="auto"/>
              </w:rPr>
            </w:pPr>
          </w:p>
        </w:tc>
        <w:tc>
          <w:tcPr>
            <w:tcW w:w="5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60" w:type="dxa"/>
            <w:vAlign w:val="bottom"/>
            <w:gridSpan w:val="3"/>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130.1%</w:t>
            </w:r>
          </w:p>
        </w:tc>
        <w:tc>
          <w:tcPr>
            <w:tcW w:w="960" w:type="dxa"/>
            <w:vAlign w:val="bottom"/>
            <w:tcBorders>
              <w:right w:val="single" w:sz="8" w:color="CCFFCC"/>
            </w:tcBorders>
            <w:gridSpan w:val="3"/>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139.2%</w:t>
            </w:r>
          </w:p>
        </w:tc>
        <w:tc>
          <w:tcPr>
            <w:tcW w:w="14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BIS ratio</w:t>
            </w:r>
          </w:p>
        </w:tc>
        <w:tc>
          <w:tcPr>
            <w:tcW w:w="9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15.06%</w:t>
            </w:r>
          </w:p>
        </w:tc>
        <w:tc>
          <w:tcPr>
            <w:tcW w:w="9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14.65%</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15.91%</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15.1%</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15.9%</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Branches</w:t>
            </w:r>
          </w:p>
        </w:tc>
        <w:tc>
          <w:tcPr>
            <w:tcW w:w="7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380</w:t>
            </w:r>
          </w:p>
        </w:tc>
        <w:tc>
          <w:tcPr>
            <w:tcW w:w="22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379</w:t>
            </w:r>
          </w:p>
        </w:tc>
        <w:tc>
          <w:tcPr>
            <w:tcW w:w="22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352</w:t>
            </w:r>
          </w:p>
        </w:tc>
        <w:tc>
          <w:tcPr>
            <w:tcW w:w="2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380</w:t>
            </w:r>
          </w:p>
        </w:tc>
        <w:tc>
          <w:tcPr>
            <w:tcW w:w="22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352</w:t>
            </w:r>
          </w:p>
        </w:tc>
        <w:tc>
          <w:tcPr>
            <w:tcW w:w="220" w:type="dxa"/>
            <w:vAlign w:val="bottom"/>
            <w:tcBorders>
              <w:right w:val="single" w:sz="8" w:color="CCFFCC"/>
            </w:tcBorders>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Agentes BCP</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5,705</w:t>
            </w:r>
          </w:p>
        </w:tc>
        <w:tc>
          <w:tcPr>
            <w:tcW w:w="2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5,627</w:t>
            </w:r>
          </w:p>
        </w:tc>
        <w:tc>
          <w:tcPr>
            <w:tcW w:w="2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5,419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5,705</w:t>
            </w:r>
          </w:p>
        </w:tc>
        <w:tc>
          <w:tcPr>
            <w:tcW w:w="2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5,419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ATMs</w:t>
            </w:r>
          </w:p>
        </w:tc>
        <w:tc>
          <w:tcPr>
            <w:tcW w:w="7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1,966</w:t>
            </w:r>
          </w:p>
        </w:tc>
        <w:tc>
          <w:tcPr>
            <w:tcW w:w="22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1,925</w:t>
            </w:r>
          </w:p>
        </w:tc>
        <w:tc>
          <w:tcPr>
            <w:tcW w:w="22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1,647</w:t>
            </w:r>
          </w:p>
        </w:tc>
        <w:tc>
          <w:tcPr>
            <w:tcW w:w="2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1,966</w:t>
            </w:r>
          </w:p>
        </w:tc>
        <w:tc>
          <w:tcPr>
            <w:tcW w:w="22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1,647</w:t>
            </w:r>
          </w:p>
        </w:tc>
        <w:tc>
          <w:tcPr>
            <w:tcW w:w="220" w:type="dxa"/>
            <w:vAlign w:val="bottom"/>
            <w:tcBorders>
              <w:right w:val="single" w:sz="8" w:color="CCFFCC"/>
            </w:tcBorders>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620" w:type="dxa"/>
            <w:vAlign w:val="bottom"/>
            <w:gridSpan w:val="2"/>
          </w:tcPr>
          <w:p>
            <w:pPr>
              <w:spacing w:after="0"/>
              <w:rPr>
                <w:sz w:val="20"/>
                <w:szCs w:val="20"/>
                <w:color w:val="auto"/>
              </w:rPr>
            </w:pPr>
            <w:r>
              <w:rPr>
                <w:rFonts w:ascii="Arial" w:cs="Arial" w:eastAsia="Arial" w:hAnsi="Arial"/>
                <w:sz w:val="14"/>
                <w:szCs w:val="14"/>
                <w:color w:val="auto"/>
              </w:rPr>
              <w:t>Employees</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22,615</w:t>
            </w:r>
          </w:p>
        </w:tc>
        <w:tc>
          <w:tcPr>
            <w:tcW w:w="22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22,804</w:t>
            </w:r>
          </w:p>
        </w:tc>
        <w:tc>
          <w:tcPr>
            <w:tcW w:w="22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19,556</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22,615</w:t>
            </w:r>
          </w:p>
        </w:tc>
        <w:tc>
          <w:tcPr>
            <w:tcW w:w="22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22,804</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5339080</wp:posOffset>
            </wp:positionH>
            <wp:positionV relativeFrom="paragraph">
              <wp:posOffset>-8890</wp:posOffset>
            </wp:positionV>
            <wp:extent cx="10204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20445" cy="8890"/>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-8890</wp:posOffset>
            </wp:positionV>
            <wp:extent cx="16294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i w:val="1"/>
          <w:iCs w:val="1"/>
          <w:color w:val="auto"/>
        </w:rPr>
        <w:t>* See notes in BCP and Subsidiaries income statement and balance sheet.</w:t>
      </w:r>
    </w:p>
    <w:p>
      <w:pPr>
        <w:spacing w:after="0" w:line="7" w:lineRule="exact"/>
        <w:rPr>
          <w:sz w:val="20"/>
          <w:szCs w:val="20"/>
          <w:color w:val="auto"/>
        </w:rPr>
      </w:pPr>
    </w:p>
    <w:p>
      <w:pPr>
        <w:ind w:left="420" w:hanging="250"/>
        <w:spacing w:after="0"/>
        <w:tabs>
          <w:tab w:leader="none" w:pos="42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Employees' profit sharing is regisered in Salaries and Employees Benefits since 1Q11 due to local regulator's decision</w:t>
      </w:r>
    </w:p>
    <w:p>
      <w:pPr>
        <w:spacing w:after="0" w:line="9" w:lineRule="exact"/>
        <w:rPr>
          <w:rFonts w:ascii="Arial" w:cs="Arial" w:eastAsia="Arial" w:hAnsi="Arial"/>
          <w:sz w:val="18"/>
          <w:szCs w:val="18"/>
          <w:i w:val="1"/>
          <w:iCs w:val="1"/>
          <w:color w:val="auto"/>
        </w:rPr>
      </w:pPr>
    </w:p>
    <w:p>
      <w:pPr>
        <w:ind w:left="420" w:hanging="250"/>
        <w:spacing w:after="0"/>
        <w:tabs>
          <w:tab w:leader="none" w:pos="42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Income before translation results and income taxes.</w:t>
      </w:r>
    </w:p>
    <w:p>
      <w:pPr>
        <w:spacing w:after="0" w:line="9" w:lineRule="exact"/>
        <w:rPr>
          <w:rFonts w:ascii="Arial" w:cs="Arial" w:eastAsia="Arial" w:hAnsi="Arial"/>
          <w:sz w:val="18"/>
          <w:szCs w:val="18"/>
          <w:i w:val="1"/>
          <w:iCs w:val="1"/>
          <w:color w:val="auto"/>
        </w:rPr>
      </w:pPr>
    </w:p>
    <w:p>
      <w:pPr>
        <w:ind w:left="420" w:hanging="250"/>
        <w:spacing w:after="0"/>
        <w:tabs>
          <w:tab w:leader="none" w:pos="42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 core operating income from net gain on sales of securities.</w:t>
      </w:r>
    </w:p>
    <w:p>
      <w:pPr>
        <w:spacing w:after="0" w:line="9" w:lineRule="exact"/>
        <w:rPr>
          <w:rFonts w:ascii="Arial" w:cs="Arial" w:eastAsia="Arial" w:hAnsi="Arial"/>
          <w:sz w:val="18"/>
          <w:szCs w:val="18"/>
          <w:i w:val="1"/>
          <w:iCs w:val="1"/>
          <w:color w:val="auto"/>
        </w:rPr>
      </w:pPr>
    </w:p>
    <w:p>
      <w:pPr>
        <w:ind w:left="420" w:hanging="250"/>
        <w:spacing w:after="0"/>
        <w:tabs>
          <w:tab w:leader="none" w:pos="42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NPLs: Non-performing loans = Past due loans + Refinanced and restructured loans. NPL Ratio = NPLs / Total loans.</w:t>
      </w:r>
    </w:p>
    <w:p>
      <w:pPr>
        <w:spacing w:after="0" w:line="9" w:lineRule="exact"/>
        <w:rPr>
          <w:rFonts w:ascii="Arial" w:cs="Arial" w:eastAsia="Arial" w:hAnsi="Arial"/>
          <w:sz w:val="18"/>
          <w:szCs w:val="18"/>
          <w:i w:val="1"/>
          <w:iCs w:val="1"/>
          <w:color w:val="auto"/>
        </w:rPr>
      </w:pPr>
    </w:p>
    <w:p>
      <w:pPr>
        <w:ind w:left="420" w:hanging="250"/>
        <w:spacing w:after="0"/>
        <w:tabs>
          <w:tab w:leader="none" w:pos="42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As of 2T13, excludes employees from Correval.</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total assets fell 7.9% QoQ, the loan portfolio performed very well. In fact, average daily balances in the LC portfolio, which represent 46.2% of total loans, were highly dynamic and posted growth of +5.7% QoQ and +23.4% YoY. This expansion was led primarily by significant growth in Retail Banking loans (+5.7 QoQ +28.8 YoY), where the Mortgage and SME segments were the most dynamic with rates of +8.9% QoQ and +6.4% QoQ, respectively. Edyficar, whose loans are mainly denominated in LC, posted an increase of +6.5% QoQ and +43.9% YoY. This excellent performance in the LC portfolio was overshadowed by the fact that the Nuevo Sol devaluated 7.5% against the US Dollar in 2Q13. The FC portfolio (mainly in Wholesale Banking) contracted -2.8% QoQ given that corporate clients moved to place international issuances to pay off debt obligations. All of these factors explain the -1.4% QoQ decline in the total loan portfolio.</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YoY evolution shows an excellent +15% expansion in the loan portfolio, which was primarily attributable to growth in LC loans (+23.4%) and FC loans (+10.4%), which significantly offset the impact of devaluation in the portfolio denominated in Nuevos Soles.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terms of portfolio quality, the quarterly evolution shows that past-due loan (PDL) ratios are stable in virtually every segment. Along these lines, it is important to note that the PDL ratio in the Credit Card segment has declined, which indicates that the adjustments implemented were right as it is reflected in the better performance of the post-adjustment vintages. Nevertheless, PDL ratio of the SME segment rose to 7.6%, which explains most on the increase of 4.5% QoQ of total PDL portfolio. As a result, the PDL ratio increased 12 bps to situate at 2.16% at quarter-end (vs. 2.04% at the end of 1Q13) while the 90-day PDL ratio increased 10 bps, going from 1.35% to 1.45%. The 12 bps increase in the PDL ratio can be disaggregated as follows: (i) 9 bps were associated with the increase in the PDL portfolio, which is in turn explained mainly by the higher PDL ratio in the SME segment; and (ii) 3 bps due to the contraction in loans that in turn was attributable to the impact of the devaluation of the Nuevo Sol, which cast a shadow over the excellent dynamism of LC-denominated loans.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liabilities fell -8.4% QoQ at the end of 2Q13, which was due primarily to: i) a contraction in Deposits (-7.2% QoQ), which are the main source of funding, that was accentuated by the devaluation of the Nuevo Sol given that approximately 55% of deposits are in local currency; and ii) the reduction in Other Liabilities (-57.4% QoQ), which was due primarily to the sale of Correval to Credicorp Capital in the month of June. The YoY evolution reported growth of +11.6%.</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1" w:name="page12"/>
    <w:bookmarkEnd w:id="11"/>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162"/>
        </w:trPr>
        <w:tc>
          <w:tcPr>
            <w:tcW w:w="3960" w:type="dxa"/>
            <w:vAlign w:val="bottom"/>
            <w:gridSpan w:val="3"/>
          </w:tcPr>
          <w:p>
            <w:pPr>
              <w:spacing w:after="0"/>
              <w:rPr>
                <w:sz w:val="20"/>
                <w:szCs w:val="20"/>
                <w:color w:val="auto"/>
              </w:rPr>
            </w:pPr>
            <w:r>
              <w:rPr>
                <w:rFonts w:ascii="Arial" w:cs="Arial" w:eastAsia="Arial" w:hAnsi="Arial"/>
                <w:sz w:val="14"/>
                <w:szCs w:val="14"/>
                <w:b w:val="1"/>
                <w:bCs w:val="1"/>
                <w:color w:val="auto"/>
              </w:rPr>
              <w:t>Core income</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4"/>
          </w:tcPr>
          <w:p>
            <w:pPr>
              <w:ind w:left="60"/>
              <w:spacing w:after="0"/>
              <w:rPr>
                <w:sz w:val="20"/>
                <w:szCs w:val="20"/>
                <w:color w:val="auto"/>
              </w:rPr>
            </w:pPr>
            <w:r>
              <w:rPr>
                <w:rFonts w:ascii="Arial" w:cs="Arial" w:eastAsia="Arial" w:hAnsi="Arial"/>
                <w:sz w:val="14"/>
                <w:szCs w:val="14"/>
                <w:b w:val="1"/>
                <w:bCs w:val="1"/>
                <w:color w:val="auto"/>
              </w:rPr>
              <w:t>Quarter</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jc w:val="right"/>
              <w:ind w:right="648"/>
              <w:spacing w:after="0"/>
              <w:rPr>
                <w:sz w:val="20"/>
                <w:szCs w:val="20"/>
                <w:color w:val="auto"/>
              </w:rPr>
            </w:pPr>
            <w:r>
              <w:rPr>
                <w:rFonts w:ascii="Arial" w:cs="Arial" w:eastAsia="Arial" w:hAnsi="Arial"/>
                <w:sz w:val="14"/>
                <w:szCs w:val="14"/>
                <w:b w:val="1"/>
                <w:bCs w:val="1"/>
                <w:color w:val="auto"/>
              </w:rPr>
              <w:t>Change %</w:t>
            </w:r>
          </w:p>
        </w:tc>
        <w:tc>
          <w:tcPr>
            <w:tcW w:w="100" w:type="dxa"/>
            <w:vAlign w:val="bottom"/>
          </w:tcPr>
          <w:p>
            <w:pPr>
              <w:spacing w:after="0"/>
              <w:rPr>
                <w:sz w:val="14"/>
                <w:szCs w:val="14"/>
                <w:color w:val="auto"/>
              </w:rPr>
            </w:pPr>
          </w:p>
        </w:tc>
        <w:tc>
          <w:tcPr>
            <w:tcW w:w="1500" w:type="dxa"/>
            <w:vAlign w:val="bottom"/>
            <w:gridSpan w:val="4"/>
          </w:tcPr>
          <w:p>
            <w:pPr>
              <w:jc w:val="right"/>
              <w:ind w:right="368"/>
              <w:spacing w:after="0"/>
              <w:rPr>
                <w:sz w:val="20"/>
                <w:szCs w:val="20"/>
                <w:color w:val="auto"/>
              </w:rPr>
            </w:pPr>
            <w:r>
              <w:rPr>
                <w:rFonts w:ascii="Arial" w:cs="Arial" w:eastAsia="Arial" w:hAnsi="Arial"/>
                <w:sz w:val="14"/>
                <w:szCs w:val="14"/>
                <w:b w:val="1"/>
                <w:bCs w:val="1"/>
                <w:color w:val="auto"/>
              </w:rPr>
              <w:t>Year to date</w:t>
            </w:r>
          </w:p>
        </w:tc>
        <w:tc>
          <w:tcPr>
            <w:tcW w:w="220" w:type="dxa"/>
            <w:vAlign w:val="bottom"/>
          </w:tcPr>
          <w:p>
            <w:pPr>
              <w:spacing w:after="0"/>
              <w:rPr>
                <w:sz w:val="14"/>
                <w:szCs w:val="14"/>
                <w:color w:val="auto"/>
              </w:rPr>
            </w:pPr>
          </w:p>
        </w:tc>
        <w:tc>
          <w:tcPr>
            <w:tcW w:w="108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71"/>
        </w:trPr>
        <w:tc>
          <w:tcPr>
            <w:tcW w:w="3760" w:type="dxa"/>
            <w:vAlign w:val="bottom"/>
          </w:tcPr>
          <w:p>
            <w:pPr>
              <w:spacing w:after="0"/>
              <w:rPr>
                <w:sz w:val="20"/>
                <w:szCs w:val="20"/>
                <w:color w:val="auto"/>
              </w:rPr>
            </w:pPr>
            <w:r>
              <w:rPr>
                <w:rFonts w:ascii="Arial" w:cs="Arial" w:eastAsia="Arial" w:hAnsi="Arial"/>
                <w:sz w:val="14"/>
                <w:szCs w:val="14"/>
                <w:color w:val="auto"/>
              </w:rPr>
              <w:t>US$ 000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8"/>
              <w:spacing w:after="0"/>
              <w:rPr>
                <w:sz w:val="20"/>
                <w:szCs w:val="20"/>
                <w:color w:val="auto"/>
              </w:rPr>
            </w:pPr>
            <w:r>
              <w:rPr>
                <w:rFonts w:ascii="Arial" w:cs="Arial" w:eastAsia="Arial" w:hAnsi="Arial"/>
                <w:sz w:val="14"/>
                <w:szCs w:val="14"/>
                <w:b w:val="1"/>
                <w:bCs w:val="1"/>
                <w:color w:val="auto"/>
              </w:rPr>
              <w:t>2Q13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8"/>
              <w:spacing w:after="0"/>
              <w:rPr>
                <w:sz w:val="20"/>
                <w:szCs w:val="20"/>
                <w:color w:val="auto"/>
              </w:rPr>
            </w:pPr>
            <w:r>
              <w:rPr>
                <w:rFonts w:ascii="Arial" w:cs="Arial" w:eastAsia="Arial" w:hAnsi="Arial"/>
                <w:sz w:val="14"/>
                <w:szCs w:val="14"/>
                <w:b w:val="1"/>
                <w:bCs w:val="1"/>
                <w:color w:val="auto"/>
              </w:rPr>
              <w:t>1Q13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8"/>
              <w:spacing w:after="0"/>
              <w:rPr>
                <w:sz w:val="20"/>
                <w:szCs w:val="20"/>
                <w:color w:val="auto"/>
              </w:rPr>
            </w:pPr>
            <w:r>
              <w:rPr>
                <w:rFonts w:ascii="Arial" w:cs="Arial" w:eastAsia="Arial" w:hAnsi="Arial"/>
                <w:sz w:val="14"/>
                <w:szCs w:val="14"/>
                <w:b w:val="1"/>
                <w:bCs w:val="1"/>
                <w:color w:val="auto"/>
              </w:rPr>
              <w:t>2Q12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108"/>
              <w:spacing w:after="0"/>
              <w:rPr>
                <w:sz w:val="20"/>
                <w:szCs w:val="20"/>
                <w:color w:val="auto"/>
              </w:rPr>
            </w:pPr>
            <w:r>
              <w:rPr>
                <w:rFonts w:ascii="Arial" w:cs="Arial" w:eastAsia="Arial" w:hAnsi="Arial"/>
                <w:sz w:val="14"/>
                <w:szCs w:val="14"/>
                <w:b w:val="1"/>
                <w:bCs w:val="1"/>
                <w:color w:val="auto"/>
              </w:rPr>
              <w:t>QoQ</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ind w:left="80"/>
              <w:spacing w:after="0"/>
              <w:rPr>
                <w:sz w:val="20"/>
                <w:szCs w:val="20"/>
                <w:color w:val="auto"/>
              </w:rPr>
            </w:pPr>
            <w:r>
              <w:rPr>
                <w:rFonts w:ascii="Arial" w:cs="Arial" w:eastAsia="Arial" w:hAnsi="Arial"/>
                <w:sz w:val="14"/>
                <w:szCs w:val="14"/>
                <w:b w:val="1"/>
                <w:bCs w:val="1"/>
                <w:color w:val="auto"/>
              </w:rPr>
              <w:t>YoY</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b w:val="1"/>
                <w:bCs w:val="1"/>
                <w:color w:val="auto"/>
                <w:w w:val="94"/>
              </w:rPr>
              <w:t>Jun 13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b w:val="1"/>
                <w:bCs w:val="1"/>
                <w:color w:val="auto"/>
                <w:w w:val="94"/>
              </w:rPr>
              <w:t>Jun.12</w:t>
            </w:r>
          </w:p>
        </w:tc>
        <w:tc>
          <w:tcPr>
            <w:tcW w:w="130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rPr>
              <w:t>Jun 13 / Jun 12</w:t>
            </w:r>
          </w:p>
        </w:tc>
        <w:tc>
          <w:tcPr>
            <w:tcW w:w="0" w:type="dxa"/>
            <w:vAlign w:val="bottom"/>
          </w:tcPr>
          <w:p>
            <w:pPr>
              <w:spacing w:after="0"/>
              <w:rPr>
                <w:sz w:val="1"/>
                <w:szCs w:val="1"/>
                <w:color w:val="auto"/>
              </w:rPr>
            </w:pPr>
          </w:p>
        </w:tc>
      </w:tr>
      <w:tr>
        <w:trPr>
          <w:trHeight w:val="20"/>
        </w:trPr>
        <w:tc>
          <w:tcPr>
            <w:tcW w:w="37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00" w:type="dxa"/>
            <w:vAlign w:val="bottom"/>
            <w:vMerge w:val="restart"/>
            <w:shd w:val="clear" w:color="auto" w:fill="CCFFCC"/>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6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Net interest and dividend income (1)</w:t>
            </w:r>
          </w:p>
        </w:tc>
        <w:tc>
          <w:tcPr>
            <w:tcW w:w="100" w:type="dxa"/>
            <w:vAlign w:val="bottom"/>
            <w:vMerge w:val="continue"/>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405,388</w:t>
            </w:r>
          </w:p>
        </w:tc>
        <w:tc>
          <w:tcPr>
            <w:tcW w:w="220" w:type="dxa"/>
            <w:vAlign w:val="bottom"/>
            <w:vMerge w:val="continue"/>
            <w:shd w:val="clear" w:color="auto" w:fill="CCFFCC"/>
          </w:tcPr>
          <w:p>
            <w:pPr>
              <w:spacing w:after="0"/>
              <w:rPr>
                <w:sz w:val="12"/>
                <w:szCs w:val="12"/>
                <w:color w:val="auto"/>
              </w:rPr>
            </w:pPr>
          </w:p>
        </w:tc>
        <w:tc>
          <w:tcPr>
            <w:tcW w:w="6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411,908</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355,261</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-1.6%</w:t>
            </w:r>
          </w:p>
        </w:tc>
        <w:tc>
          <w:tcPr>
            <w:tcW w:w="100" w:type="dxa"/>
            <w:vAlign w:val="bottom"/>
            <w:shd w:val="clear" w:color="auto" w:fill="CCFFCC"/>
          </w:tcPr>
          <w:p>
            <w:pPr>
              <w:spacing w:after="0"/>
              <w:rPr>
                <w:sz w:val="12"/>
                <w:szCs w:val="12"/>
                <w:color w:val="auto"/>
              </w:rPr>
            </w:pPr>
          </w:p>
        </w:tc>
        <w:tc>
          <w:tcPr>
            <w:tcW w:w="800" w:type="dxa"/>
            <w:vAlign w:val="bottom"/>
            <w:gridSpan w:val="2"/>
            <w:shd w:val="clear" w:color="auto" w:fill="CCFFCC"/>
          </w:tcPr>
          <w:p>
            <w:pPr>
              <w:ind w:left="280"/>
              <w:spacing w:after="0" w:line="142" w:lineRule="exact"/>
              <w:rPr>
                <w:sz w:val="20"/>
                <w:szCs w:val="20"/>
                <w:color w:val="auto"/>
              </w:rPr>
            </w:pPr>
            <w:r>
              <w:rPr>
                <w:rFonts w:ascii="Arial" w:cs="Arial" w:eastAsia="Arial" w:hAnsi="Arial"/>
                <w:sz w:val="14"/>
                <w:szCs w:val="14"/>
                <w:color w:val="auto"/>
              </w:rPr>
              <w:t>14.1%</w:t>
            </w:r>
          </w:p>
        </w:tc>
        <w:tc>
          <w:tcPr>
            <w:tcW w:w="70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817,296</w:t>
            </w:r>
          </w:p>
        </w:tc>
        <w:tc>
          <w:tcPr>
            <w:tcW w:w="200" w:type="dxa"/>
            <w:vAlign w:val="bottom"/>
            <w:vMerge w:val="continue"/>
            <w:shd w:val="clear" w:color="auto" w:fill="CCFFCC"/>
          </w:tcPr>
          <w:p>
            <w:pPr>
              <w:spacing w:after="0"/>
              <w:rPr>
                <w:sz w:val="12"/>
                <w:szCs w:val="12"/>
                <w:color w:val="auto"/>
              </w:rPr>
            </w:pPr>
          </w:p>
        </w:tc>
        <w:tc>
          <w:tcPr>
            <w:tcW w:w="70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697,760</w:t>
            </w:r>
          </w:p>
        </w:tc>
        <w:tc>
          <w:tcPr>
            <w:tcW w:w="220" w:type="dxa"/>
            <w:vAlign w:val="bottom"/>
            <w:vMerge w:val="continue"/>
            <w:shd w:val="clear" w:color="auto" w:fill="CCFFCC"/>
          </w:tcPr>
          <w:p>
            <w:pPr>
              <w:spacing w:after="0"/>
              <w:rPr>
                <w:sz w:val="12"/>
                <w:szCs w:val="12"/>
                <w:color w:val="auto"/>
              </w:rPr>
            </w:pPr>
          </w:p>
        </w:tc>
        <w:tc>
          <w:tcPr>
            <w:tcW w:w="1080" w:type="dxa"/>
            <w:vAlign w:val="bottom"/>
            <w:gridSpan w:val="3"/>
            <w:shd w:val="clear" w:color="auto" w:fill="CCFFCC"/>
          </w:tcPr>
          <w:p>
            <w:pPr>
              <w:jc w:val="right"/>
              <w:spacing w:after="0" w:line="142" w:lineRule="exact"/>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49"/>
        </w:trPr>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Fee income, net (2)</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163,155</w:t>
            </w: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151,912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145,823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7.4%</w:t>
            </w:r>
          </w:p>
        </w:tc>
        <w:tc>
          <w:tcPr>
            <w:tcW w:w="100" w:type="dxa"/>
            <w:vAlign w:val="bottom"/>
          </w:tcPr>
          <w:p>
            <w:pPr>
              <w:spacing w:after="0"/>
              <w:rPr>
                <w:sz w:val="12"/>
                <w:szCs w:val="12"/>
                <w:color w:val="auto"/>
              </w:rPr>
            </w:pPr>
          </w:p>
        </w:tc>
        <w:tc>
          <w:tcPr>
            <w:tcW w:w="8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11.9%</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315,067</w:t>
            </w:r>
          </w:p>
        </w:tc>
        <w:tc>
          <w:tcPr>
            <w:tcW w:w="9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287,808</w:t>
            </w:r>
          </w:p>
        </w:tc>
        <w:tc>
          <w:tcPr>
            <w:tcW w:w="13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62"/>
        </w:trPr>
        <w:tc>
          <w:tcPr>
            <w:tcW w:w="39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Net gain on foreign exchange transactions (2)</w:t>
            </w:r>
          </w:p>
        </w:tc>
        <w:tc>
          <w:tcPr>
            <w:tcW w:w="5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52,216</w:t>
            </w:r>
          </w:p>
        </w:tc>
        <w:tc>
          <w:tcPr>
            <w:tcW w:w="880" w:type="dxa"/>
            <w:vAlign w:val="bottom"/>
            <w:gridSpan w:val="3"/>
            <w:shd w:val="clear" w:color="auto" w:fill="CCFFCC"/>
          </w:tcPr>
          <w:p>
            <w:pPr>
              <w:jc w:val="right"/>
              <w:spacing w:after="0"/>
              <w:rPr>
                <w:sz w:val="20"/>
                <w:szCs w:val="20"/>
                <w:color w:val="auto"/>
              </w:rPr>
            </w:pPr>
            <w:r>
              <w:rPr>
                <w:rFonts w:ascii="Arial" w:cs="Arial" w:eastAsia="Arial" w:hAnsi="Arial"/>
                <w:sz w:val="14"/>
                <w:szCs w:val="14"/>
                <w:color w:val="auto"/>
              </w:rPr>
              <w:t>46,570</w:t>
            </w:r>
          </w:p>
        </w:tc>
        <w:tc>
          <w:tcPr>
            <w:tcW w:w="2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42,660</w:t>
            </w:r>
          </w:p>
        </w:tc>
        <w:tc>
          <w:tcPr>
            <w:tcW w:w="2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FFCC"/>
          </w:tcPr>
          <w:p>
            <w:pPr>
              <w:spacing w:after="0"/>
              <w:rPr>
                <w:sz w:val="14"/>
                <w:szCs w:val="14"/>
                <w:color w:val="auto"/>
              </w:rPr>
            </w:pPr>
          </w:p>
        </w:tc>
        <w:tc>
          <w:tcPr>
            <w:tcW w:w="800" w:type="dxa"/>
            <w:vAlign w:val="bottom"/>
            <w:gridSpan w:val="2"/>
            <w:shd w:val="clear" w:color="auto" w:fill="CCFFCC"/>
          </w:tcPr>
          <w:p>
            <w:pPr>
              <w:ind w:left="280"/>
              <w:spacing w:after="0"/>
              <w:rPr>
                <w:sz w:val="20"/>
                <w:szCs w:val="20"/>
                <w:color w:val="auto"/>
              </w:rPr>
            </w:pPr>
            <w:r>
              <w:rPr>
                <w:rFonts w:ascii="Arial" w:cs="Arial" w:eastAsia="Arial" w:hAnsi="Arial"/>
                <w:sz w:val="14"/>
                <w:szCs w:val="14"/>
                <w:color w:val="auto"/>
              </w:rPr>
              <w:t>22.4%</w:t>
            </w:r>
          </w:p>
        </w:tc>
        <w:tc>
          <w:tcPr>
            <w:tcW w:w="7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98,786</w:t>
            </w:r>
          </w:p>
        </w:tc>
        <w:tc>
          <w:tcPr>
            <w:tcW w:w="900" w:type="dxa"/>
            <w:vAlign w:val="bottom"/>
            <w:gridSpan w:val="3"/>
            <w:shd w:val="clear" w:color="auto" w:fill="CCFFCC"/>
          </w:tcPr>
          <w:p>
            <w:pPr>
              <w:jc w:val="right"/>
              <w:spacing w:after="0"/>
              <w:rPr>
                <w:sz w:val="20"/>
                <w:szCs w:val="20"/>
                <w:color w:val="auto"/>
              </w:rPr>
            </w:pPr>
            <w:r>
              <w:rPr>
                <w:rFonts w:ascii="Arial" w:cs="Arial" w:eastAsia="Arial" w:hAnsi="Arial"/>
                <w:sz w:val="14"/>
                <w:szCs w:val="14"/>
                <w:color w:val="auto"/>
              </w:rPr>
              <w:t>81,990</w:t>
            </w:r>
          </w:p>
        </w:tc>
        <w:tc>
          <w:tcPr>
            <w:tcW w:w="1300" w:type="dxa"/>
            <w:vAlign w:val="bottom"/>
            <w:gridSpan w:val="4"/>
            <w:shd w:val="clear" w:color="auto" w:fill="CCFFCC"/>
          </w:tcPr>
          <w:p>
            <w:pPr>
              <w:jc w:val="right"/>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157"/>
        </w:trPr>
        <w:tc>
          <w:tcPr>
            <w:tcW w:w="396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Core income</w:t>
            </w:r>
          </w:p>
        </w:tc>
        <w:tc>
          <w:tcPr>
            <w:tcW w:w="56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620,759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610,390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543,744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1.7</w:t>
            </w:r>
          </w:p>
        </w:tc>
        <w:tc>
          <w:tcPr>
            <w:tcW w:w="260" w:type="dxa"/>
            <w:vAlign w:val="bottom"/>
          </w:tcPr>
          <w:p>
            <w:pPr>
              <w:jc w:val="right"/>
              <w:ind w:right="48"/>
              <w:spacing w:after="0" w:line="157" w:lineRule="exact"/>
              <w:rPr>
                <w:sz w:val="20"/>
                <w:szCs w:val="20"/>
                <w:color w:val="auto"/>
              </w:rPr>
            </w:pPr>
            <w:r>
              <w:rPr>
                <w:rFonts w:ascii="Arial" w:cs="Arial" w:eastAsia="Arial" w:hAnsi="Arial"/>
                <w:sz w:val="14"/>
                <w:szCs w:val="14"/>
                <w:b w:val="1"/>
                <w:bCs w:val="1"/>
                <w:color w:val="auto"/>
                <w:w w:val="96"/>
              </w:rPr>
              <w:t>%</w:t>
            </w:r>
          </w:p>
        </w:tc>
        <w:tc>
          <w:tcPr>
            <w:tcW w:w="100" w:type="dxa"/>
            <w:vAlign w:val="bottom"/>
          </w:tcPr>
          <w:p>
            <w:pPr>
              <w:spacing w:after="0"/>
              <w:rPr>
                <w:sz w:val="13"/>
                <w:szCs w:val="13"/>
                <w:color w:val="auto"/>
              </w:rPr>
            </w:pPr>
          </w:p>
        </w:tc>
        <w:tc>
          <w:tcPr>
            <w:tcW w:w="540" w:type="dxa"/>
            <w:vAlign w:val="bottom"/>
            <w:tcBorders>
              <w:top w:val="single" w:sz="8" w:color="auto"/>
            </w:tcBorders>
          </w:tcPr>
          <w:p>
            <w:pPr>
              <w:ind w:left="280"/>
              <w:spacing w:after="0" w:line="157" w:lineRule="exact"/>
              <w:rPr>
                <w:sz w:val="20"/>
                <w:szCs w:val="20"/>
                <w:color w:val="auto"/>
              </w:rPr>
            </w:pPr>
            <w:r>
              <w:rPr>
                <w:rFonts w:ascii="Arial" w:cs="Arial" w:eastAsia="Arial" w:hAnsi="Arial"/>
                <w:sz w:val="14"/>
                <w:szCs w:val="14"/>
                <w:b w:val="1"/>
                <w:bCs w:val="1"/>
                <w:color w:val="auto"/>
                <w:w w:val="87"/>
              </w:rPr>
              <w:t>14.2</w:t>
            </w:r>
          </w:p>
        </w:tc>
        <w:tc>
          <w:tcPr>
            <w:tcW w:w="260" w:type="dxa"/>
            <w:vAlign w:val="bottom"/>
          </w:tcPr>
          <w:p>
            <w:pPr>
              <w:jc w:val="right"/>
              <w:ind w:right="48"/>
              <w:spacing w:after="0" w:line="157" w:lineRule="exact"/>
              <w:rPr>
                <w:sz w:val="20"/>
                <w:szCs w:val="20"/>
                <w:color w:val="auto"/>
              </w:rPr>
            </w:pPr>
            <w:r>
              <w:rPr>
                <w:rFonts w:ascii="Arial" w:cs="Arial" w:eastAsia="Arial" w:hAnsi="Arial"/>
                <w:sz w:val="14"/>
                <w:szCs w:val="14"/>
                <w:b w:val="1"/>
                <w:bCs w:val="1"/>
                <w:color w:val="auto"/>
                <w:w w:val="96"/>
              </w:rPr>
              <w:t>%</w:t>
            </w:r>
          </w:p>
        </w:tc>
        <w:tc>
          <w:tcPr>
            <w:tcW w:w="100" w:type="dxa"/>
            <w:vAlign w:val="bottom"/>
          </w:tcPr>
          <w:p>
            <w:pPr>
              <w:spacing w:after="0"/>
              <w:rPr>
                <w:sz w:val="13"/>
                <w:szCs w:val="13"/>
                <w:color w:val="auto"/>
              </w:rPr>
            </w:pPr>
          </w:p>
        </w:tc>
        <w:tc>
          <w:tcPr>
            <w:tcW w:w="6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u w:val="single" w:color="auto"/>
                <w:color w:val="auto"/>
                <w:w w:val="89"/>
              </w:rPr>
              <w:t>1,231,149</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u w:val="single" w:color="auto"/>
                <w:color w:val="auto"/>
                <w:w w:val="86"/>
              </w:rPr>
              <w:t>1,067,558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15.3</w:t>
            </w:r>
          </w:p>
        </w:tc>
        <w:tc>
          <w:tcPr>
            <w:tcW w:w="160" w:type="dxa"/>
            <w:vAlign w:val="bottom"/>
          </w:tcPr>
          <w:p>
            <w:pPr>
              <w:jc w:val="right"/>
              <w:spacing w:after="0" w:line="157"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6591300</wp:posOffset>
            </wp:positionH>
            <wp:positionV relativeFrom="paragraph">
              <wp:posOffset>-8890</wp:posOffset>
            </wp:positionV>
            <wp:extent cx="4972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-8890</wp:posOffset>
            </wp:positionV>
            <wp:extent cx="25901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ind w:left="420" w:hanging="250"/>
        <w:spacing w:after="0"/>
        <w:tabs>
          <w:tab w:leader="none" w:pos="42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See note 1 in BCP and Subsidiaries income statement.</w:t>
      </w:r>
    </w:p>
    <w:p>
      <w:pPr>
        <w:spacing w:after="0" w:line="7" w:lineRule="exact"/>
        <w:rPr>
          <w:rFonts w:ascii="Arial" w:cs="Arial" w:eastAsia="Arial" w:hAnsi="Arial"/>
          <w:sz w:val="18"/>
          <w:szCs w:val="18"/>
          <w:i w:val="1"/>
          <w:iCs w:val="1"/>
          <w:color w:val="auto"/>
        </w:rPr>
      </w:pPr>
    </w:p>
    <w:p>
      <w:pPr>
        <w:ind w:left="420" w:hanging="250"/>
        <w:spacing w:after="0"/>
        <w:tabs>
          <w:tab w:leader="none" w:pos="42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See note 3 in BCP and Subsidiaries income statement.</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Finally, it is important to note that Core Income grew +1.7% QoQ and +14.2% YoY with all items showing an excellent performance that is evident when we analyze them in the currency they are generated.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II.1 Interest-earning assets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Interest-earning assets denominated in LC, which represent 46.9% of total interest-earning assets, expanded +1.4% QoQ; nevertheless, the impact of the devaluation of the Nuevo Sol, and the -5.5% QoQ contraction of assets denominated in FC explain the -5.3% QoQ reduction in the total interest-earning asset level.</w:t>
      </w:r>
    </w:p>
    <w:p>
      <w:pPr>
        <w:spacing w:after="0" w:line="16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0" w:type="dxa"/>
            <w:vAlign w:val="bottom"/>
            <w:gridSpan w:val="6"/>
          </w:tcPr>
          <w:p>
            <w:pPr>
              <w:ind w:left="100"/>
              <w:spacing w:after="0"/>
              <w:rPr>
                <w:sz w:val="20"/>
                <w:szCs w:val="20"/>
                <w:color w:val="auto"/>
              </w:rPr>
            </w:pPr>
            <w:r>
              <w:rPr>
                <w:rFonts w:ascii="Arial" w:cs="Arial" w:eastAsia="Arial" w:hAnsi="Arial"/>
                <w:sz w:val="14"/>
                <w:szCs w:val="14"/>
                <w:b w:val="1"/>
                <w:bCs w:val="1"/>
                <w:color w:val="auto"/>
              </w:rPr>
              <w:t>Local Currency (LC)</w:t>
            </w:r>
          </w:p>
        </w:tc>
        <w:tc>
          <w:tcPr>
            <w:tcW w:w="12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Part. %</w:t>
            </w:r>
          </w:p>
        </w:tc>
        <w:tc>
          <w:tcPr>
            <w:tcW w:w="880" w:type="dxa"/>
            <w:vAlign w:val="bottom"/>
          </w:tcPr>
          <w:p>
            <w:pPr>
              <w:spacing w:after="0"/>
              <w:rPr>
                <w:sz w:val="14"/>
                <w:szCs w:val="14"/>
                <w:color w:val="auto"/>
              </w:rPr>
            </w:pPr>
          </w:p>
        </w:tc>
        <w:tc>
          <w:tcPr>
            <w:tcW w:w="1600" w:type="dxa"/>
            <w:vAlign w:val="bottom"/>
            <w:gridSpan w:val="6"/>
          </w:tcPr>
          <w:p>
            <w:pPr>
              <w:ind w:left="20"/>
              <w:spacing w:after="0"/>
              <w:rPr>
                <w:sz w:val="20"/>
                <w:szCs w:val="20"/>
                <w:color w:val="auto"/>
              </w:rPr>
            </w:pPr>
            <w:r>
              <w:rPr>
                <w:rFonts w:ascii="Arial" w:cs="Arial" w:eastAsia="Arial" w:hAnsi="Arial"/>
                <w:sz w:val="14"/>
                <w:szCs w:val="14"/>
                <w:b w:val="1"/>
                <w:bCs w:val="1"/>
                <w:color w:val="auto"/>
              </w:rPr>
              <w:t>Foreign Currency (FC)</w:t>
            </w: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Part. %</w:t>
            </w:r>
          </w:p>
        </w:tc>
        <w:tc>
          <w:tcPr>
            <w:tcW w:w="0" w:type="dxa"/>
            <w:vAlign w:val="bottom"/>
          </w:tcPr>
          <w:p>
            <w:pPr>
              <w:spacing w:after="0"/>
              <w:rPr>
                <w:sz w:val="1"/>
                <w:szCs w:val="1"/>
                <w:color w:val="auto"/>
              </w:rPr>
            </w:pPr>
          </w:p>
        </w:tc>
      </w:tr>
      <w:tr>
        <w:trPr>
          <w:trHeight w:val="186"/>
        </w:trPr>
        <w:tc>
          <w:tcPr>
            <w:tcW w:w="3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 in Interest earning assets by the currency in</w:t>
            </w:r>
          </w:p>
        </w:tc>
        <w:tc>
          <w:tcPr>
            <w:tcW w:w="1400" w:type="dxa"/>
            <w:vAlign w:val="bottom"/>
            <w:gridSpan w:val="4"/>
          </w:tcPr>
          <w:p>
            <w:pPr>
              <w:ind w:left="680"/>
              <w:spacing w:after="0"/>
              <w:rPr>
                <w:sz w:val="20"/>
                <w:szCs w:val="20"/>
                <w:color w:val="auto"/>
              </w:rPr>
            </w:pPr>
            <w:r>
              <w:rPr>
                <w:rFonts w:ascii="Arial" w:cs="Arial" w:eastAsia="Arial" w:hAnsi="Arial"/>
                <w:sz w:val="14"/>
                <w:szCs w:val="14"/>
                <w:b w:val="1"/>
                <w:bCs w:val="1"/>
                <w:color w:val="auto"/>
              </w:rPr>
              <w:t>Change %</w:t>
            </w: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400" w:type="dxa"/>
            <w:vAlign w:val="bottom"/>
            <w:gridSpan w:val="4"/>
          </w:tcPr>
          <w:p>
            <w:pPr>
              <w:ind w:left="680"/>
              <w:spacing w:after="0"/>
              <w:rPr>
                <w:sz w:val="20"/>
                <w:szCs w:val="20"/>
                <w:color w:val="auto"/>
              </w:rPr>
            </w:pPr>
            <w:r>
              <w:rPr>
                <w:rFonts w:ascii="Arial" w:cs="Arial" w:eastAsia="Arial" w:hAnsi="Arial"/>
                <w:sz w:val="14"/>
                <w:szCs w:val="14"/>
                <w:b w:val="1"/>
                <w:bCs w:val="1"/>
                <w:color w:val="auto"/>
              </w:rPr>
              <w:t>Change %</w:t>
            </w: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3960" w:type="dxa"/>
            <w:vAlign w:val="bottom"/>
            <w:gridSpan w:val="3"/>
            <w:vMerge w:val="continue"/>
          </w:tcPr>
          <w:p>
            <w:pPr>
              <w:spacing w:after="0"/>
              <w:rPr>
                <w:sz w:val="9"/>
                <w:szCs w:val="9"/>
                <w:color w:val="auto"/>
              </w:rPr>
            </w:pPr>
          </w:p>
        </w:tc>
        <w:tc>
          <w:tcPr>
            <w:tcW w:w="8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QoQ</w:t>
            </w:r>
          </w:p>
        </w:tc>
        <w:tc>
          <w:tcPr>
            <w:tcW w:w="240" w:type="dxa"/>
            <w:vAlign w:val="bottom"/>
            <w:vMerge w:val="restart"/>
          </w:tcPr>
          <w:p>
            <w:pPr>
              <w:spacing w:after="0"/>
              <w:rPr>
                <w:sz w:val="9"/>
                <w:szCs w:val="9"/>
                <w:color w:val="auto"/>
              </w:rPr>
            </w:pPr>
          </w:p>
        </w:tc>
        <w:tc>
          <w:tcPr>
            <w:tcW w:w="280" w:type="dxa"/>
            <w:vAlign w:val="bottom"/>
            <w:gridSpan w:val="2"/>
            <w:vMerge w:val="restart"/>
          </w:tcPr>
          <w:p>
            <w:pPr>
              <w:spacing w:after="0"/>
              <w:rPr>
                <w:sz w:val="9"/>
                <w:szCs w:val="9"/>
                <w:color w:val="auto"/>
              </w:rPr>
            </w:pPr>
          </w:p>
        </w:tc>
        <w:tc>
          <w:tcPr>
            <w:tcW w:w="7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YoY</w:t>
            </w:r>
          </w:p>
        </w:tc>
        <w:tc>
          <w:tcPr>
            <w:tcW w:w="260" w:type="dxa"/>
            <w:vAlign w:val="bottom"/>
            <w:vMerge w:val="restart"/>
          </w:tcPr>
          <w:p>
            <w:pPr>
              <w:spacing w:after="0"/>
              <w:rPr>
                <w:sz w:val="9"/>
                <w:szCs w:val="9"/>
                <w:color w:val="auto"/>
              </w:rPr>
            </w:pPr>
          </w:p>
        </w:tc>
        <w:tc>
          <w:tcPr>
            <w:tcW w:w="100" w:type="dxa"/>
            <w:vAlign w:val="bottom"/>
            <w:vMerge w:val="restart"/>
          </w:tcPr>
          <w:p>
            <w:pPr>
              <w:spacing w:after="0"/>
              <w:rPr>
                <w:sz w:val="9"/>
                <w:szCs w:val="9"/>
                <w:color w:val="auto"/>
              </w:rPr>
            </w:pPr>
          </w:p>
        </w:tc>
        <w:tc>
          <w:tcPr>
            <w:tcW w:w="8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2Q13</w:t>
            </w:r>
          </w:p>
        </w:tc>
        <w:tc>
          <w:tcPr>
            <w:tcW w:w="260" w:type="dxa"/>
            <w:vAlign w:val="bottom"/>
            <w:vMerge w:val="restart"/>
          </w:tcPr>
          <w:p>
            <w:pPr>
              <w:spacing w:after="0"/>
              <w:rPr>
                <w:sz w:val="9"/>
                <w:szCs w:val="9"/>
                <w:color w:val="auto"/>
              </w:rPr>
            </w:pPr>
          </w:p>
        </w:tc>
        <w:tc>
          <w:tcPr>
            <w:tcW w:w="100" w:type="dxa"/>
            <w:vAlign w:val="bottom"/>
            <w:vMerge w:val="restart"/>
          </w:tcPr>
          <w:p>
            <w:pPr>
              <w:spacing w:after="0"/>
              <w:rPr>
                <w:sz w:val="9"/>
                <w:szCs w:val="9"/>
                <w:color w:val="auto"/>
              </w:rPr>
            </w:pPr>
          </w:p>
        </w:tc>
        <w:tc>
          <w:tcPr>
            <w:tcW w:w="8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QoQ</w:t>
            </w:r>
          </w:p>
        </w:tc>
        <w:tc>
          <w:tcPr>
            <w:tcW w:w="260" w:type="dxa"/>
            <w:vAlign w:val="bottom"/>
            <w:vMerge w:val="restart"/>
          </w:tcPr>
          <w:p>
            <w:pPr>
              <w:spacing w:after="0"/>
              <w:rPr>
                <w:sz w:val="9"/>
                <w:szCs w:val="9"/>
                <w:color w:val="auto"/>
              </w:rPr>
            </w:pPr>
          </w:p>
        </w:tc>
        <w:tc>
          <w:tcPr>
            <w:tcW w:w="260" w:type="dxa"/>
            <w:vAlign w:val="bottom"/>
            <w:gridSpan w:val="2"/>
            <w:vMerge w:val="restart"/>
          </w:tcPr>
          <w:p>
            <w:pPr>
              <w:spacing w:after="0"/>
              <w:rPr>
                <w:sz w:val="9"/>
                <w:szCs w:val="9"/>
                <w:color w:val="auto"/>
              </w:rPr>
            </w:pPr>
          </w:p>
        </w:tc>
        <w:tc>
          <w:tcPr>
            <w:tcW w:w="7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YoY</w:t>
            </w:r>
          </w:p>
        </w:tc>
        <w:tc>
          <w:tcPr>
            <w:tcW w:w="260" w:type="dxa"/>
            <w:vAlign w:val="bottom"/>
            <w:vMerge w:val="restart"/>
          </w:tcPr>
          <w:p>
            <w:pPr>
              <w:spacing w:after="0"/>
              <w:rPr>
                <w:sz w:val="9"/>
                <w:szCs w:val="9"/>
                <w:color w:val="auto"/>
              </w:rPr>
            </w:pPr>
          </w:p>
        </w:tc>
        <w:tc>
          <w:tcPr>
            <w:tcW w:w="100" w:type="dxa"/>
            <w:vAlign w:val="bottom"/>
            <w:vMerge w:val="restart"/>
          </w:tcPr>
          <w:p>
            <w:pPr>
              <w:spacing w:after="0"/>
              <w:rPr>
                <w:sz w:val="9"/>
                <w:szCs w:val="9"/>
                <w:color w:val="auto"/>
              </w:rPr>
            </w:pPr>
          </w:p>
        </w:tc>
        <w:tc>
          <w:tcPr>
            <w:tcW w:w="8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2Q13</w:t>
            </w:r>
          </w:p>
        </w:tc>
        <w:tc>
          <w:tcPr>
            <w:tcW w:w="16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3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which they were generated</w:t>
            </w:r>
          </w:p>
        </w:tc>
        <w:tc>
          <w:tcPr>
            <w:tcW w:w="100" w:type="dxa"/>
            <w:vAlign w:val="bottom"/>
            <w:tcBorders>
              <w:bottom w:val="single" w:sz="8" w:color="CCFFC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FFCC"/>
            </w:tcBorders>
            <w:vMerge w:val="continue"/>
          </w:tcPr>
          <w:p>
            <w:pPr>
              <w:spacing w:after="0"/>
              <w:rPr>
                <w:sz w:val="14"/>
                <w:szCs w:val="14"/>
                <w:color w:val="auto"/>
              </w:rPr>
            </w:pPr>
          </w:p>
        </w:tc>
        <w:tc>
          <w:tcPr>
            <w:tcW w:w="280" w:type="dxa"/>
            <w:vAlign w:val="bottom"/>
            <w:tcBorders>
              <w:bottom w:val="single" w:sz="8" w:color="auto"/>
            </w:tcBorders>
            <w:gridSpan w:val="2"/>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FFCC"/>
            </w:tcBorders>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FFCC"/>
            </w:tcBorders>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FFCC"/>
            </w:tcBorders>
            <w:vMerge w:val="continue"/>
          </w:tcPr>
          <w:p>
            <w:pPr>
              <w:spacing w:after="0"/>
              <w:rPr>
                <w:sz w:val="14"/>
                <w:szCs w:val="14"/>
                <w:color w:val="auto"/>
              </w:rPr>
            </w:pPr>
          </w:p>
        </w:tc>
        <w:tc>
          <w:tcPr>
            <w:tcW w:w="260" w:type="dxa"/>
            <w:vAlign w:val="bottom"/>
            <w:tcBorders>
              <w:bottom w:val="single" w:sz="8" w:color="auto"/>
            </w:tcBorders>
            <w:gridSpan w:val="2"/>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FFCC"/>
            </w:tcBorders>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FFC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6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BCRP and other banks</w:t>
            </w: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-11.7%</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88"/>
              <w:spacing w:after="0" w:line="142" w:lineRule="exact"/>
              <w:rPr>
                <w:sz w:val="20"/>
                <w:szCs w:val="20"/>
                <w:color w:val="auto"/>
              </w:rPr>
            </w:pPr>
            <w:r>
              <w:rPr>
                <w:rFonts w:ascii="Arial" w:cs="Arial" w:eastAsia="Arial" w:hAnsi="Arial"/>
                <w:sz w:val="14"/>
                <w:szCs w:val="14"/>
                <w:color w:val="auto"/>
              </w:rPr>
              <w:t>100.6%</w:t>
            </w:r>
          </w:p>
        </w:tc>
        <w:tc>
          <w:tcPr>
            <w:tcW w:w="10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ind w:left="620"/>
              <w:spacing w:after="0" w:line="142" w:lineRule="exact"/>
              <w:rPr>
                <w:sz w:val="20"/>
                <w:szCs w:val="20"/>
                <w:color w:val="auto"/>
              </w:rPr>
            </w:pPr>
            <w:r>
              <w:rPr>
                <w:rFonts w:ascii="Arial" w:cs="Arial" w:eastAsia="Arial" w:hAnsi="Arial"/>
                <w:sz w:val="14"/>
                <w:szCs w:val="14"/>
                <w:color w:val="auto"/>
              </w:rPr>
              <w:t>31.5%</w:t>
            </w:r>
          </w:p>
        </w:tc>
        <w:tc>
          <w:tcPr>
            <w:tcW w:w="10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-18.4%</w:t>
            </w: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20.3%</w:t>
            </w:r>
          </w:p>
        </w:tc>
        <w:tc>
          <w:tcPr>
            <w:tcW w:w="1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ind w:left="620"/>
              <w:spacing w:after="0" w:line="142" w:lineRule="exact"/>
              <w:rPr>
                <w:sz w:val="20"/>
                <w:szCs w:val="20"/>
                <w:color w:val="auto"/>
              </w:rPr>
            </w:pPr>
            <w:r>
              <w:rPr>
                <w:rFonts w:ascii="Arial" w:cs="Arial" w:eastAsia="Arial" w:hAnsi="Arial"/>
                <w:sz w:val="14"/>
                <w:szCs w:val="14"/>
                <w:color w:val="auto"/>
              </w:rPr>
              <w:t>68.5%</w:t>
            </w:r>
          </w:p>
        </w:tc>
        <w:tc>
          <w:tcPr>
            <w:tcW w:w="0" w:type="dxa"/>
            <w:vAlign w:val="bottom"/>
          </w:tcPr>
          <w:p>
            <w:pPr>
              <w:spacing w:after="0"/>
              <w:rPr>
                <w:sz w:val="1"/>
                <w:szCs w:val="1"/>
                <w:color w:val="auto"/>
              </w:rPr>
            </w:pPr>
          </w:p>
        </w:tc>
      </w:tr>
      <w:tr>
        <w:trPr>
          <w:trHeight w:val="149"/>
        </w:trPr>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Interbank funds</w:t>
            </w:r>
          </w:p>
        </w:tc>
        <w:tc>
          <w:tcPr>
            <w:tcW w:w="11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769.9%</w:t>
            </w:r>
          </w:p>
        </w:tc>
        <w:tc>
          <w:tcPr>
            <w:tcW w:w="100" w:type="dxa"/>
            <w:vAlign w:val="bottom"/>
          </w:tcPr>
          <w:p>
            <w:pPr>
              <w:spacing w:after="0"/>
              <w:rPr>
                <w:sz w:val="12"/>
                <w:szCs w:val="12"/>
                <w:color w:val="auto"/>
              </w:rPr>
            </w:pPr>
          </w:p>
        </w:tc>
        <w:tc>
          <w:tcPr>
            <w:tcW w:w="11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29.0%</w:t>
            </w:r>
          </w:p>
        </w:tc>
        <w:tc>
          <w:tcPr>
            <w:tcW w:w="100" w:type="dxa"/>
            <w:vAlign w:val="bottom"/>
          </w:tcPr>
          <w:p>
            <w:pPr>
              <w:spacing w:after="0"/>
              <w:rPr>
                <w:sz w:val="12"/>
                <w:szCs w:val="12"/>
                <w:color w:val="auto"/>
              </w:rPr>
            </w:pPr>
          </w:p>
        </w:tc>
        <w:tc>
          <w:tcPr>
            <w:tcW w:w="11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234.4%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1237.5%</w:t>
            </w:r>
          </w:p>
        </w:tc>
        <w:tc>
          <w:tcPr>
            <w:tcW w:w="100" w:type="dxa"/>
            <w:vAlign w:val="bottom"/>
          </w:tcPr>
          <w:p>
            <w:pPr>
              <w:spacing w:after="0"/>
              <w:rPr>
                <w:sz w:val="12"/>
                <w:szCs w:val="12"/>
                <w:color w:val="auto"/>
              </w:rPr>
            </w:pPr>
          </w:p>
        </w:tc>
        <w:tc>
          <w:tcPr>
            <w:tcW w:w="10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71.0%</w:t>
            </w:r>
          </w:p>
        </w:tc>
        <w:tc>
          <w:tcPr>
            <w:tcW w:w="0" w:type="dxa"/>
            <w:vAlign w:val="bottom"/>
          </w:tcPr>
          <w:p>
            <w:pPr>
              <w:spacing w:after="0"/>
              <w:rPr>
                <w:sz w:val="1"/>
                <w:szCs w:val="1"/>
                <w:color w:val="auto"/>
              </w:rPr>
            </w:pPr>
          </w:p>
        </w:tc>
      </w:tr>
      <w:tr>
        <w:trPr>
          <w:trHeight w:val="149"/>
        </w:trPr>
        <w:tc>
          <w:tcPr>
            <w:tcW w:w="3960" w:type="dxa"/>
            <w:vAlign w:val="bottom"/>
            <w:gridSpan w:val="3"/>
            <w:shd w:val="clear" w:color="auto" w:fill="CCFFCC"/>
          </w:tcPr>
          <w:p>
            <w:pPr>
              <w:spacing w:after="0" w:line="149" w:lineRule="exact"/>
              <w:rPr>
                <w:sz w:val="20"/>
                <w:szCs w:val="20"/>
                <w:color w:val="auto"/>
              </w:rPr>
            </w:pPr>
            <w:r>
              <w:rPr>
                <w:rFonts w:ascii="Arial" w:cs="Arial" w:eastAsia="Arial" w:hAnsi="Arial"/>
                <w:sz w:val="14"/>
                <w:szCs w:val="14"/>
                <w:color w:val="auto"/>
              </w:rPr>
              <w:t>Trading securities</w:t>
            </w:r>
          </w:p>
        </w:tc>
        <w:tc>
          <w:tcPr>
            <w:tcW w:w="11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173.1%</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160.8%</w:t>
            </w:r>
          </w:p>
        </w:tc>
        <w:tc>
          <w:tcPr>
            <w:tcW w:w="10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ind w:left="620"/>
              <w:spacing w:after="0" w:line="149" w:lineRule="exact"/>
              <w:rPr>
                <w:sz w:val="20"/>
                <w:szCs w:val="20"/>
                <w:color w:val="auto"/>
              </w:rPr>
            </w:pPr>
            <w:r>
              <w:rPr>
                <w:rFonts w:ascii="Arial" w:cs="Arial" w:eastAsia="Arial" w:hAnsi="Arial"/>
                <w:sz w:val="14"/>
                <w:szCs w:val="14"/>
                <w:color w:val="auto"/>
              </w:rPr>
              <w:t>75.7%</w:t>
            </w:r>
          </w:p>
        </w:tc>
        <w:tc>
          <w:tcPr>
            <w:tcW w:w="10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-82.0%</w:t>
            </w: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-78.9%</w:t>
            </w:r>
          </w:p>
        </w:tc>
        <w:tc>
          <w:tcPr>
            <w:tcW w:w="1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ind w:left="620"/>
              <w:spacing w:after="0" w:line="149" w:lineRule="exact"/>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49"/>
        </w:trPr>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Securities available for sale</w:t>
            </w:r>
          </w:p>
        </w:tc>
        <w:tc>
          <w:tcPr>
            <w:tcW w:w="11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7.9%</w:t>
            </w:r>
          </w:p>
        </w:tc>
        <w:tc>
          <w:tcPr>
            <w:tcW w:w="100" w:type="dxa"/>
            <w:vAlign w:val="bottom"/>
          </w:tcPr>
          <w:p>
            <w:pPr>
              <w:spacing w:after="0"/>
              <w:rPr>
                <w:sz w:val="12"/>
                <w:szCs w:val="12"/>
                <w:color w:val="auto"/>
              </w:rPr>
            </w:pPr>
          </w:p>
        </w:tc>
        <w:tc>
          <w:tcPr>
            <w:tcW w:w="11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68.5%</w:t>
            </w:r>
          </w:p>
        </w:tc>
        <w:tc>
          <w:tcPr>
            <w:tcW w:w="100" w:type="dxa"/>
            <w:vAlign w:val="bottom"/>
          </w:tcPr>
          <w:p>
            <w:pPr>
              <w:spacing w:after="0"/>
              <w:rPr>
                <w:sz w:val="12"/>
                <w:szCs w:val="12"/>
                <w:color w:val="auto"/>
              </w:rPr>
            </w:pPr>
          </w:p>
        </w:tc>
        <w:tc>
          <w:tcPr>
            <w:tcW w:w="11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17.6%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36.8%</w:t>
            </w:r>
          </w:p>
        </w:tc>
        <w:tc>
          <w:tcPr>
            <w:tcW w:w="100" w:type="dxa"/>
            <w:vAlign w:val="bottom"/>
          </w:tcPr>
          <w:p>
            <w:pPr>
              <w:spacing w:after="0"/>
              <w:rPr>
                <w:sz w:val="12"/>
                <w:szCs w:val="12"/>
                <w:color w:val="auto"/>
              </w:rPr>
            </w:pPr>
          </w:p>
        </w:tc>
        <w:tc>
          <w:tcPr>
            <w:tcW w:w="10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162"/>
        </w:trPr>
        <w:tc>
          <w:tcPr>
            <w:tcW w:w="39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Current loans</w:t>
            </w:r>
          </w:p>
        </w:tc>
        <w:tc>
          <w:tcPr>
            <w:tcW w:w="112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88"/>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FFCC"/>
          </w:tcPr>
          <w:p>
            <w:pPr>
              <w:spacing w:after="0"/>
              <w:rPr>
                <w:sz w:val="14"/>
                <w:szCs w:val="14"/>
                <w:color w:val="auto"/>
              </w:rPr>
            </w:pPr>
          </w:p>
        </w:tc>
        <w:tc>
          <w:tcPr>
            <w:tcW w:w="1140" w:type="dxa"/>
            <w:vAlign w:val="bottom"/>
            <w:gridSpan w:val="2"/>
            <w:shd w:val="clear" w:color="auto" w:fill="CCFFCC"/>
          </w:tcPr>
          <w:p>
            <w:pPr>
              <w:ind w:left="620"/>
              <w:spacing w:after="0"/>
              <w:rPr>
                <w:sz w:val="20"/>
                <w:szCs w:val="20"/>
                <w:color w:val="auto"/>
              </w:rPr>
            </w:pPr>
            <w:r>
              <w:rPr>
                <w:rFonts w:ascii="Arial" w:cs="Arial" w:eastAsia="Arial" w:hAnsi="Arial"/>
                <w:sz w:val="14"/>
                <w:szCs w:val="14"/>
                <w:color w:val="auto"/>
              </w:rPr>
              <w:t>46.5%</w:t>
            </w:r>
          </w:p>
        </w:tc>
        <w:tc>
          <w:tcPr>
            <w:tcW w:w="100" w:type="dxa"/>
            <w:vAlign w:val="bottom"/>
            <w:shd w:val="clear" w:color="auto" w:fill="CCFFCC"/>
          </w:tcPr>
          <w:p>
            <w:pPr>
              <w:spacing w:after="0"/>
              <w:rPr>
                <w:sz w:val="14"/>
                <w:szCs w:val="14"/>
                <w:color w:val="auto"/>
              </w:rPr>
            </w:pPr>
          </w:p>
        </w:tc>
        <w:tc>
          <w:tcPr>
            <w:tcW w:w="114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FFCC"/>
          </w:tcPr>
          <w:p>
            <w:pPr>
              <w:spacing w:after="0"/>
              <w:rPr>
                <w:sz w:val="14"/>
                <w:szCs w:val="14"/>
                <w:color w:val="auto"/>
              </w:rPr>
            </w:pPr>
          </w:p>
        </w:tc>
        <w:tc>
          <w:tcPr>
            <w:tcW w:w="1040" w:type="dxa"/>
            <w:vAlign w:val="bottom"/>
            <w:gridSpan w:val="2"/>
            <w:shd w:val="clear" w:color="auto" w:fill="CCFFCC"/>
          </w:tcPr>
          <w:p>
            <w:pPr>
              <w:ind w:left="620"/>
              <w:spacing w:after="0"/>
              <w:rPr>
                <w:sz w:val="20"/>
                <w:szCs w:val="20"/>
                <w:color w:val="auto"/>
              </w:rPr>
            </w:pPr>
            <w:r>
              <w:rPr>
                <w:rFonts w:ascii="Arial" w:cs="Arial" w:eastAsia="Arial" w:hAnsi="Arial"/>
                <w:sz w:val="14"/>
                <w:szCs w:val="14"/>
                <w:color w:val="auto"/>
              </w:rPr>
              <w:t>53.5%</w:t>
            </w:r>
          </w:p>
        </w:tc>
        <w:tc>
          <w:tcPr>
            <w:tcW w:w="0" w:type="dxa"/>
            <w:vAlign w:val="bottom"/>
          </w:tcPr>
          <w:p>
            <w:pPr>
              <w:spacing w:after="0"/>
              <w:rPr>
                <w:sz w:val="1"/>
                <w:szCs w:val="1"/>
                <w:color w:val="auto"/>
              </w:rPr>
            </w:pPr>
          </w:p>
        </w:tc>
      </w:tr>
      <w:tr>
        <w:trPr>
          <w:trHeight w:val="142"/>
        </w:trPr>
        <w:tc>
          <w:tcPr>
            <w:tcW w:w="39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Total interest earning assets</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1.4</w:t>
            </w:r>
          </w:p>
        </w:tc>
        <w:tc>
          <w:tcPr>
            <w:tcW w:w="24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79"/>
              </w:rPr>
              <w:t>%</w:t>
            </w: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25.8</w:t>
            </w:r>
          </w:p>
        </w:tc>
        <w:tc>
          <w:tcPr>
            <w:tcW w:w="26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100" w:type="dxa"/>
            <w:vAlign w:val="bottom"/>
          </w:tcPr>
          <w:p>
            <w:pPr>
              <w:spacing w:after="0"/>
              <w:rPr>
                <w:sz w:val="12"/>
                <w:szCs w:val="12"/>
                <w:color w:val="auto"/>
              </w:rPr>
            </w:pPr>
          </w:p>
        </w:tc>
        <w:tc>
          <w:tcPr>
            <w:tcW w:w="880" w:type="dxa"/>
            <w:vAlign w:val="bottom"/>
            <w:tcBorders>
              <w:top w:val="single" w:sz="8" w:color="auto"/>
              <w:bottom w:val="single" w:sz="8" w:color="auto"/>
            </w:tcBorders>
          </w:tcPr>
          <w:p>
            <w:pPr>
              <w:ind w:left="620"/>
              <w:spacing w:after="0" w:line="142" w:lineRule="exact"/>
              <w:rPr>
                <w:sz w:val="20"/>
                <w:szCs w:val="20"/>
                <w:color w:val="auto"/>
              </w:rPr>
            </w:pPr>
            <w:r>
              <w:rPr>
                <w:rFonts w:ascii="Arial" w:cs="Arial" w:eastAsia="Arial" w:hAnsi="Arial"/>
                <w:sz w:val="14"/>
                <w:szCs w:val="14"/>
                <w:b w:val="1"/>
                <w:bCs w:val="1"/>
                <w:color w:val="auto"/>
                <w:w w:val="87"/>
              </w:rPr>
              <w:t>46.9</w:t>
            </w:r>
          </w:p>
        </w:tc>
        <w:tc>
          <w:tcPr>
            <w:tcW w:w="26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10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-5.5</w:t>
            </w:r>
          </w:p>
        </w:tc>
        <w:tc>
          <w:tcPr>
            <w:tcW w:w="26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10.6</w:t>
            </w:r>
          </w:p>
        </w:tc>
        <w:tc>
          <w:tcPr>
            <w:tcW w:w="26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100" w:type="dxa"/>
            <w:vAlign w:val="bottom"/>
          </w:tcPr>
          <w:p>
            <w:pPr>
              <w:spacing w:after="0"/>
              <w:rPr>
                <w:sz w:val="12"/>
                <w:szCs w:val="12"/>
                <w:color w:val="auto"/>
              </w:rPr>
            </w:pPr>
          </w:p>
        </w:tc>
        <w:tc>
          <w:tcPr>
            <w:tcW w:w="880" w:type="dxa"/>
            <w:vAlign w:val="bottom"/>
            <w:tcBorders>
              <w:top w:val="single" w:sz="8" w:color="auto"/>
              <w:bottom w:val="single" w:sz="8" w:color="auto"/>
            </w:tcBorders>
          </w:tcPr>
          <w:p>
            <w:pPr>
              <w:ind w:left="620"/>
              <w:spacing w:after="0" w:line="142" w:lineRule="exact"/>
              <w:rPr>
                <w:sz w:val="20"/>
                <w:szCs w:val="20"/>
                <w:color w:val="auto"/>
              </w:rPr>
            </w:pPr>
            <w:r>
              <w:rPr>
                <w:rFonts w:ascii="Arial" w:cs="Arial" w:eastAsia="Arial" w:hAnsi="Arial"/>
                <w:sz w:val="14"/>
                <w:szCs w:val="14"/>
                <w:b w:val="1"/>
                <w:bCs w:val="1"/>
                <w:color w:val="auto"/>
                <w:w w:val="87"/>
              </w:rPr>
              <w:t>53.1</w:t>
            </w:r>
          </w:p>
        </w:tc>
        <w:tc>
          <w:tcPr>
            <w:tcW w:w="1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Interest-earning assets in LC posted growth of +1.4% QoQ and +25.8% YoY. Within these assets, LC loans performed particularly well and reported a +5.8% expansion QoQ and +22.5% YoY. This was due primarily to dynamism in the Retail Banking segment, which will be discussed in-depth later in this report.</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Interest-earning assets in FC fell -5.5% QoQ. This was due primarily to a decrease in assets held in the BCR and other banks, as well as, a moderate contraction in FC loans, which was particularly evident in Wholesale Banking (to be discussed later). Nevertheless, this component expanded +10.6% YoY and posted growth in virtually every segment.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All of the aforementioned account for the -5.3% QoQ contraction in total interest-earning assets as outlined in the table below:</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240" w:type="dxa"/>
            <w:vAlign w:val="bottom"/>
            <w:gridSpan w:val="3"/>
          </w:tcPr>
          <w:p>
            <w:pPr>
              <w:spacing w:after="0"/>
              <w:rPr>
                <w:sz w:val="20"/>
                <w:szCs w:val="20"/>
                <w:color w:val="auto"/>
              </w:rPr>
            </w:pPr>
            <w:r>
              <w:rPr>
                <w:rFonts w:ascii="Arial" w:cs="Arial" w:eastAsia="Arial" w:hAnsi="Arial"/>
                <w:sz w:val="14"/>
                <w:szCs w:val="14"/>
                <w:b w:val="1"/>
                <w:bCs w:val="1"/>
                <w:color w:val="auto"/>
              </w:rPr>
              <w:t>Interest earning assets</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ind w:left="140"/>
              <w:spacing w:after="0"/>
              <w:rPr>
                <w:sz w:val="20"/>
                <w:szCs w:val="20"/>
                <w:color w:val="auto"/>
              </w:rPr>
            </w:pPr>
            <w:r>
              <w:rPr>
                <w:rFonts w:ascii="Arial" w:cs="Arial" w:eastAsia="Arial" w:hAnsi="Arial"/>
                <w:sz w:val="14"/>
                <w:szCs w:val="14"/>
                <w:b w:val="1"/>
                <w:bCs w:val="1"/>
                <w:color w:val="auto"/>
              </w:rPr>
              <w:t>Quarter</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gridSpan w:val="4"/>
          </w:tcPr>
          <w:p>
            <w:pPr>
              <w:ind w:left="140"/>
              <w:spacing w:after="0"/>
              <w:rPr>
                <w:sz w:val="20"/>
                <w:szCs w:val="20"/>
                <w:color w:val="auto"/>
              </w:rPr>
            </w:pPr>
            <w:r>
              <w:rPr>
                <w:rFonts w:ascii="Arial" w:cs="Arial" w:eastAsia="Arial" w:hAnsi="Arial"/>
                <w:sz w:val="14"/>
                <w:szCs w:val="14"/>
                <w:b w:val="1"/>
                <w:bCs w:val="1"/>
                <w:color w:val="auto"/>
              </w:rPr>
              <w:t>Change %</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5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US$ 000</w:t>
            </w:r>
          </w:p>
        </w:tc>
        <w:tc>
          <w:tcPr>
            <w:tcW w:w="100" w:type="dxa"/>
            <w:vAlign w:val="bottom"/>
            <w:tcBorders>
              <w:bottom w:val="single" w:sz="8" w:color="CCFFC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2Q13</w:t>
            </w:r>
          </w:p>
        </w:tc>
        <w:tc>
          <w:tcPr>
            <w:tcW w:w="220" w:type="dxa"/>
            <w:vAlign w:val="bottom"/>
            <w:tcBorders>
              <w:bottom w:val="single" w:sz="8" w:color="CCFFC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1Q13</w:t>
            </w:r>
          </w:p>
        </w:tc>
        <w:tc>
          <w:tcPr>
            <w:tcW w:w="220" w:type="dxa"/>
            <w:vAlign w:val="bottom"/>
            <w:tcBorders>
              <w:bottom w:val="single" w:sz="8" w:color="CCFFC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2Q12</w:t>
            </w:r>
          </w:p>
        </w:tc>
        <w:tc>
          <w:tcPr>
            <w:tcW w:w="200" w:type="dxa"/>
            <w:vAlign w:val="bottom"/>
            <w:tcBorders>
              <w:bottom w:val="single" w:sz="8" w:color="CCFFC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w w:val="92"/>
              </w:rPr>
              <w:t>QoQ</w:t>
            </w: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CCFFC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YoY</w:t>
            </w:r>
          </w:p>
        </w:tc>
        <w:tc>
          <w:tcPr>
            <w:tcW w:w="160" w:type="dxa"/>
            <w:vAlign w:val="bottom"/>
            <w:tcBorders>
              <w:bottom w:val="single" w:sz="8" w:color="CCFFCC"/>
            </w:tcBorders>
          </w:tcPr>
          <w:p>
            <w:pPr>
              <w:spacing w:after="0"/>
              <w:rPr>
                <w:sz w:val="14"/>
                <w:szCs w:val="14"/>
                <w:color w:val="auto"/>
              </w:rPr>
            </w:pPr>
          </w:p>
        </w:tc>
      </w:tr>
      <w:tr>
        <w:trPr>
          <w:trHeight w:val="142"/>
        </w:trPr>
        <w:tc>
          <w:tcPr>
            <w:tcW w:w="504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BCRP and other banks (1)</w:t>
            </w: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6,254,247</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7,598,218</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4,570,284</w:t>
            </w: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60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w w:val="99"/>
              </w:rPr>
              <w:t>-17.7%</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36.8%</w:t>
            </w:r>
          </w:p>
        </w:tc>
      </w:tr>
      <w:tr>
        <w:trPr>
          <w:trHeight w:val="149"/>
        </w:trPr>
        <w:tc>
          <w:tcPr>
            <w:tcW w:w="5240" w:type="dxa"/>
            <w:vAlign w:val="bottom"/>
            <w:gridSpan w:val="3"/>
          </w:tcPr>
          <w:p>
            <w:pPr>
              <w:spacing w:after="0" w:line="149" w:lineRule="exact"/>
              <w:rPr>
                <w:sz w:val="20"/>
                <w:szCs w:val="20"/>
                <w:color w:val="auto"/>
              </w:rPr>
            </w:pPr>
            <w:r>
              <w:rPr>
                <w:rFonts w:ascii="Arial" w:cs="Arial" w:eastAsia="Arial" w:hAnsi="Arial"/>
                <w:sz w:val="14"/>
                <w:szCs w:val="14"/>
                <w:color w:val="auto"/>
              </w:rPr>
              <w:t>Interbank funds</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75,389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16,000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6,621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w w:val="92"/>
              </w:rPr>
              <w:t>371.2%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1038.6%</w:t>
            </w:r>
          </w:p>
        </w:tc>
      </w:tr>
      <w:tr>
        <w:trPr>
          <w:trHeight w:val="149"/>
        </w:trPr>
        <w:tc>
          <w:tcPr>
            <w:tcW w:w="5240" w:type="dxa"/>
            <w:vAlign w:val="bottom"/>
            <w:gridSpan w:val="3"/>
            <w:shd w:val="clear" w:color="auto" w:fill="CCFFCC"/>
          </w:tcPr>
          <w:p>
            <w:pPr>
              <w:spacing w:after="0" w:line="149" w:lineRule="exact"/>
              <w:rPr>
                <w:sz w:val="20"/>
                <w:szCs w:val="20"/>
                <w:color w:val="auto"/>
              </w:rPr>
            </w:pPr>
            <w:r>
              <w:rPr>
                <w:rFonts w:ascii="Arial" w:cs="Arial" w:eastAsia="Arial" w:hAnsi="Arial"/>
                <w:sz w:val="14"/>
                <w:szCs w:val="14"/>
                <w:color w:val="auto"/>
              </w:rPr>
              <w:t>Trading securities (2)</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111,930</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184,086</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162,617</w:t>
            </w: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60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w w:val="99"/>
              </w:rPr>
              <w:t>-39.2%</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-31.2%</w:t>
            </w:r>
          </w:p>
        </w:tc>
      </w:tr>
      <w:tr>
        <w:trPr>
          <w:trHeight w:val="149"/>
        </w:trPr>
        <w:tc>
          <w:tcPr>
            <w:tcW w:w="5240" w:type="dxa"/>
            <w:vAlign w:val="bottom"/>
            <w:gridSpan w:val="3"/>
          </w:tcPr>
          <w:p>
            <w:pPr>
              <w:spacing w:after="0" w:line="149" w:lineRule="exact"/>
              <w:rPr>
                <w:sz w:val="20"/>
                <w:szCs w:val="20"/>
                <w:color w:val="auto"/>
              </w:rPr>
            </w:pPr>
            <w:r>
              <w:rPr>
                <w:rFonts w:ascii="Arial" w:cs="Arial" w:eastAsia="Arial" w:hAnsi="Arial"/>
                <w:sz w:val="14"/>
                <w:szCs w:val="14"/>
                <w:color w:val="auto"/>
              </w:rPr>
              <w:t>Securities available for sale (3)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4,955,672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5,165,095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4,483,200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w:t>
            </w:r>
          </w:p>
        </w:tc>
      </w:tr>
      <w:tr>
        <w:trPr>
          <w:trHeight w:val="162"/>
        </w:trPr>
        <w:tc>
          <w:tcPr>
            <w:tcW w:w="524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Loans (4)</w:t>
            </w: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20,687,219</w:t>
            </w:r>
          </w:p>
        </w:tc>
        <w:tc>
          <w:tcPr>
            <w:tcW w:w="2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20,905,587</w:t>
            </w:r>
          </w:p>
        </w:tc>
        <w:tc>
          <w:tcPr>
            <w:tcW w:w="2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18,599,092</w:t>
            </w:r>
          </w:p>
        </w:tc>
        <w:tc>
          <w:tcPr>
            <w:tcW w:w="2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540" w:type="dxa"/>
            <w:vAlign w:val="bottom"/>
            <w:shd w:val="clear" w:color="auto" w:fill="CCFFCC"/>
          </w:tcPr>
          <w:p>
            <w:pPr>
              <w:spacing w:after="0"/>
              <w:rPr>
                <w:sz w:val="14"/>
                <w:szCs w:val="14"/>
                <w:color w:val="auto"/>
              </w:rPr>
            </w:pPr>
          </w:p>
        </w:tc>
        <w:tc>
          <w:tcPr>
            <w:tcW w:w="60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11.2%</w:t>
            </w:r>
          </w:p>
        </w:tc>
      </w:tr>
      <w:tr>
        <w:trPr>
          <w:trHeight w:val="157"/>
        </w:trPr>
        <w:tc>
          <w:tcPr>
            <w:tcW w:w="524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Total interest earning assets</w:t>
            </w:r>
          </w:p>
        </w:tc>
        <w:tc>
          <w:tcPr>
            <w:tcW w:w="9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32,084,457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33,868,986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27,821,814</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-5.3</w:t>
            </w:r>
          </w:p>
        </w:tc>
        <w:tc>
          <w:tcPr>
            <w:tcW w:w="260" w:type="dxa"/>
            <w:vAlign w:val="bottom"/>
          </w:tcPr>
          <w:p>
            <w:pPr>
              <w:jc w:val="right"/>
              <w:ind w:right="48"/>
              <w:spacing w:after="0" w:line="157" w:lineRule="exact"/>
              <w:rPr>
                <w:sz w:val="20"/>
                <w:szCs w:val="20"/>
                <w:color w:val="auto"/>
              </w:rPr>
            </w:pPr>
            <w:r>
              <w:rPr>
                <w:rFonts w:ascii="Arial" w:cs="Arial" w:eastAsia="Arial" w:hAnsi="Arial"/>
                <w:sz w:val="14"/>
                <w:szCs w:val="14"/>
                <w:b w:val="1"/>
                <w:bCs w:val="1"/>
                <w:color w:val="auto"/>
                <w:w w:val="96"/>
              </w:rPr>
              <w:t>%</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15.3</w:t>
            </w:r>
          </w:p>
        </w:tc>
        <w:tc>
          <w:tcPr>
            <w:tcW w:w="160" w:type="dxa"/>
            <w:vAlign w:val="bottom"/>
          </w:tcPr>
          <w:p>
            <w:pPr>
              <w:jc w:val="right"/>
              <w:spacing w:after="0" w:line="157" w:lineRule="exact"/>
              <w:rPr>
                <w:sz w:val="20"/>
                <w:szCs w:val="20"/>
                <w:color w:val="auto"/>
              </w:rPr>
            </w:pPr>
            <w:r>
              <w:rPr>
                <w:rFonts w:ascii="Arial" w:cs="Arial" w:eastAsia="Arial" w:hAnsi="Arial"/>
                <w:sz w:val="14"/>
                <w:szCs w:val="14"/>
                <w:b w:val="1"/>
                <w:bCs w:val="1"/>
                <w:color w:val="auto"/>
                <w:w w:val="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-8890</wp:posOffset>
            </wp:positionV>
            <wp:extent cx="36791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i w:val="1"/>
          <w:iCs w:val="1"/>
          <w:color w:val="auto"/>
        </w:rPr>
        <w:t>(1)1Q13 and 2Q12 figures differ from figures previously reported.1Q13 figure differs in US$7,800; 2Q12 figure differs in US$4,800.</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See note (*) for more detail regarding the reasons for the change in the figures.</w:t>
      </w:r>
    </w:p>
    <w:p>
      <w:pPr>
        <w:spacing w:after="0" w:line="9" w:lineRule="exact"/>
        <w:rPr>
          <w:sz w:val="20"/>
          <w:szCs w:val="20"/>
          <w:color w:val="auto"/>
        </w:rPr>
      </w:pPr>
    </w:p>
    <w:p>
      <w:pPr>
        <w:ind w:left="420" w:hanging="250"/>
        <w:spacing w:after="0"/>
        <w:tabs>
          <w:tab w:leader="none" w:pos="4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See note 2 in BCP and Subsidiaries balance sheet.</w:t>
      </w:r>
    </w:p>
    <w:p>
      <w:pPr>
        <w:spacing w:after="0" w:line="9" w:lineRule="exact"/>
        <w:rPr>
          <w:rFonts w:ascii="Arial" w:cs="Arial" w:eastAsia="Arial" w:hAnsi="Arial"/>
          <w:sz w:val="18"/>
          <w:szCs w:val="18"/>
          <w:i w:val="1"/>
          <w:iCs w:val="1"/>
          <w:color w:val="auto"/>
        </w:rPr>
      </w:pPr>
    </w:p>
    <w:p>
      <w:pPr>
        <w:ind w:left="420" w:hanging="250"/>
        <w:spacing w:after="0"/>
        <w:tabs>
          <w:tab w:leader="none" w:pos="4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See note 3 in BCP and Subsidiaries balance sheet.</w:t>
      </w:r>
    </w:p>
    <w:p>
      <w:pPr>
        <w:spacing w:after="0" w:line="9" w:lineRule="exact"/>
        <w:rPr>
          <w:rFonts w:ascii="Arial" w:cs="Arial" w:eastAsia="Arial" w:hAnsi="Arial"/>
          <w:sz w:val="18"/>
          <w:szCs w:val="18"/>
          <w:i w:val="1"/>
          <w:iCs w:val="1"/>
          <w:color w:val="auto"/>
        </w:rPr>
      </w:pPr>
    </w:p>
    <w:p>
      <w:pPr>
        <w:ind w:left="420" w:hanging="250"/>
        <w:spacing w:after="0"/>
        <w:tabs>
          <w:tab w:leader="none" w:pos="4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We have adjusted this account to include all loans (current and past due loans).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2" w:name="page13"/>
    <w:bookmarkEnd w:id="12"/>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Loan Portfolio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Daily Balances</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80" w:type="dxa"/>
            <w:vAlign w:val="bottom"/>
            <w:gridSpan w:val="11"/>
          </w:tcPr>
          <w:p>
            <w:pPr>
              <w:jc w:val="center"/>
              <w:ind w:right="340"/>
              <w:spacing w:after="0"/>
              <w:rPr>
                <w:sz w:val="20"/>
                <w:szCs w:val="20"/>
                <w:color w:val="auto"/>
              </w:rPr>
            </w:pPr>
            <w:r>
              <w:rPr>
                <w:rFonts w:ascii="Arial" w:cs="Arial" w:eastAsia="Arial" w:hAnsi="Arial"/>
                <w:sz w:val="14"/>
                <w:szCs w:val="14"/>
                <w:b w:val="1"/>
                <w:bCs w:val="1"/>
                <w:color w:val="auto"/>
              </w:rPr>
              <w:t>DOMESTIC CURRENCY LOANS (1)</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80" w:type="dxa"/>
            <w:vAlign w:val="bottom"/>
            <w:gridSpan w:val="10"/>
          </w:tcPr>
          <w:p>
            <w:pPr>
              <w:jc w:val="center"/>
              <w:ind w:right="320"/>
              <w:spacing w:after="0"/>
              <w:rPr>
                <w:sz w:val="20"/>
                <w:szCs w:val="20"/>
                <w:color w:val="auto"/>
              </w:rPr>
            </w:pPr>
            <w:r>
              <w:rPr>
                <w:rFonts w:ascii="Arial" w:cs="Arial" w:eastAsia="Arial" w:hAnsi="Arial"/>
                <w:sz w:val="14"/>
                <w:szCs w:val="14"/>
                <w:b w:val="1"/>
                <w:bCs w:val="1"/>
                <w:color w:val="auto"/>
              </w:rPr>
              <w:t>FOREIGN CURRENCY LOANS (1)</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58"/>
        </w:trPr>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7"/>
          </w:tcPr>
          <w:p>
            <w:pPr>
              <w:jc w:val="center"/>
              <w:ind w:left="368"/>
              <w:spacing w:after="0" w:line="158" w:lineRule="exact"/>
              <w:rPr>
                <w:sz w:val="20"/>
                <w:szCs w:val="20"/>
                <w:color w:val="auto"/>
              </w:rPr>
            </w:pPr>
            <w:r>
              <w:rPr>
                <w:rFonts w:ascii="Arial" w:cs="Arial" w:eastAsia="Arial" w:hAnsi="Arial"/>
                <w:sz w:val="14"/>
                <w:szCs w:val="14"/>
                <w:i w:val="1"/>
                <w:iCs w:val="1"/>
                <w:color w:val="auto"/>
                <w:w w:val="94"/>
              </w:rPr>
              <w:t>(Nuevos Soles million)</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20" w:type="dxa"/>
            <w:vAlign w:val="bottom"/>
            <w:gridSpan w:val="5"/>
          </w:tcPr>
          <w:p>
            <w:pPr>
              <w:jc w:val="center"/>
              <w:ind w:right="80"/>
              <w:spacing w:after="0" w:line="158" w:lineRule="exact"/>
              <w:rPr>
                <w:sz w:val="20"/>
                <w:szCs w:val="20"/>
                <w:color w:val="auto"/>
              </w:rPr>
            </w:pPr>
            <w:r>
              <w:rPr>
                <w:rFonts w:ascii="Arial" w:cs="Arial" w:eastAsia="Arial" w:hAnsi="Arial"/>
                <w:sz w:val="14"/>
                <w:szCs w:val="14"/>
                <w:i w:val="1"/>
                <w:iCs w:val="1"/>
                <w:color w:val="auto"/>
                <w:w w:val="97"/>
              </w:rPr>
              <w:t>(US$ million)</w:t>
            </w: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71"/>
        </w:trPr>
        <w:tc>
          <w:tcPr>
            <w:tcW w:w="2360" w:type="dxa"/>
            <w:vAlign w:val="bottom"/>
            <w:tcBorders>
              <w:bottom w:val="single" w:sz="8" w:color="CCFFC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2Q13</w:t>
            </w:r>
          </w:p>
        </w:tc>
        <w:tc>
          <w:tcPr>
            <w:tcW w:w="220" w:type="dxa"/>
            <w:vAlign w:val="bottom"/>
            <w:tcBorders>
              <w:bottom w:val="single" w:sz="8" w:color="CCFFC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1Q13</w:t>
            </w:r>
          </w:p>
        </w:tc>
        <w:tc>
          <w:tcPr>
            <w:tcW w:w="220" w:type="dxa"/>
            <w:vAlign w:val="bottom"/>
            <w:tcBorders>
              <w:bottom w:val="single" w:sz="8" w:color="CCFFC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3"/>
              </w:rPr>
              <w:t>2Q12</w:t>
            </w:r>
          </w:p>
        </w:tc>
        <w:tc>
          <w:tcPr>
            <w:tcW w:w="220" w:type="dxa"/>
            <w:vAlign w:val="bottom"/>
            <w:tcBorders>
              <w:bottom w:val="single" w:sz="8" w:color="CCFFCC"/>
            </w:tcBorders>
          </w:tcPr>
          <w:p>
            <w:pPr>
              <w:spacing w:after="0"/>
              <w:rPr>
                <w:sz w:val="14"/>
                <w:szCs w:val="14"/>
                <w:color w:val="auto"/>
              </w:rPr>
            </w:pPr>
          </w:p>
        </w:tc>
        <w:tc>
          <w:tcPr>
            <w:tcW w:w="140" w:type="dxa"/>
            <w:vAlign w:val="bottom"/>
            <w:tcBorders>
              <w:bottom w:val="single" w:sz="8" w:color="auto"/>
            </w:tcBorders>
            <w:gridSpan w:val="2"/>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FFC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YoY</w:t>
            </w:r>
          </w:p>
        </w:tc>
        <w:tc>
          <w:tcPr>
            <w:tcW w:w="240" w:type="dxa"/>
            <w:vAlign w:val="bottom"/>
            <w:tcBorders>
              <w:bottom w:val="single" w:sz="8" w:color="CCFFC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2Q13</w:t>
            </w:r>
          </w:p>
        </w:tc>
        <w:tc>
          <w:tcPr>
            <w:tcW w:w="200" w:type="dxa"/>
            <w:vAlign w:val="bottom"/>
            <w:tcBorders>
              <w:bottom w:val="single" w:sz="8" w:color="CCFFC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1Q13</w:t>
            </w:r>
          </w:p>
        </w:tc>
        <w:tc>
          <w:tcPr>
            <w:tcW w:w="220" w:type="dxa"/>
            <w:vAlign w:val="bottom"/>
            <w:tcBorders>
              <w:bottom w:val="single" w:sz="8" w:color="CCFFC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9"/>
              </w:rPr>
              <w:t>2Q12</w:t>
            </w:r>
          </w:p>
        </w:tc>
        <w:tc>
          <w:tcPr>
            <w:tcW w:w="220" w:type="dxa"/>
            <w:vAlign w:val="bottom"/>
            <w:tcBorders>
              <w:bottom w:val="single" w:sz="8" w:color="CCFFC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FFC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YoY</w:t>
            </w:r>
          </w:p>
        </w:tc>
        <w:tc>
          <w:tcPr>
            <w:tcW w:w="160" w:type="dxa"/>
            <w:vAlign w:val="bottom"/>
            <w:tcBorders>
              <w:bottom w:val="single" w:sz="8" w:color="CCFFCC"/>
            </w:tcBorders>
          </w:tcPr>
          <w:p>
            <w:pPr>
              <w:spacing w:after="0"/>
              <w:rPr>
                <w:sz w:val="14"/>
                <w:szCs w:val="14"/>
                <w:color w:val="auto"/>
              </w:rPr>
            </w:pPr>
          </w:p>
        </w:tc>
      </w:tr>
      <w:tr>
        <w:trPr>
          <w:trHeight w:val="142"/>
        </w:trPr>
        <w:tc>
          <w:tcPr>
            <w:tcW w:w="2360" w:type="dxa"/>
            <w:vAlign w:val="bottom"/>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Wholesale Banking</w:t>
            </w: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5,130.7</w:t>
            </w:r>
          </w:p>
        </w:tc>
        <w:tc>
          <w:tcPr>
            <w:tcW w:w="22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4,869.7</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4,987.8</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780" w:type="dxa"/>
            <w:vAlign w:val="bottom"/>
            <w:gridSpan w:val="2"/>
            <w:shd w:val="clear" w:color="auto" w:fill="CCFFCC"/>
          </w:tcPr>
          <w:p>
            <w:pPr>
              <w:ind w:left="320"/>
              <w:spacing w:after="0" w:line="142" w:lineRule="exact"/>
              <w:rPr>
                <w:sz w:val="20"/>
                <w:szCs w:val="20"/>
                <w:color w:val="auto"/>
              </w:rPr>
            </w:pPr>
            <w:r>
              <w:rPr>
                <w:rFonts w:ascii="Arial" w:cs="Arial" w:eastAsia="Arial" w:hAnsi="Arial"/>
                <w:sz w:val="14"/>
                <w:szCs w:val="14"/>
                <w:b w:val="1"/>
                <w:bCs w:val="1"/>
                <w:color w:val="auto"/>
              </w:rPr>
              <w:t>5.4%</w:t>
            </w:r>
          </w:p>
        </w:tc>
        <w:tc>
          <w:tcPr>
            <w:tcW w:w="10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8"/>
              <w:spacing w:after="0" w:line="142" w:lineRule="exact"/>
              <w:rPr>
                <w:sz w:val="20"/>
                <w:szCs w:val="20"/>
                <w:color w:val="auto"/>
              </w:rPr>
            </w:pPr>
            <w:r>
              <w:rPr>
                <w:rFonts w:ascii="Arial" w:cs="Arial" w:eastAsia="Arial" w:hAnsi="Arial"/>
                <w:sz w:val="14"/>
                <w:szCs w:val="14"/>
                <w:b w:val="1"/>
                <w:bCs w:val="1"/>
                <w:color w:val="auto"/>
              </w:rPr>
              <w:t>2.9%</w:t>
            </w:r>
          </w:p>
        </w:tc>
        <w:tc>
          <w:tcPr>
            <w:tcW w:w="120" w:type="dxa"/>
            <w:vAlign w:val="bottom"/>
            <w:shd w:val="clear" w:color="auto" w:fill="CCFFCC"/>
          </w:tcPr>
          <w:p>
            <w:pPr>
              <w:spacing w:after="0"/>
              <w:rPr>
                <w:sz w:val="12"/>
                <w:szCs w:val="12"/>
                <w:color w:val="auto"/>
              </w:rPr>
            </w:pPr>
          </w:p>
        </w:tc>
        <w:tc>
          <w:tcPr>
            <w:tcW w:w="5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7,433.8</w:t>
            </w:r>
          </w:p>
        </w:tc>
        <w:tc>
          <w:tcPr>
            <w:tcW w:w="20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7,803.3</w:t>
            </w:r>
          </w:p>
        </w:tc>
        <w:tc>
          <w:tcPr>
            <w:tcW w:w="22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6,799.3</w:t>
            </w:r>
          </w:p>
        </w:tc>
        <w:tc>
          <w:tcPr>
            <w:tcW w:w="2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rPr>
              <w:t>-4.7%</w:t>
            </w:r>
          </w:p>
        </w:tc>
        <w:tc>
          <w:tcPr>
            <w:tcW w:w="1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9.3%</w:t>
            </w:r>
          </w:p>
        </w:tc>
      </w:tr>
      <w:tr>
        <w:trPr>
          <w:trHeight w:val="149"/>
        </w:trPr>
        <w:tc>
          <w:tcPr>
            <w:tcW w:w="246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 Corporate</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3,157.6</w:t>
            </w: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2,902.4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3,190.6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8.8%</w:t>
            </w:r>
          </w:p>
        </w:tc>
        <w:tc>
          <w:tcPr>
            <w:tcW w:w="10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-1.0%</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4,732.8</w:t>
            </w:r>
          </w:p>
        </w:tc>
        <w:tc>
          <w:tcPr>
            <w:tcW w:w="8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5,072.7</w:t>
            </w: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4,292.5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-6.7%</w:t>
            </w: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10.3%</w:t>
            </w:r>
          </w:p>
        </w:tc>
      </w:tr>
      <w:tr>
        <w:trPr>
          <w:trHeight w:val="149"/>
        </w:trPr>
        <w:tc>
          <w:tcPr>
            <w:tcW w:w="24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i w:val="1"/>
                <w:iCs w:val="1"/>
                <w:color w:val="auto"/>
              </w:rPr>
              <w:t>- Middle Market</w:t>
            </w:r>
          </w:p>
        </w:tc>
        <w:tc>
          <w:tcPr>
            <w:tcW w:w="5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1,973.2</w:t>
            </w:r>
          </w:p>
        </w:tc>
        <w:tc>
          <w:tcPr>
            <w:tcW w:w="88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color w:val="auto"/>
              </w:rPr>
              <w:t>1,967.4</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1,797.2</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780" w:type="dxa"/>
            <w:vAlign w:val="bottom"/>
            <w:gridSpan w:val="2"/>
            <w:shd w:val="clear" w:color="auto" w:fill="CCFFCC"/>
          </w:tcPr>
          <w:p>
            <w:pPr>
              <w:ind w:left="320"/>
              <w:spacing w:after="0" w:line="149" w:lineRule="exact"/>
              <w:rPr>
                <w:sz w:val="20"/>
                <w:szCs w:val="20"/>
                <w:color w:val="auto"/>
              </w:rPr>
            </w:pPr>
            <w:r>
              <w:rPr>
                <w:rFonts w:ascii="Arial" w:cs="Arial" w:eastAsia="Arial" w:hAnsi="Arial"/>
                <w:sz w:val="14"/>
                <w:szCs w:val="14"/>
                <w:color w:val="auto"/>
              </w:rPr>
              <w:t>0.3%</w:t>
            </w:r>
          </w:p>
        </w:tc>
        <w:tc>
          <w:tcPr>
            <w:tcW w:w="10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9.8%</w:t>
            </w:r>
          </w:p>
        </w:tc>
        <w:tc>
          <w:tcPr>
            <w:tcW w:w="120" w:type="dxa"/>
            <w:vAlign w:val="bottom"/>
            <w:shd w:val="clear" w:color="auto" w:fill="CCFFCC"/>
          </w:tcPr>
          <w:p>
            <w:pPr>
              <w:spacing w:after="0"/>
              <w:rPr>
                <w:sz w:val="12"/>
                <w:szCs w:val="12"/>
                <w:color w:val="auto"/>
              </w:rPr>
            </w:pPr>
          </w:p>
        </w:tc>
        <w:tc>
          <w:tcPr>
            <w:tcW w:w="5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2,701.0</w:t>
            </w:r>
          </w:p>
        </w:tc>
        <w:tc>
          <w:tcPr>
            <w:tcW w:w="86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color w:val="auto"/>
              </w:rPr>
              <w:t>2,730.6</w:t>
            </w:r>
          </w:p>
        </w:tc>
        <w:tc>
          <w:tcPr>
            <w:tcW w:w="88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color w:val="auto"/>
              </w:rPr>
              <w:t>2,506.8</w:t>
            </w:r>
          </w:p>
        </w:tc>
        <w:tc>
          <w:tcPr>
            <w:tcW w:w="2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-1.1%</w:t>
            </w:r>
          </w:p>
        </w:tc>
        <w:tc>
          <w:tcPr>
            <w:tcW w:w="1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7.7%</w:t>
            </w:r>
          </w:p>
        </w:tc>
      </w:tr>
      <w:tr>
        <w:trPr>
          <w:trHeight w:val="149"/>
        </w:trPr>
        <w:tc>
          <w:tcPr>
            <w:tcW w:w="24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Retail Banking</w:t>
            </w: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17,832.8</w:t>
            </w: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16,874.3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13,845.4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ind w:left="320"/>
              <w:spacing w:after="0" w:line="149" w:lineRule="exact"/>
              <w:rPr>
                <w:sz w:val="20"/>
                <w:szCs w:val="20"/>
                <w:color w:val="auto"/>
              </w:rPr>
            </w:pPr>
            <w:r>
              <w:rPr>
                <w:rFonts w:ascii="Arial" w:cs="Arial" w:eastAsia="Arial" w:hAnsi="Arial"/>
                <w:sz w:val="14"/>
                <w:szCs w:val="14"/>
                <w:b w:val="1"/>
                <w:bCs w:val="1"/>
                <w:color w:val="auto"/>
              </w:rPr>
              <w:t>5.7%</w:t>
            </w:r>
          </w:p>
        </w:tc>
        <w:tc>
          <w:tcPr>
            <w:tcW w:w="100" w:type="dxa"/>
            <w:vAlign w:val="bottom"/>
          </w:tcPr>
          <w:p>
            <w:pPr>
              <w:spacing w:after="0"/>
              <w:rPr>
                <w:sz w:val="12"/>
                <w:szCs w:val="12"/>
                <w:color w:val="auto"/>
              </w:rPr>
            </w:pPr>
          </w:p>
        </w:tc>
        <w:tc>
          <w:tcPr>
            <w:tcW w:w="800" w:type="dxa"/>
            <w:vAlign w:val="bottom"/>
            <w:gridSpan w:val="2"/>
          </w:tcPr>
          <w:p>
            <w:pPr>
              <w:jc w:val="right"/>
              <w:ind w:right="28"/>
              <w:spacing w:after="0" w:line="149" w:lineRule="exact"/>
              <w:rPr>
                <w:sz w:val="20"/>
                <w:szCs w:val="20"/>
                <w:color w:val="auto"/>
              </w:rPr>
            </w:pPr>
            <w:r>
              <w:rPr>
                <w:rFonts w:ascii="Arial" w:cs="Arial" w:eastAsia="Arial" w:hAnsi="Arial"/>
                <w:sz w:val="14"/>
                <w:szCs w:val="14"/>
                <w:b w:val="1"/>
                <w:bCs w:val="1"/>
                <w:color w:val="auto"/>
              </w:rPr>
              <w:t>28.8%</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2,922.0</w:t>
            </w:r>
          </w:p>
        </w:tc>
        <w:tc>
          <w:tcPr>
            <w:tcW w:w="8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2,908.8</w:t>
            </w: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2,613.7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0.5%</w:t>
            </w: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11.8%</w:t>
            </w:r>
          </w:p>
        </w:tc>
      </w:tr>
      <w:tr>
        <w:trPr>
          <w:trHeight w:val="149"/>
        </w:trPr>
        <w:tc>
          <w:tcPr>
            <w:tcW w:w="24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i w:val="1"/>
                <w:iCs w:val="1"/>
                <w:color w:val="auto"/>
              </w:rPr>
              <w:t>- SME + Business</w:t>
            </w:r>
          </w:p>
        </w:tc>
        <w:tc>
          <w:tcPr>
            <w:tcW w:w="5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6,514.4</w:t>
            </w:r>
          </w:p>
        </w:tc>
        <w:tc>
          <w:tcPr>
            <w:tcW w:w="88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color w:val="auto"/>
              </w:rPr>
              <w:t>6,122.4</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5,027.2</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780" w:type="dxa"/>
            <w:vAlign w:val="bottom"/>
            <w:gridSpan w:val="2"/>
            <w:shd w:val="clear" w:color="auto" w:fill="CCFFCC"/>
          </w:tcPr>
          <w:p>
            <w:pPr>
              <w:ind w:left="320"/>
              <w:spacing w:after="0" w:line="149" w:lineRule="exact"/>
              <w:rPr>
                <w:sz w:val="20"/>
                <w:szCs w:val="20"/>
                <w:color w:val="auto"/>
              </w:rPr>
            </w:pPr>
            <w:r>
              <w:rPr>
                <w:rFonts w:ascii="Arial" w:cs="Arial" w:eastAsia="Arial" w:hAnsi="Arial"/>
                <w:sz w:val="14"/>
                <w:szCs w:val="14"/>
                <w:color w:val="auto"/>
              </w:rPr>
              <w:t>6.4%</w:t>
            </w:r>
          </w:p>
        </w:tc>
        <w:tc>
          <w:tcPr>
            <w:tcW w:w="10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29.6%</w:t>
            </w:r>
          </w:p>
        </w:tc>
        <w:tc>
          <w:tcPr>
            <w:tcW w:w="120" w:type="dxa"/>
            <w:vAlign w:val="bottom"/>
            <w:shd w:val="clear" w:color="auto" w:fill="CCFFCC"/>
          </w:tcPr>
          <w:p>
            <w:pPr>
              <w:spacing w:after="0"/>
              <w:rPr>
                <w:sz w:val="12"/>
                <w:szCs w:val="12"/>
                <w:color w:val="auto"/>
              </w:rPr>
            </w:pPr>
          </w:p>
        </w:tc>
        <w:tc>
          <w:tcPr>
            <w:tcW w:w="5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937.0</w:t>
            </w:r>
          </w:p>
        </w:tc>
        <w:tc>
          <w:tcPr>
            <w:tcW w:w="86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color w:val="auto"/>
              </w:rPr>
              <w:t>929.5</w:t>
            </w:r>
          </w:p>
        </w:tc>
        <w:tc>
          <w:tcPr>
            <w:tcW w:w="88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color w:val="auto"/>
              </w:rPr>
              <w:t>807.9</w:t>
            </w:r>
          </w:p>
        </w:tc>
        <w:tc>
          <w:tcPr>
            <w:tcW w:w="2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0.8%</w:t>
            </w:r>
          </w:p>
        </w:tc>
        <w:tc>
          <w:tcPr>
            <w:tcW w:w="1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16.0%</w:t>
            </w:r>
          </w:p>
        </w:tc>
      </w:tr>
      <w:tr>
        <w:trPr>
          <w:trHeight w:val="149"/>
        </w:trPr>
        <w:tc>
          <w:tcPr>
            <w:tcW w:w="246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 Mortgages</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5,060.5</w:t>
            </w: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4,647.7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3,499.7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8.9%</w:t>
            </w:r>
          </w:p>
        </w:tc>
        <w:tc>
          <w:tcPr>
            <w:tcW w:w="10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44.6%</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1,484.9</w:t>
            </w:r>
          </w:p>
        </w:tc>
        <w:tc>
          <w:tcPr>
            <w:tcW w:w="8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1,494.6</w:t>
            </w: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1,406.8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-0.6%</w:t>
            </w: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w:t>
            </w:r>
          </w:p>
        </w:tc>
      </w:tr>
      <w:tr>
        <w:trPr>
          <w:trHeight w:val="149"/>
        </w:trPr>
        <w:tc>
          <w:tcPr>
            <w:tcW w:w="24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i w:val="1"/>
                <w:iCs w:val="1"/>
                <w:color w:val="auto"/>
              </w:rPr>
              <w:t>- Consumer</w:t>
            </w:r>
          </w:p>
        </w:tc>
        <w:tc>
          <w:tcPr>
            <w:tcW w:w="5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3,868.5</w:t>
            </w:r>
          </w:p>
        </w:tc>
        <w:tc>
          <w:tcPr>
            <w:tcW w:w="88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color w:val="auto"/>
              </w:rPr>
              <w:t>3,730.9</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3,189.7</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780" w:type="dxa"/>
            <w:vAlign w:val="bottom"/>
            <w:gridSpan w:val="2"/>
            <w:shd w:val="clear" w:color="auto" w:fill="CCFFCC"/>
          </w:tcPr>
          <w:p>
            <w:pPr>
              <w:ind w:left="320"/>
              <w:spacing w:after="0" w:line="149" w:lineRule="exact"/>
              <w:rPr>
                <w:sz w:val="20"/>
                <w:szCs w:val="20"/>
                <w:color w:val="auto"/>
              </w:rPr>
            </w:pPr>
            <w:r>
              <w:rPr>
                <w:rFonts w:ascii="Arial" w:cs="Arial" w:eastAsia="Arial" w:hAnsi="Arial"/>
                <w:sz w:val="14"/>
                <w:szCs w:val="14"/>
                <w:color w:val="auto"/>
              </w:rPr>
              <w:t>3.7%</w:t>
            </w:r>
          </w:p>
        </w:tc>
        <w:tc>
          <w:tcPr>
            <w:tcW w:w="10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21.3%</w:t>
            </w:r>
          </w:p>
        </w:tc>
        <w:tc>
          <w:tcPr>
            <w:tcW w:w="120" w:type="dxa"/>
            <w:vAlign w:val="bottom"/>
            <w:shd w:val="clear" w:color="auto" w:fill="CCFFCC"/>
          </w:tcPr>
          <w:p>
            <w:pPr>
              <w:spacing w:after="0"/>
              <w:rPr>
                <w:sz w:val="12"/>
                <w:szCs w:val="12"/>
                <w:color w:val="auto"/>
              </w:rPr>
            </w:pPr>
          </w:p>
        </w:tc>
        <w:tc>
          <w:tcPr>
            <w:tcW w:w="5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385.8</w:t>
            </w:r>
          </w:p>
        </w:tc>
        <w:tc>
          <w:tcPr>
            <w:tcW w:w="86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color w:val="auto"/>
              </w:rPr>
              <w:t>375.0</w:t>
            </w:r>
          </w:p>
        </w:tc>
        <w:tc>
          <w:tcPr>
            <w:tcW w:w="88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color w:val="auto"/>
              </w:rPr>
              <w:t>300.9</w:t>
            </w:r>
          </w:p>
        </w:tc>
        <w:tc>
          <w:tcPr>
            <w:tcW w:w="2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2.9%</w:t>
            </w:r>
          </w:p>
        </w:tc>
        <w:tc>
          <w:tcPr>
            <w:tcW w:w="1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28.2%</w:t>
            </w:r>
          </w:p>
        </w:tc>
      </w:tr>
      <w:tr>
        <w:trPr>
          <w:trHeight w:val="149"/>
        </w:trPr>
        <w:tc>
          <w:tcPr>
            <w:tcW w:w="246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 Credit Cards</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2,389.4</w:t>
            </w: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2,373.4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2,128.9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0.7%</w:t>
            </w:r>
          </w:p>
        </w:tc>
        <w:tc>
          <w:tcPr>
            <w:tcW w:w="10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12.2%</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114.4</w:t>
            </w:r>
          </w:p>
        </w:tc>
        <w:tc>
          <w:tcPr>
            <w:tcW w:w="8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109.8</w:t>
            </w: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98.0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4.2%</w:t>
            </w: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16.7%</w:t>
            </w:r>
          </w:p>
        </w:tc>
      </w:tr>
      <w:tr>
        <w:trPr>
          <w:trHeight w:val="149"/>
        </w:trPr>
        <w:tc>
          <w:tcPr>
            <w:tcW w:w="24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Edyficar</w:t>
            </w:r>
          </w:p>
        </w:tc>
        <w:tc>
          <w:tcPr>
            <w:tcW w:w="5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2,116.5</w:t>
            </w:r>
          </w:p>
        </w:tc>
        <w:tc>
          <w:tcPr>
            <w:tcW w:w="88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1,987.4</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1,470.8</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780" w:type="dxa"/>
            <w:vAlign w:val="bottom"/>
            <w:gridSpan w:val="2"/>
            <w:shd w:val="clear" w:color="auto" w:fill="CCFFCC"/>
          </w:tcPr>
          <w:p>
            <w:pPr>
              <w:ind w:left="320"/>
              <w:spacing w:after="0" w:line="149" w:lineRule="exact"/>
              <w:rPr>
                <w:sz w:val="20"/>
                <w:szCs w:val="20"/>
                <w:color w:val="auto"/>
              </w:rPr>
            </w:pPr>
            <w:r>
              <w:rPr>
                <w:rFonts w:ascii="Arial" w:cs="Arial" w:eastAsia="Arial" w:hAnsi="Arial"/>
                <w:sz w:val="14"/>
                <w:szCs w:val="14"/>
                <w:b w:val="1"/>
                <w:bCs w:val="1"/>
                <w:color w:val="auto"/>
              </w:rPr>
              <w:t>6.5%</w:t>
            </w:r>
          </w:p>
        </w:tc>
        <w:tc>
          <w:tcPr>
            <w:tcW w:w="10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8"/>
              <w:spacing w:after="0" w:line="149" w:lineRule="exact"/>
              <w:rPr>
                <w:sz w:val="20"/>
                <w:szCs w:val="20"/>
                <w:color w:val="auto"/>
              </w:rPr>
            </w:pPr>
            <w:r>
              <w:rPr>
                <w:rFonts w:ascii="Arial" w:cs="Arial" w:eastAsia="Arial" w:hAnsi="Arial"/>
                <w:sz w:val="14"/>
                <w:szCs w:val="14"/>
                <w:b w:val="1"/>
                <w:bCs w:val="1"/>
                <w:color w:val="auto"/>
              </w:rPr>
              <w:t>43.9%</w:t>
            </w:r>
          </w:p>
        </w:tc>
        <w:tc>
          <w:tcPr>
            <w:tcW w:w="120" w:type="dxa"/>
            <w:vAlign w:val="bottom"/>
            <w:shd w:val="clear" w:color="auto" w:fill="CCFFCC"/>
          </w:tcPr>
          <w:p>
            <w:pPr>
              <w:spacing w:after="0"/>
              <w:rPr>
                <w:sz w:val="12"/>
                <w:szCs w:val="12"/>
                <w:color w:val="auto"/>
              </w:rPr>
            </w:pPr>
          </w:p>
        </w:tc>
        <w:tc>
          <w:tcPr>
            <w:tcW w:w="5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10.0</w:t>
            </w:r>
          </w:p>
        </w:tc>
        <w:tc>
          <w:tcPr>
            <w:tcW w:w="86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10.3</w:t>
            </w:r>
          </w:p>
        </w:tc>
        <w:tc>
          <w:tcPr>
            <w:tcW w:w="88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10.6</w:t>
            </w:r>
          </w:p>
        </w:tc>
        <w:tc>
          <w:tcPr>
            <w:tcW w:w="2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b w:val="1"/>
                <w:bCs w:val="1"/>
                <w:color w:val="auto"/>
              </w:rPr>
              <w:t>-3.2%</w:t>
            </w:r>
          </w:p>
        </w:tc>
        <w:tc>
          <w:tcPr>
            <w:tcW w:w="1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-5.6%</w:t>
            </w:r>
          </w:p>
        </w:tc>
      </w:tr>
      <w:tr>
        <w:trPr>
          <w:trHeight w:val="162"/>
        </w:trPr>
        <w:tc>
          <w:tcPr>
            <w:tcW w:w="2460" w:type="dxa"/>
            <w:vAlign w:val="bottom"/>
            <w:gridSpan w:val="2"/>
          </w:tcPr>
          <w:p>
            <w:pPr>
              <w:spacing w:after="0"/>
              <w:rPr>
                <w:sz w:val="20"/>
                <w:szCs w:val="20"/>
                <w:color w:val="auto"/>
              </w:rPr>
            </w:pPr>
            <w:r>
              <w:rPr>
                <w:rFonts w:ascii="Arial" w:cs="Arial" w:eastAsia="Arial" w:hAnsi="Arial"/>
                <w:sz w:val="14"/>
                <w:szCs w:val="14"/>
                <w:b w:val="1"/>
                <w:bCs w:val="1"/>
                <w:color w:val="auto"/>
              </w:rPr>
              <w:t>Others (2)</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139.5</w:t>
            </w: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130.7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129.8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2"/>
          </w:tcPr>
          <w:p>
            <w:pPr>
              <w:ind w:left="320"/>
              <w:spacing w:after="0"/>
              <w:rPr>
                <w:sz w:val="20"/>
                <w:szCs w:val="20"/>
                <w:color w:val="auto"/>
              </w:rPr>
            </w:pPr>
            <w:r>
              <w:rPr>
                <w:rFonts w:ascii="Arial" w:cs="Arial" w:eastAsia="Arial" w:hAnsi="Arial"/>
                <w:sz w:val="14"/>
                <w:szCs w:val="14"/>
                <w:b w:val="1"/>
                <w:bCs w:val="1"/>
                <w:color w:val="auto"/>
              </w:rPr>
              <w:t>6.7%</w:t>
            </w:r>
          </w:p>
        </w:tc>
        <w:tc>
          <w:tcPr>
            <w:tcW w:w="100" w:type="dxa"/>
            <w:vAlign w:val="bottom"/>
          </w:tcPr>
          <w:p>
            <w:pPr>
              <w:spacing w:after="0"/>
              <w:rPr>
                <w:sz w:val="14"/>
                <w:szCs w:val="14"/>
                <w:color w:val="auto"/>
              </w:rPr>
            </w:pPr>
          </w:p>
        </w:tc>
        <w:tc>
          <w:tcPr>
            <w:tcW w:w="8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7.4%</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998.5</w:t>
            </w: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rPr>
              <w:t>967.0</w:t>
            </w: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874.4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3.3%</w:t>
            </w:r>
          </w:p>
        </w:tc>
        <w:tc>
          <w:tcPr>
            <w:tcW w:w="1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14.2%</w:t>
            </w:r>
          </w:p>
        </w:tc>
      </w:tr>
      <w:tr>
        <w:trPr>
          <w:trHeight w:val="142"/>
        </w:trPr>
        <w:tc>
          <w:tcPr>
            <w:tcW w:w="2460" w:type="dxa"/>
            <w:vAlign w:val="bottom"/>
            <w:tcBorders>
              <w:top w:val="single" w:sz="8" w:color="CCFFCC"/>
            </w:tcBorders>
            <w:gridSpan w:val="2"/>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Consolidated total loans</w:t>
            </w:r>
          </w:p>
        </w:tc>
        <w:tc>
          <w:tcPr>
            <w:tcW w:w="5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w w:val="99"/>
              </w:rPr>
              <w:t>25,219.</w:t>
            </w:r>
            <w:r>
              <w:rPr>
                <w:rFonts w:ascii="Arial" w:cs="Arial" w:eastAsia="Arial" w:hAnsi="Arial"/>
                <w:sz w:val="14"/>
                <w:szCs w:val="14"/>
                <w:b w:val="1"/>
                <w:bCs w:val="1"/>
                <w:u w:val="single" w:color="auto"/>
                <w:color w:val="auto"/>
                <w:w w:val="99"/>
              </w:rPr>
              <w:t>6</w:t>
            </w:r>
          </w:p>
        </w:tc>
        <w:tc>
          <w:tcPr>
            <w:tcW w:w="22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5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w w:val="99"/>
              </w:rPr>
              <w:t>23,862.</w:t>
            </w:r>
            <w:r>
              <w:rPr>
                <w:rFonts w:ascii="Arial" w:cs="Arial" w:eastAsia="Arial" w:hAnsi="Arial"/>
                <w:sz w:val="14"/>
                <w:szCs w:val="14"/>
                <w:b w:val="1"/>
                <w:bCs w:val="1"/>
                <w:u w:val="single" w:color="auto"/>
                <w:color w:val="auto"/>
                <w:w w:val="99"/>
              </w:rPr>
              <w:t>1</w:t>
            </w:r>
          </w:p>
        </w:tc>
        <w:tc>
          <w:tcPr>
            <w:tcW w:w="22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5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w w:val="99"/>
              </w:rPr>
              <w:t>20,433.</w:t>
            </w:r>
            <w:r>
              <w:rPr>
                <w:rFonts w:ascii="Arial" w:cs="Arial" w:eastAsia="Arial" w:hAnsi="Arial"/>
                <w:sz w:val="14"/>
                <w:szCs w:val="14"/>
                <w:b w:val="1"/>
                <w:bCs w:val="1"/>
                <w:u w:val="single" w:color="auto"/>
                <w:color w:val="auto"/>
                <w:w w:val="99"/>
              </w:rPr>
              <w:t>9</w:t>
            </w:r>
          </w:p>
        </w:tc>
        <w:tc>
          <w:tcPr>
            <w:tcW w:w="22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40" w:type="dxa"/>
            <w:vAlign w:val="bottom"/>
            <w:tcBorders>
              <w:top w:val="single" w:sz="8" w:color="auto"/>
              <w:bottom w:val="single" w:sz="8" w:color="auto"/>
            </w:tcBorders>
            <w:shd w:val="clear" w:color="auto" w:fill="CCFFCC"/>
          </w:tcPr>
          <w:p>
            <w:pPr>
              <w:spacing w:after="0"/>
              <w:rPr>
                <w:sz w:val="12"/>
                <w:szCs w:val="12"/>
                <w:color w:val="auto"/>
              </w:rPr>
            </w:pPr>
          </w:p>
        </w:tc>
        <w:tc>
          <w:tcPr>
            <w:tcW w:w="520" w:type="dxa"/>
            <w:vAlign w:val="bottom"/>
            <w:tcBorders>
              <w:top w:val="single" w:sz="8" w:color="auto"/>
              <w:bottom w:val="single" w:sz="8" w:color="auto"/>
            </w:tcBorders>
            <w:shd w:val="clear" w:color="auto" w:fill="CCFFCC"/>
          </w:tcPr>
          <w:p>
            <w:pPr>
              <w:ind w:left="320"/>
              <w:spacing w:after="0" w:line="142" w:lineRule="exact"/>
              <w:rPr>
                <w:sz w:val="20"/>
                <w:szCs w:val="20"/>
                <w:color w:val="auto"/>
              </w:rPr>
            </w:pPr>
            <w:r>
              <w:rPr>
                <w:rFonts w:ascii="Arial" w:cs="Arial" w:eastAsia="Arial" w:hAnsi="Arial"/>
                <w:sz w:val="14"/>
                <w:szCs w:val="14"/>
                <w:b w:val="1"/>
                <w:bCs w:val="1"/>
                <w:color w:val="auto"/>
                <w:w w:val="92"/>
              </w:rPr>
              <w:t>5.7</w:t>
            </w:r>
          </w:p>
        </w:tc>
        <w:tc>
          <w:tcPr>
            <w:tcW w:w="260" w:type="dxa"/>
            <w:vAlign w:val="bottom"/>
            <w:tcBorders>
              <w:top w:val="single" w:sz="8" w:color="CCFFCC"/>
            </w:tcBorders>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100" w:type="dxa"/>
            <w:vAlign w:val="bottom"/>
            <w:tcBorders>
              <w:top w:val="single" w:sz="8" w:color="CCFFCC"/>
            </w:tcBorders>
            <w:shd w:val="clear" w:color="auto" w:fill="CCFFCC"/>
          </w:tcPr>
          <w:p>
            <w:pPr>
              <w:spacing w:after="0"/>
              <w:rPr>
                <w:sz w:val="12"/>
                <w:szCs w:val="12"/>
                <w:color w:val="auto"/>
              </w:rPr>
            </w:pPr>
          </w:p>
        </w:tc>
        <w:tc>
          <w:tcPr>
            <w:tcW w:w="5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23.4</w:t>
            </w:r>
          </w:p>
        </w:tc>
        <w:tc>
          <w:tcPr>
            <w:tcW w:w="240" w:type="dxa"/>
            <w:vAlign w:val="bottom"/>
            <w:tcBorders>
              <w:top w:val="single" w:sz="8" w:color="CCFFCC"/>
            </w:tcBorders>
            <w:shd w:val="clear" w:color="auto" w:fill="CCFFCC"/>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120" w:type="dxa"/>
            <w:vAlign w:val="bottom"/>
            <w:tcBorders>
              <w:top w:val="single" w:sz="8" w:color="CCFFCC"/>
            </w:tcBorders>
            <w:shd w:val="clear" w:color="auto" w:fill="CCFFCC"/>
          </w:tcPr>
          <w:p>
            <w:pPr>
              <w:spacing w:after="0"/>
              <w:rPr>
                <w:sz w:val="12"/>
                <w:szCs w:val="12"/>
                <w:color w:val="auto"/>
              </w:rPr>
            </w:pPr>
          </w:p>
        </w:tc>
        <w:tc>
          <w:tcPr>
            <w:tcW w:w="5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w w:val="95"/>
              </w:rPr>
              <w:t>11,364.3</w:t>
            </w:r>
          </w:p>
        </w:tc>
        <w:tc>
          <w:tcPr>
            <w:tcW w:w="20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5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w w:val="95"/>
              </w:rPr>
              <w:t>11,689.</w:t>
            </w:r>
            <w:r>
              <w:rPr>
                <w:rFonts w:ascii="Arial" w:cs="Arial" w:eastAsia="Arial" w:hAnsi="Arial"/>
                <w:sz w:val="14"/>
                <w:szCs w:val="14"/>
                <w:b w:val="1"/>
                <w:bCs w:val="1"/>
                <w:u w:val="single" w:color="auto"/>
                <w:color w:val="auto"/>
                <w:w w:val="95"/>
              </w:rPr>
              <w:t>4</w:t>
            </w:r>
          </w:p>
        </w:tc>
        <w:tc>
          <w:tcPr>
            <w:tcW w:w="22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5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w w:val="95"/>
              </w:rPr>
              <w:t>10,298.</w:t>
            </w:r>
            <w:r>
              <w:rPr>
                <w:rFonts w:ascii="Arial" w:cs="Arial" w:eastAsia="Arial" w:hAnsi="Arial"/>
                <w:sz w:val="14"/>
                <w:szCs w:val="14"/>
                <w:b w:val="1"/>
                <w:bCs w:val="1"/>
                <w:u w:val="single" w:color="auto"/>
                <w:color w:val="auto"/>
                <w:w w:val="95"/>
              </w:rPr>
              <w:t>0</w:t>
            </w:r>
          </w:p>
        </w:tc>
        <w:tc>
          <w:tcPr>
            <w:tcW w:w="22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5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-2.8</w:t>
            </w:r>
          </w:p>
        </w:tc>
        <w:tc>
          <w:tcPr>
            <w:tcW w:w="260" w:type="dxa"/>
            <w:vAlign w:val="bottom"/>
            <w:tcBorders>
              <w:top w:val="single" w:sz="8" w:color="CCFFCC"/>
            </w:tcBorders>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100" w:type="dxa"/>
            <w:vAlign w:val="bottom"/>
            <w:tcBorders>
              <w:top w:val="single" w:sz="8" w:color="CCFFCC"/>
            </w:tcBorders>
            <w:shd w:val="clear" w:color="auto" w:fill="CCFFCC"/>
          </w:tcPr>
          <w:p>
            <w:pPr>
              <w:spacing w:after="0"/>
              <w:rPr>
                <w:sz w:val="12"/>
                <w:szCs w:val="12"/>
                <w:color w:val="auto"/>
              </w:rPr>
            </w:pPr>
          </w:p>
        </w:tc>
        <w:tc>
          <w:tcPr>
            <w:tcW w:w="5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10.4</w:t>
            </w:r>
          </w:p>
        </w:tc>
        <w:tc>
          <w:tcPr>
            <w:tcW w:w="16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r>
    </w:tbl>
    <w:p>
      <w:pPr>
        <w:ind w:left="460" w:hanging="263"/>
        <w:spacing w:after="0"/>
        <w:tabs>
          <w:tab w:leader="none" w:pos="460" w:val="left"/>
        </w:tabs>
        <w:numPr>
          <w:ilvl w:val="1"/>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Average daily balance.</w:t>
      </w:r>
    </w:p>
    <w:p>
      <w:pPr>
        <w:spacing w:after="0" w:line="9" w:lineRule="exact"/>
        <w:rPr>
          <w:rFonts w:ascii="Arial" w:cs="Arial" w:eastAsia="Arial" w:hAnsi="Arial"/>
          <w:sz w:val="18"/>
          <w:szCs w:val="18"/>
          <w:i w:val="1"/>
          <w:iCs w:val="1"/>
          <w:color w:val="auto"/>
        </w:rPr>
      </w:pPr>
    </w:p>
    <w:p>
      <w:pPr>
        <w:ind w:left="180" w:right="6880" w:hanging="10"/>
        <w:spacing w:after="0" w:line="261" w:lineRule="auto"/>
        <w:tabs>
          <w:tab w:leader="none" w:pos="435"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Work Out Unit, other banking and BCP Bolivia. Source: BCP</w:t>
      </w:r>
    </w:p>
    <w:p>
      <w:pPr>
        <w:spacing w:after="0" w:line="18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At the end of 2Q13, and taking into account average daily balances, the LC loan portfolio represented 46.2% of total loans. This tops 1Q13’s level, which was situated at 44.1%. The LC portfolio was highly dynamic in 2Q13, which is reflected in the expansion of +5.7% QoQ and +23.4% YoY. This growth was due primarily to Retail Banking’s good performance (+5.7 QoQ, +28.8 YoY), which was led by noteworthy growth in the Mortgage and SME segments with +8.9% QoQ and +6.4% QoQ, respectively. Edyficar, whose portfolio is denominated entirely in LC, posted an increase of +6.5% QoQ and excellent growth of +43.9% YoY. Wholesale Banking also posted growth of +5.4% QoQ and +2.9% YoY this period.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excellent performance of the LC portfolio was, however, overshadowed by the 7.5% devaluation of the Nuevo Sol against the US Dollar in 2Q.</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aforementioned, coupled with a -2.8% reduction QoQ in the FC portfolio, led to a -1.4% QoQ decrease in total loans. The contraction of the FC portfolio is primarily due to the fact that corporate clients placed regional and international issuances, whose resources were used to pay off loans for working capital and medium and long term financing. It is important to note that in 2Q13, Credicorp Capital worked with many of these clients, including Alicorp S.A.A. and Consorcio Transmantaro, to ensure their successful incursion in the capital markets.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YoY evolution shows a +15% expansion in the loan portfolio, which was due primarily to excellent growth in LC loans (+23.4%) and FC loans (+10.4%), which significantly offset the impact of the devaluation in the portfolio denominated in Nuevos Soles.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Daily Balances</w:t>
      </w:r>
    </w:p>
    <w:p>
      <w:pPr>
        <w:spacing w:after="0" w:line="221" w:lineRule="exact"/>
        <w:rPr>
          <w:sz w:val="20"/>
          <w:szCs w:val="20"/>
          <w:color w:val="auto"/>
        </w:rPr>
      </w:pPr>
    </w:p>
    <w:p>
      <w:pPr>
        <w:jc w:val="center"/>
        <w:ind w:left="4380"/>
        <w:spacing w:after="0"/>
        <w:rPr>
          <w:sz w:val="20"/>
          <w:szCs w:val="20"/>
          <w:color w:val="auto"/>
        </w:rPr>
      </w:pPr>
      <w:r>
        <w:rPr>
          <w:rFonts w:ascii="Arial" w:cs="Arial" w:eastAsia="Arial" w:hAnsi="Arial"/>
          <w:sz w:val="14"/>
          <w:szCs w:val="14"/>
          <w:b w:val="1"/>
          <w:bCs w:val="1"/>
          <w:color w:val="auto"/>
        </w:rPr>
        <w:t>TOTAL LOANS (1)</w:t>
      </w:r>
    </w:p>
    <w:p>
      <w:pPr>
        <w:spacing w:after="0" w:line="4" w:lineRule="exact"/>
        <w:rPr>
          <w:sz w:val="20"/>
          <w:szCs w:val="20"/>
          <w:color w:val="auto"/>
        </w:rPr>
      </w:pPr>
    </w:p>
    <w:p>
      <w:pPr>
        <w:jc w:val="center"/>
        <w:ind w:left="4380"/>
        <w:spacing w:after="0"/>
        <w:rPr>
          <w:sz w:val="20"/>
          <w:szCs w:val="20"/>
          <w:color w:val="auto"/>
        </w:rPr>
      </w:pPr>
      <w:r>
        <w:rPr>
          <w:rFonts w:ascii="Arial" w:cs="Arial" w:eastAsia="Arial" w:hAnsi="Arial"/>
          <w:sz w:val="14"/>
          <w:szCs w:val="14"/>
          <w:i w:val="1"/>
          <w:iCs w:val="1"/>
          <w:color w:val="auto"/>
        </w:rPr>
        <w:t>(US$ million)</w:t>
      </w:r>
    </w:p>
    <w:tbl>
      <w:tblPr>
        <w:tblLayout w:type="fixed"/>
        <w:tblInd w:w="1300" w:type="dxa"/>
        <w:tblCellMar>
          <w:top w:w="0" w:type="dxa"/>
          <w:left w:w="0" w:type="dxa"/>
          <w:bottom w:w="0" w:type="dxa"/>
          <w:right w:w="0" w:type="dxa"/>
        </w:tblCellMar>
      </w:tblPr>
      <w:tr>
        <w:trPr>
          <w:trHeight w:val="156"/>
        </w:trPr>
        <w:tc>
          <w:tcPr>
            <w:tcW w:w="4220" w:type="dxa"/>
            <w:vAlign w:val="bottom"/>
            <w:tcBorders>
              <w:bottom w:val="single" w:sz="8" w:color="CCFFC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68"/>
              <w:spacing w:after="0" w:line="157" w:lineRule="exact"/>
              <w:rPr>
                <w:sz w:val="20"/>
                <w:szCs w:val="20"/>
                <w:color w:val="auto"/>
              </w:rPr>
            </w:pPr>
            <w:r>
              <w:rPr>
                <w:rFonts w:ascii="Arial" w:cs="Arial" w:eastAsia="Arial" w:hAnsi="Arial"/>
                <w:sz w:val="14"/>
                <w:szCs w:val="14"/>
                <w:b w:val="1"/>
                <w:bCs w:val="1"/>
                <w:color w:val="auto"/>
              </w:rPr>
              <w:t>2Q13</w:t>
            </w:r>
          </w:p>
        </w:tc>
        <w:tc>
          <w:tcPr>
            <w:tcW w:w="180" w:type="dxa"/>
            <w:vAlign w:val="bottom"/>
            <w:tcBorders>
              <w:bottom w:val="single" w:sz="8" w:color="CCFFC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68"/>
              <w:spacing w:after="0" w:line="157" w:lineRule="exact"/>
              <w:rPr>
                <w:sz w:val="20"/>
                <w:szCs w:val="20"/>
                <w:color w:val="auto"/>
              </w:rPr>
            </w:pPr>
            <w:r>
              <w:rPr>
                <w:rFonts w:ascii="Arial" w:cs="Arial" w:eastAsia="Arial" w:hAnsi="Arial"/>
                <w:sz w:val="14"/>
                <w:szCs w:val="14"/>
                <w:b w:val="1"/>
                <w:bCs w:val="1"/>
                <w:color w:val="auto"/>
              </w:rPr>
              <w:t>1Q13</w:t>
            </w:r>
          </w:p>
        </w:tc>
        <w:tc>
          <w:tcPr>
            <w:tcW w:w="160" w:type="dxa"/>
            <w:vAlign w:val="bottom"/>
            <w:tcBorders>
              <w:bottom w:val="single" w:sz="8" w:color="CCFFC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68"/>
              <w:spacing w:after="0" w:line="157" w:lineRule="exact"/>
              <w:rPr>
                <w:sz w:val="20"/>
                <w:szCs w:val="20"/>
                <w:color w:val="auto"/>
              </w:rPr>
            </w:pPr>
            <w:r>
              <w:rPr>
                <w:rFonts w:ascii="Arial" w:cs="Arial" w:eastAsia="Arial" w:hAnsi="Arial"/>
                <w:sz w:val="14"/>
                <w:szCs w:val="14"/>
                <w:b w:val="1"/>
                <w:bCs w:val="1"/>
                <w:color w:val="auto"/>
              </w:rPr>
              <w:t>2Q12</w:t>
            </w:r>
          </w:p>
        </w:tc>
        <w:tc>
          <w:tcPr>
            <w:tcW w:w="160" w:type="dxa"/>
            <w:vAlign w:val="bottom"/>
            <w:tcBorders>
              <w:bottom w:val="single" w:sz="8" w:color="CCFFC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ind w:left="180"/>
              <w:spacing w:after="0" w:line="157" w:lineRule="exact"/>
              <w:rPr>
                <w:sz w:val="20"/>
                <w:szCs w:val="20"/>
                <w:color w:val="auto"/>
              </w:rPr>
            </w:pPr>
            <w:r>
              <w:rPr>
                <w:rFonts w:ascii="Arial" w:cs="Arial" w:eastAsia="Arial" w:hAnsi="Arial"/>
                <w:sz w:val="14"/>
                <w:szCs w:val="14"/>
                <w:b w:val="1"/>
                <w:bCs w:val="1"/>
                <w:color w:val="auto"/>
                <w:w w:val="92"/>
              </w:rPr>
              <w:t>QoQ</w:t>
            </w:r>
          </w:p>
        </w:tc>
        <w:tc>
          <w:tcPr>
            <w:tcW w:w="240" w:type="dxa"/>
            <w:vAlign w:val="bottom"/>
            <w:tcBorders>
              <w:bottom w:val="single" w:sz="8" w:color="auto"/>
            </w:tcBorders>
          </w:tcPr>
          <w:p>
            <w:pPr>
              <w:spacing w:after="0"/>
              <w:rPr>
                <w:sz w:val="13"/>
                <w:szCs w:val="13"/>
                <w:color w:val="auto"/>
              </w:rPr>
            </w:pPr>
          </w:p>
        </w:tc>
        <w:tc>
          <w:tcPr>
            <w:tcW w:w="240" w:type="dxa"/>
            <w:vAlign w:val="bottom"/>
            <w:tcBorders>
              <w:bottom w:val="single" w:sz="8" w:color="CCFFC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88"/>
              <w:spacing w:after="0" w:line="157" w:lineRule="exact"/>
              <w:rPr>
                <w:sz w:val="20"/>
                <w:szCs w:val="20"/>
                <w:color w:val="auto"/>
              </w:rPr>
            </w:pPr>
            <w:r>
              <w:rPr>
                <w:rFonts w:ascii="Arial" w:cs="Arial" w:eastAsia="Arial" w:hAnsi="Arial"/>
                <w:sz w:val="14"/>
                <w:szCs w:val="14"/>
                <w:b w:val="1"/>
                <w:bCs w:val="1"/>
                <w:color w:val="auto"/>
              </w:rPr>
              <w:t>YoY</w:t>
            </w:r>
          </w:p>
        </w:tc>
        <w:tc>
          <w:tcPr>
            <w:tcW w:w="160" w:type="dxa"/>
            <w:vAlign w:val="bottom"/>
            <w:tcBorders>
              <w:bottom w:val="single" w:sz="8" w:color="CCFFCC"/>
            </w:tcBorders>
          </w:tcPr>
          <w:p>
            <w:pPr>
              <w:spacing w:after="0"/>
              <w:rPr>
                <w:sz w:val="13"/>
                <w:szCs w:val="13"/>
                <w:color w:val="auto"/>
              </w:rPr>
            </w:pPr>
          </w:p>
        </w:tc>
      </w:tr>
      <w:tr>
        <w:trPr>
          <w:trHeight w:val="142"/>
        </w:trPr>
        <w:tc>
          <w:tcPr>
            <w:tcW w:w="4220" w:type="dxa"/>
            <w:vAlign w:val="bottom"/>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Wholesale Banking</w:t>
            </w:r>
          </w:p>
        </w:tc>
        <w:tc>
          <w:tcPr>
            <w:tcW w:w="80" w:type="dxa"/>
            <w:vAlign w:val="bottom"/>
            <w:shd w:val="clear" w:color="auto" w:fill="CCFFCC"/>
          </w:tcPr>
          <w:p>
            <w:pPr>
              <w:spacing w:after="0"/>
              <w:rPr>
                <w:sz w:val="12"/>
                <w:szCs w:val="12"/>
                <w:color w:val="auto"/>
              </w:rPr>
            </w:pPr>
          </w:p>
        </w:tc>
        <w:tc>
          <w:tcPr>
            <w:tcW w:w="72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9,320.7</w:t>
            </w:r>
          </w:p>
        </w:tc>
        <w:tc>
          <w:tcPr>
            <w:tcW w:w="1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2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9,687.5</w:t>
            </w:r>
          </w:p>
        </w:tc>
        <w:tc>
          <w:tcPr>
            <w:tcW w:w="16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8,665.5</w:t>
            </w:r>
          </w:p>
        </w:tc>
        <w:tc>
          <w:tcPr>
            <w:tcW w:w="16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480" w:type="dxa"/>
            <w:vAlign w:val="bottom"/>
            <w:gridSpan w:val="2"/>
            <w:shd w:val="clear" w:color="auto" w:fill="CCFFCC"/>
          </w:tcPr>
          <w:p>
            <w:pPr>
              <w:jc w:val="right"/>
              <w:ind w:right="28"/>
              <w:spacing w:after="0" w:line="142" w:lineRule="exact"/>
              <w:rPr>
                <w:sz w:val="20"/>
                <w:szCs w:val="20"/>
                <w:color w:val="auto"/>
              </w:rPr>
            </w:pPr>
            <w:r>
              <w:rPr>
                <w:rFonts w:ascii="Arial" w:cs="Arial" w:eastAsia="Arial" w:hAnsi="Arial"/>
                <w:sz w:val="14"/>
                <w:szCs w:val="14"/>
                <w:b w:val="1"/>
                <w:bCs w:val="1"/>
                <w:color w:val="auto"/>
                <w:w w:val="98"/>
              </w:rPr>
              <w:t>-3.8%</w:t>
            </w:r>
          </w:p>
        </w:tc>
        <w:tc>
          <w:tcPr>
            <w:tcW w:w="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7.6%</w:t>
            </w:r>
          </w:p>
        </w:tc>
      </w:tr>
      <w:tr>
        <w:trPr>
          <w:trHeight w:val="149"/>
        </w:trPr>
        <w:tc>
          <w:tcPr>
            <w:tcW w:w="430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 Corporate</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5,894.0</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6,195.6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5,486.3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w w:val="92"/>
              </w:rPr>
              <w:t>-4.9%</w:t>
            </w:r>
          </w:p>
        </w:tc>
        <w:tc>
          <w:tcPr>
            <w:tcW w:w="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7.4%</w:t>
            </w:r>
          </w:p>
        </w:tc>
      </w:tr>
      <w:tr>
        <w:trPr>
          <w:trHeight w:val="149"/>
        </w:trPr>
        <w:tc>
          <w:tcPr>
            <w:tcW w:w="43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i w:val="1"/>
                <w:iCs w:val="1"/>
                <w:color w:val="auto"/>
              </w:rPr>
              <w:t>- Middle Market</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3,426.7</w:t>
            </w:r>
          </w:p>
        </w:tc>
        <w:tc>
          <w:tcPr>
            <w:tcW w:w="80" w:type="dxa"/>
            <w:vAlign w:val="bottom"/>
            <w:shd w:val="clear" w:color="auto" w:fill="CCFFCC"/>
          </w:tcPr>
          <w:p>
            <w:pPr>
              <w:spacing w:after="0"/>
              <w:rPr>
                <w:sz w:val="12"/>
                <w:szCs w:val="12"/>
                <w:color w:val="auto"/>
              </w:rPr>
            </w:pPr>
          </w:p>
        </w:tc>
        <w:tc>
          <w:tcPr>
            <w:tcW w:w="7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3,491.9</w:t>
            </w:r>
          </w:p>
        </w:tc>
        <w:tc>
          <w:tcPr>
            <w:tcW w:w="16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3,179.1</w:t>
            </w:r>
          </w:p>
        </w:tc>
        <w:tc>
          <w:tcPr>
            <w:tcW w:w="16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48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w w:val="92"/>
              </w:rPr>
              <w:t>-1.9%</w:t>
            </w:r>
          </w:p>
        </w:tc>
        <w:tc>
          <w:tcPr>
            <w:tcW w:w="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7.8%</w:t>
            </w:r>
          </w:p>
        </w:tc>
      </w:tr>
      <w:tr>
        <w:trPr>
          <w:trHeight w:val="149"/>
        </w:trPr>
        <w:tc>
          <w:tcPr>
            <w:tcW w:w="43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Retail Banking</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9,478.8</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9,438.1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7,792.8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gridSpan w:val="2"/>
          </w:tcPr>
          <w:p>
            <w:pPr>
              <w:jc w:val="right"/>
              <w:ind w:right="28"/>
              <w:spacing w:after="0" w:line="149" w:lineRule="exact"/>
              <w:rPr>
                <w:sz w:val="20"/>
                <w:szCs w:val="20"/>
                <w:color w:val="auto"/>
              </w:rPr>
            </w:pPr>
            <w:r>
              <w:rPr>
                <w:rFonts w:ascii="Arial" w:cs="Arial" w:eastAsia="Arial" w:hAnsi="Arial"/>
                <w:sz w:val="14"/>
                <w:szCs w:val="14"/>
                <w:b w:val="1"/>
                <w:bCs w:val="1"/>
                <w:color w:val="auto"/>
              </w:rPr>
              <w:t>0.4%</w:t>
            </w:r>
          </w:p>
        </w:tc>
        <w:tc>
          <w:tcPr>
            <w:tcW w:w="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21.6%</w:t>
            </w:r>
          </w:p>
        </w:tc>
      </w:tr>
      <w:tr>
        <w:trPr>
          <w:trHeight w:val="149"/>
        </w:trPr>
        <w:tc>
          <w:tcPr>
            <w:tcW w:w="43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i w:val="1"/>
                <w:iCs w:val="1"/>
                <w:color w:val="auto"/>
              </w:rPr>
              <w:t>- SME + Business</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3,332.3</w:t>
            </w:r>
          </w:p>
        </w:tc>
        <w:tc>
          <w:tcPr>
            <w:tcW w:w="80" w:type="dxa"/>
            <w:vAlign w:val="bottom"/>
            <w:shd w:val="clear" w:color="auto" w:fill="CCFFCC"/>
          </w:tcPr>
          <w:p>
            <w:pPr>
              <w:spacing w:after="0"/>
              <w:rPr>
                <w:sz w:val="12"/>
                <w:szCs w:val="12"/>
                <w:color w:val="auto"/>
              </w:rPr>
            </w:pPr>
          </w:p>
        </w:tc>
        <w:tc>
          <w:tcPr>
            <w:tcW w:w="7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3,298.5</w:t>
            </w:r>
          </w:p>
        </w:tc>
        <w:tc>
          <w:tcPr>
            <w:tcW w:w="16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2,688.4</w:t>
            </w:r>
          </w:p>
        </w:tc>
        <w:tc>
          <w:tcPr>
            <w:tcW w:w="16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48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23.9%</w:t>
            </w:r>
          </w:p>
        </w:tc>
      </w:tr>
      <w:tr>
        <w:trPr>
          <w:trHeight w:val="149"/>
        </w:trPr>
        <w:tc>
          <w:tcPr>
            <w:tcW w:w="430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 Mortgages</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3,345.2</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3,292.9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2,715.9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1.6%</w:t>
            </w:r>
          </w:p>
        </w:tc>
        <w:tc>
          <w:tcPr>
            <w:tcW w:w="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23.2%</w:t>
            </w:r>
          </w:p>
        </w:tc>
      </w:tr>
      <w:tr>
        <w:trPr>
          <w:trHeight w:val="149"/>
        </w:trPr>
        <w:tc>
          <w:tcPr>
            <w:tcW w:w="43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i w:val="1"/>
                <w:iCs w:val="1"/>
                <w:color w:val="auto"/>
              </w:rPr>
              <w:t>- Consumer</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1,808.2</w:t>
            </w:r>
          </w:p>
        </w:tc>
        <w:tc>
          <w:tcPr>
            <w:tcW w:w="80" w:type="dxa"/>
            <w:vAlign w:val="bottom"/>
            <w:shd w:val="clear" w:color="auto" w:fill="CCFFCC"/>
          </w:tcPr>
          <w:p>
            <w:pPr>
              <w:spacing w:after="0"/>
              <w:rPr>
                <w:sz w:val="12"/>
                <w:szCs w:val="12"/>
                <w:color w:val="auto"/>
              </w:rPr>
            </w:pPr>
          </w:p>
        </w:tc>
        <w:tc>
          <w:tcPr>
            <w:tcW w:w="7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1,818.6</w:t>
            </w:r>
          </w:p>
        </w:tc>
        <w:tc>
          <w:tcPr>
            <w:tcW w:w="16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1,494.1</w:t>
            </w:r>
          </w:p>
        </w:tc>
        <w:tc>
          <w:tcPr>
            <w:tcW w:w="16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48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w w:val="92"/>
              </w:rPr>
              <w:t>-0.6%</w:t>
            </w:r>
          </w:p>
        </w:tc>
        <w:tc>
          <w:tcPr>
            <w:tcW w:w="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21.0%</w:t>
            </w:r>
          </w:p>
        </w:tc>
      </w:tr>
      <w:tr>
        <w:trPr>
          <w:trHeight w:val="149"/>
        </w:trPr>
        <w:tc>
          <w:tcPr>
            <w:tcW w:w="430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 Credit Cards</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993.1</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1,028.1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894.4</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w w:val="92"/>
              </w:rPr>
              <w:t>-3.4%</w:t>
            </w:r>
          </w:p>
        </w:tc>
        <w:tc>
          <w:tcPr>
            <w:tcW w:w="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11.0%</w:t>
            </w:r>
          </w:p>
        </w:tc>
      </w:tr>
      <w:tr>
        <w:trPr>
          <w:trHeight w:val="149"/>
        </w:trPr>
        <w:tc>
          <w:tcPr>
            <w:tcW w:w="43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Edyficar</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b w:val="1"/>
                <w:bCs w:val="1"/>
                <w:color w:val="auto"/>
              </w:rPr>
              <w:t>788.1</w:t>
            </w:r>
          </w:p>
        </w:tc>
        <w:tc>
          <w:tcPr>
            <w:tcW w:w="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779.3</w:t>
            </w:r>
          </w:p>
        </w:tc>
        <w:tc>
          <w:tcPr>
            <w:tcW w:w="8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560.8</w:t>
            </w:r>
          </w:p>
        </w:tc>
        <w:tc>
          <w:tcPr>
            <w:tcW w:w="8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480" w:type="dxa"/>
            <w:vAlign w:val="bottom"/>
            <w:gridSpan w:val="2"/>
            <w:shd w:val="clear" w:color="auto" w:fill="CCFFCC"/>
          </w:tcPr>
          <w:p>
            <w:pPr>
              <w:jc w:val="right"/>
              <w:ind w:right="28"/>
              <w:spacing w:after="0" w:line="149" w:lineRule="exact"/>
              <w:rPr>
                <w:sz w:val="20"/>
                <w:szCs w:val="20"/>
                <w:color w:val="auto"/>
              </w:rPr>
            </w:pPr>
            <w:r>
              <w:rPr>
                <w:rFonts w:ascii="Arial" w:cs="Arial" w:eastAsia="Arial" w:hAnsi="Arial"/>
                <w:sz w:val="14"/>
                <w:szCs w:val="14"/>
                <w:b w:val="1"/>
                <w:bCs w:val="1"/>
                <w:color w:val="auto"/>
              </w:rPr>
              <w:t>1.1%</w:t>
            </w:r>
          </w:p>
        </w:tc>
        <w:tc>
          <w:tcPr>
            <w:tcW w:w="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40.5%</w:t>
            </w:r>
          </w:p>
        </w:tc>
      </w:tr>
      <w:tr>
        <w:trPr>
          <w:trHeight w:val="162"/>
        </w:trPr>
        <w:tc>
          <w:tcPr>
            <w:tcW w:w="4300" w:type="dxa"/>
            <w:vAlign w:val="bottom"/>
            <w:gridSpan w:val="2"/>
          </w:tcPr>
          <w:p>
            <w:pPr>
              <w:spacing w:after="0"/>
              <w:rPr>
                <w:sz w:val="20"/>
                <w:szCs w:val="20"/>
                <w:color w:val="auto"/>
              </w:rPr>
            </w:pPr>
            <w:r>
              <w:rPr>
                <w:rFonts w:ascii="Arial" w:cs="Arial" w:eastAsia="Arial" w:hAnsi="Arial"/>
                <w:sz w:val="14"/>
                <w:szCs w:val="14"/>
                <w:b w:val="1"/>
                <w:bCs w:val="1"/>
                <w:color w:val="auto"/>
              </w:rPr>
              <w:t>Others (2)</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1,049.7</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1,017.5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923.0</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3.2%</w:t>
            </w:r>
          </w:p>
        </w:tc>
        <w:tc>
          <w:tcPr>
            <w:tcW w:w="8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13.7%</w:t>
            </w:r>
          </w:p>
        </w:tc>
      </w:tr>
      <w:tr>
        <w:trPr>
          <w:trHeight w:val="142"/>
        </w:trPr>
        <w:tc>
          <w:tcPr>
            <w:tcW w:w="4300" w:type="dxa"/>
            <w:vAlign w:val="bottom"/>
            <w:tcBorders>
              <w:top w:val="single" w:sz="8" w:color="CCFFCC"/>
            </w:tcBorders>
            <w:gridSpan w:val="2"/>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Consolidated total loans</w:t>
            </w:r>
          </w:p>
        </w:tc>
        <w:tc>
          <w:tcPr>
            <w:tcW w:w="7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20,637.3</w:t>
            </w:r>
          </w:p>
        </w:tc>
        <w:tc>
          <w:tcPr>
            <w:tcW w:w="18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7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20,922.5</w:t>
            </w:r>
          </w:p>
        </w:tc>
        <w:tc>
          <w:tcPr>
            <w:tcW w:w="16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7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17,942.0</w:t>
            </w:r>
          </w:p>
        </w:tc>
        <w:tc>
          <w:tcPr>
            <w:tcW w:w="16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480" w:type="dxa"/>
            <w:vAlign w:val="bottom"/>
            <w:tcBorders>
              <w:top w:val="single" w:sz="8" w:color="auto"/>
              <w:bottom w:val="single" w:sz="8" w:color="auto"/>
            </w:tcBorders>
            <w:shd w:val="clear" w:color="auto" w:fill="CCFFCC"/>
          </w:tcPr>
          <w:p>
            <w:pPr>
              <w:spacing w:after="0"/>
              <w:rPr>
                <w:sz w:val="12"/>
                <w:szCs w:val="12"/>
                <w:color w:val="auto"/>
              </w:rPr>
            </w:pPr>
          </w:p>
        </w:tc>
        <w:tc>
          <w:tcPr>
            <w:tcW w:w="2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w w:val="90"/>
              </w:rPr>
              <w:t>-1.4</w:t>
            </w:r>
          </w:p>
        </w:tc>
        <w:tc>
          <w:tcPr>
            <w:tcW w:w="240" w:type="dxa"/>
            <w:vAlign w:val="bottom"/>
            <w:tcBorders>
              <w:top w:val="single" w:sz="8" w:color="CCFFCC"/>
            </w:tcBorders>
            <w:shd w:val="clear" w:color="auto" w:fill="CCFFCC"/>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80" w:type="dxa"/>
            <w:vAlign w:val="bottom"/>
            <w:tcBorders>
              <w:top w:val="single" w:sz="8" w:color="CCFFCC"/>
            </w:tcBorders>
            <w:shd w:val="clear" w:color="auto" w:fill="CCFFCC"/>
          </w:tcPr>
          <w:p>
            <w:pPr>
              <w:spacing w:after="0"/>
              <w:rPr>
                <w:sz w:val="12"/>
                <w:szCs w:val="12"/>
                <w:color w:val="auto"/>
              </w:rPr>
            </w:pPr>
          </w:p>
        </w:tc>
        <w:tc>
          <w:tcPr>
            <w:tcW w:w="7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15.0</w:t>
            </w:r>
          </w:p>
        </w:tc>
        <w:tc>
          <w:tcPr>
            <w:tcW w:w="16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r>
    </w:tbl>
    <w:p>
      <w:pPr>
        <w:spacing w:after="0" w:line="202" w:lineRule="exact"/>
        <w:rPr>
          <w:sz w:val="20"/>
          <w:szCs w:val="20"/>
          <w:color w:val="auto"/>
        </w:rPr>
      </w:pPr>
    </w:p>
    <w:p>
      <w:pPr>
        <w:ind w:left="1560" w:hanging="255"/>
        <w:spacing w:after="0"/>
        <w:tabs>
          <w:tab w:leader="none" w:pos="15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Average daily balance.</w:t>
      </w:r>
    </w:p>
    <w:p>
      <w:pPr>
        <w:spacing w:after="0" w:line="23" w:lineRule="exact"/>
        <w:rPr>
          <w:rFonts w:ascii="Arial" w:cs="Arial" w:eastAsia="Arial" w:hAnsi="Arial"/>
          <w:sz w:val="18"/>
          <w:szCs w:val="18"/>
          <w:i w:val="1"/>
          <w:iCs w:val="1"/>
          <w:color w:val="auto"/>
        </w:rPr>
      </w:pPr>
    </w:p>
    <w:p>
      <w:pPr>
        <w:ind w:left="1300" w:right="5740" w:firstLine="5"/>
        <w:spacing w:after="0" w:line="261" w:lineRule="auto"/>
        <w:tabs>
          <w:tab w:leader="none" w:pos="1555"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Work Out Unit, other banking and BCP Bolivia. Source: BCP</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3" w:name="page14"/>
    <w:bookmarkEnd w:id="13"/>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both"/>
        <w:ind w:right="20"/>
        <w:spacing w:after="0" w:line="277" w:lineRule="auto"/>
        <w:rPr>
          <w:sz w:val="20"/>
          <w:szCs w:val="20"/>
          <w:color w:val="auto"/>
        </w:rPr>
      </w:pPr>
      <w:r>
        <w:rPr>
          <w:rFonts w:ascii="Arial" w:cs="Arial" w:eastAsia="Arial" w:hAnsi="Arial"/>
          <w:sz w:val="18"/>
          <w:szCs w:val="18"/>
          <w:color w:val="auto"/>
        </w:rPr>
        <w:t>The following figure shows the evolution of quarter-end and average daily balances per month. The debt payments made in Corporate Banking in the months of April and May are evident as it is the recovery posted in the month of June.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117475</wp:posOffset>
            </wp:positionV>
            <wp:extent cx="2607310" cy="1946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07310" cy="194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Market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4450715" cy="1663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450715" cy="1663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end of June BCP consolidated continues to lead the market with a 31.1% share, which outpaces its closest competitor’s share by more than 10 percentage points.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the end of June 2013, the Retail Banking segments that posted the highest gains in market share QoQ were the SME (from 24.0% to 24.6%) and Consumer (from 23.1% to 23.7%) segments. In terms of Wholesale Banking, Corporate Banking posted a decline, going from 48.0% in March to 45.7% in June. This drop was primarily due to the contraction generated by international and regional bonds issuances, which were used to pay off debts with BCP, as explained before. Middle-Market Banking experienced a slight decline in its market share, which fell from 34.7% to 34.1%.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Dollarization</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share of the LC denominated portfolio fell slightly from 45.0% in 1Q13 to 44.7% in 2Q13. This was due primarily to the effect of the devaluation of the Nuevo Sol. Despite this depreciation, the YoY evolution reveals a noteworthy process of de-dollarization, which is evident in the participation of LC loans: 44.7% at the end 2T13 vs. 42.4% at the close of 2Q12, which is in line with the 21.6% YoY growth posted in Retail Banking loans.</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2078355</wp:posOffset>
            </wp:positionH>
            <wp:positionV relativeFrom="page">
              <wp:posOffset>568960</wp:posOffset>
            </wp:positionV>
            <wp:extent cx="5325745" cy="23323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25745" cy="2332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II. 2 Liabilities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At the end of 2Q13, total liabilities dropped 8.4% QoQ due primarily to: (i) a contraction in Deposits (-7.2% QoQ), which are the main source of funding; this decline was accentuated by the devaluation of the Nuevo Sol given that 55% of deposits are in local currency; and (ii) the reduction in Other Liabilities (-57.4% QoQ), which was primarily due to the sale of Correval to Credicorp in the month of June. The YoY evolution reports growth of +11.6%.</w:t>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240" w:type="dxa"/>
            <w:vAlign w:val="bottom"/>
            <w:gridSpan w:val="3"/>
          </w:tcPr>
          <w:p>
            <w:pPr>
              <w:spacing w:after="0"/>
              <w:rPr>
                <w:sz w:val="20"/>
                <w:szCs w:val="20"/>
                <w:color w:val="auto"/>
              </w:rPr>
            </w:pPr>
            <w:r>
              <w:rPr>
                <w:rFonts w:ascii="Arial" w:cs="Arial" w:eastAsia="Arial" w:hAnsi="Arial"/>
                <w:sz w:val="14"/>
                <w:szCs w:val="14"/>
                <w:b w:val="1"/>
                <w:bCs w:val="1"/>
                <w:color w:val="auto"/>
              </w:rPr>
              <w:t>Deposits and obligations</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ind w:left="140"/>
              <w:spacing w:after="0"/>
              <w:rPr>
                <w:sz w:val="20"/>
                <w:szCs w:val="20"/>
                <w:color w:val="auto"/>
              </w:rPr>
            </w:pPr>
            <w:r>
              <w:rPr>
                <w:rFonts w:ascii="Arial" w:cs="Arial" w:eastAsia="Arial" w:hAnsi="Arial"/>
                <w:sz w:val="14"/>
                <w:szCs w:val="14"/>
                <w:b w:val="1"/>
                <w:bCs w:val="1"/>
                <w:color w:val="auto"/>
              </w:rPr>
              <w:t>Quarter</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gridSpan w:val="4"/>
          </w:tcPr>
          <w:p>
            <w:pPr>
              <w:ind w:left="120"/>
              <w:spacing w:after="0"/>
              <w:rPr>
                <w:sz w:val="20"/>
                <w:szCs w:val="20"/>
                <w:color w:val="auto"/>
              </w:rPr>
            </w:pPr>
            <w:r>
              <w:rPr>
                <w:rFonts w:ascii="Arial" w:cs="Arial" w:eastAsia="Arial" w:hAnsi="Arial"/>
                <w:sz w:val="14"/>
                <w:szCs w:val="14"/>
                <w:b w:val="1"/>
                <w:bCs w:val="1"/>
                <w:color w:val="auto"/>
              </w:rPr>
              <w:t>Change %</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5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US$ 000</w:t>
            </w:r>
          </w:p>
        </w:tc>
        <w:tc>
          <w:tcPr>
            <w:tcW w:w="100" w:type="dxa"/>
            <w:vAlign w:val="bottom"/>
            <w:tcBorders>
              <w:bottom w:val="single" w:sz="8" w:color="CCFFC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2Q13</w:t>
            </w:r>
          </w:p>
        </w:tc>
        <w:tc>
          <w:tcPr>
            <w:tcW w:w="220" w:type="dxa"/>
            <w:vAlign w:val="bottom"/>
            <w:tcBorders>
              <w:bottom w:val="single" w:sz="8" w:color="CCFFC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1Q13</w:t>
            </w:r>
          </w:p>
        </w:tc>
        <w:tc>
          <w:tcPr>
            <w:tcW w:w="220" w:type="dxa"/>
            <w:vAlign w:val="bottom"/>
            <w:tcBorders>
              <w:bottom w:val="single" w:sz="8" w:color="CCFFC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2Q12</w:t>
            </w:r>
          </w:p>
        </w:tc>
        <w:tc>
          <w:tcPr>
            <w:tcW w:w="200" w:type="dxa"/>
            <w:vAlign w:val="bottom"/>
            <w:tcBorders>
              <w:bottom w:val="single" w:sz="8" w:color="CCFFC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w w:val="98"/>
              </w:rPr>
              <w:t>QoQ</w:t>
            </w: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CCFFC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YoY</w:t>
            </w:r>
          </w:p>
        </w:tc>
        <w:tc>
          <w:tcPr>
            <w:tcW w:w="160" w:type="dxa"/>
            <w:vAlign w:val="bottom"/>
            <w:tcBorders>
              <w:bottom w:val="single" w:sz="8" w:color="CCFFCC"/>
            </w:tcBorders>
          </w:tcPr>
          <w:p>
            <w:pPr>
              <w:spacing w:after="0"/>
              <w:rPr>
                <w:sz w:val="14"/>
                <w:szCs w:val="14"/>
                <w:color w:val="auto"/>
              </w:rPr>
            </w:pPr>
          </w:p>
        </w:tc>
      </w:tr>
      <w:tr>
        <w:trPr>
          <w:trHeight w:val="142"/>
        </w:trPr>
        <w:tc>
          <w:tcPr>
            <w:tcW w:w="504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Demand deposits (non-interest bearing)</w:t>
            </w: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5,396,312</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6,277,969</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5,477,624</w:t>
            </w: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58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w w:val="94"/>
              </w:rPr>
              <w:t>-14.0%</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-1.5%</w:t>
            </w:r>
          </w:p>
        </w:tc>
      </w:tr>
      <w:tr>
        <w:trPr>
          <w:trHeight w:val="149"/>
        </w:trPr>
        <w:tc>
          <w:tcPr>
            <w:tcW w:w="5240" w:type="dxa"/>
            <w:vAlign w:val="bottom"/>
            <w:gridSpan w:val="3"/>
          </w:tcPr>
          <w:p>
            <w:pPr>
              <w:spacing w:after="0" w:line="149" w:lineRule="exact"/>
              <w:rPr>
                <w:sz w:val="20"/>
                <w:szCs w:val="20"/>
                <w:color w:val="auto"/>
              </w:rPr>
            </w:pPr>
            <w:r>
              <w:rPr>
                <w:rFonts w:ascii="Arial" w:cs="Arial" w:eastAsia="Arial" w:hAnsi="Arial"/>
                <w:sz w:val="14"/>
                <w:szCs w:val="14"/>
                <w:color w:val="auto"/>
              </w:rPr>
              <w:t>Demand deposits</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1,355,575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1,235,117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1,362,552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9.8%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-0.5%</w:t>
            </w:r>
          </w:p>
        </w:tc>
      </w:tr>
      <w:tr>
        <w:trPr>
          <w:trHeight w:val="149"/>
        </w:trPr>
        <w:tc>
          <w:tcPr>
            <w:tcW w:w="5240" w:type="dxa"/>
            <w:vAlign w:val="bottom"/>
            <w:gridSpan w:val="3"/>
            <w:shd w:val="clear" w:color="auto" w:fill="CCFFCC"/>
          </w:tcPr>
          <w:p>
            <w:pPr>
              <w:spacing w:after="0" w:line="149" w:lineRule="exact"/>
              <w:rPr>
                <w:sz w:val="20"/>
                <w:szCs w:val="20"/>
                <w:color w:val="auto"/>
              </w:rPr>
            </w:pPr>
            <w:r>
              <w:rPr>
                <w:rFonts w:ascii="Arial" w:cs="Arial" w:eastAsia="Arial" w:hAnsi="Arial"/>
                <w:sz w:val="14"/>
                <w:szCs w:val="14"/>
                <w:color w:val="auto"/>
              </w:rPr>
              <w:t>Saving deposits</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5,916,783</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6,275,766</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5,346,285</w:t>
            </w: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58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-5.7%</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10.7%</w:t>
            </w:r>
          </w:p>
        </w:tc>
      </w:tr>
      <w:tr>
        <w:trPr>
          <w:trHeight w:val="149"/>
        </w:trPr>
        <w:tc>
          <w:tcPr>
            <w:tcW w:w="5240" w:type="dxa"/>
            <w:vAlign w:val="bottom"/>
            <w:gridSpan w:val="3"/>
          </w:tcPr>
          <w:p>
            <w:pPr>
              <w:spacing w:after="0" w:line="149" w:lineRule="exact"/>
              <w:rPr>
                <w:sz w:val="20"/>
                <w:szCs w:val="20"/>
                <w:color w:val="auto"/>
              </w:rPr>
            </w:pPr>
            <w:r>
              <w:rPr>
                <w:rFonts w:ascii="Arial" w:cs="Arial" w:eastAsia="Arial" w:hAnsi="Arial"/>
                <w:sz w:val="14"/>
                <w:szCs w:val="14"/>
                <w:color w:val="auto"/>
              </w:rPr>
              <w:t>Time deposits</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7,356,075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8,156,478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5,513,461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-9.8%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33.4%</w:t>
            </w:r>
          </w:p>
        </w:tc>
      </w:tr>
      <w:tr>
        <w:trPr>
          <w:trHeight w:val="149"/>
        </w:trPr>
        <w:tc>
          <w:tcPr>
            <w:tcW w:w="5240" w:type="dxa"/>
            <w:vAlign w:val="bottom"/>
            <w:gridSpan w:val="3"/>
            <w:shd w:val="clear" w:color="auto" w:fill="CCFFCC"/>
          </w:tcPr>
          <w:p>
            <w:pPr>
              <w:spacing w:after="0" w:line="149" w:lineRule="exact"/>
              <w:rPr>
                <w:sz w:val="20"/>
                <w:szCs w:val="20"/>
                <w:color w:val="auto"/>
              </w:rPr>
            </w:pPr>
            <w:r>
              <w:rPr>
                <w:rFonts w:ascii="Arial" w:cs="Arial" w:eastAsia="Arial" w:hAnsi="Arial"/>
                <w:sz w:val="14"/>
                <w:szCs w:val="14"/>
                <w:color w:val="auto"/>
              </w:rPr>
              <w:t>Severance indemnity deposits (CTS)</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2,267,416</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2,073,189</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1,971,406</w:t>
            </w: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58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9.4%</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15.0%</w:t>
            </w:r>
          </w:p>
        </w:tc>
      </w:tr>
      <w:tr>
        <w:trPr>
          <w:trHeight w:val="162"/>
        </w:trPr>
        <w:tc>
          <w:tcPr>
            <w:tcW w:w="5240" w:type="dxa"/>
            <w:vAlign w:val="bottom"/>
            <w:gridSpan w:val="3"/>
          </w:tcPr>
          <w:p>
            <w:pPr>
              <w:spacing w:after="0"/>
              <w:rPr>
                <w:sz w:val="20"/>
                <w:szCs w:val="20"/>
                <w:color w:val="auto"/>
              </w:rPr>
            </w:pPr>
            <w:r>
              <w:rPr>
                <w:rFonts w:ascii="Arial" w:cs="Arial" w:eastAsia="Arial" w:hAnsi="Arial"/>
                <w:sz w:val="14"/>
                <w:szCs w:val="14"/>
                <w:color w:val="auto"/>
              </w:rPr>
              <w:t>Interest payable</w:t>
            </w:r>
          </w:p>
        </w:tc>
        <w:tc>
          <w:tcPr>
            <w:tcW w:w="900" w:type="dxa"/>
            <w:vAlign w:val="bottom"/>
          </w:tcPr>
          <w:p>
            <w:pPr>
              <w:jc w:val="right"/>
              <w:spacing w:after="0"/>
              <w:rPr>
                <w:sz w:val="20"/>
                <w:szCs w:val="20"/>
                <w:color w:val="auto"/>
              </w:rPr>
            </w:pPr>
            <w:r>
              <w:rPr>
                <w:rFonts w:ascii="Arial" w:cs="Arial" w:eastAsia="Arial" w:hAnsi="Arial"/>
                <w:sz w:val="14"/>
                <w:szCs w:val="14"/>
                <w:color w:val="auto"/>
              </w:rPr>
              <w:t>72,728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71,089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71,981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jc w:val="right"/>
              <w:ind w:right="6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1.0%</w:t>
            </w:r>
          </w:p>
        </w:tc>
      </w:tr>
      <w:tr>
        <w:trPr>
          <w:trHeight w:val="142"/>
        </w:trPr>
        <w:tc>
          <w:tcPr>
            <w:tcW w:w="5240" w:type="dxa"/>
            <w:vAlign w:val="bottom"/>
            <w:tcBorders>
              <w:top w:val="single" w:sz="8" w:color="CCFFCC"/>
            </w:tcBorders>
            <w:gridSpan w:val="3"/>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Total customer deposits (1)</w:t>
            </w:r>
          </w:p>
        </w:tc>
        <w:tc>
          <w:tcPr>
            <w:tcW w:w="9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22,364,889</w:t>
            </w:r>
          </w:p>
        </w:tc>
        <w:tc>
          <w:tcPr>
            <w:tcW w:w="22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24,089,608</w:t>
            </w:r>
          </w:p>
        </w:tc>
        <w:tc>
          <w:tcPr>
            <w:tcW w:w="22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19,743,309</w:t>
            </w:r>
          </w:p>
        </w:tc>
        <w:tc>
          <w:tcPr>
            <w:tcW w:w="20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560" w:type="dxa"/>
            <w:vAlign w:val="bottom"/>
            <w:tcBorders>
              <w:top w:val="single" w:sz="8" w:color="auto"/>
              <w:bottom w:val="single" w:sz="8" w:color="auto"/>
            </w:tcBorders>
            <w:shd w:val="clear" w:color="auto" w:fill="CCFFCC"/>
          </w:tcPr>
          <w:p>
            <w:pPr>
              <w:spacing w:after="0"/>
              <w:rPr>
                <w:sz w:val="12"/>
                <w:szCs w:val="12"/>
                <w:color w:val="auto"/>
              </w:rPr>
            </w:pPr>
          </w:p>
        </w:tc>
        <w:tc>
          <w:tcPr>
            <w:tcW w:w="3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-7.2</w:t>
            </w:r>
          </w:p>
        </w:tc>
        <w:tc>
          <w:tcPr>
            <w:tcW w:w="260" w:type="dxa"/>
            <w:vAlign w:val="bottom"/>
            <w:tcBorders>
              <w:top w:val="single" w:sz="8" w:color="CCFFCC"/>
            </w:tcBorders>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12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auto"/>
              <w:bottom w:val="single" w:sz="8" w:color="auto"/>
            </w:tcBorders>
            <w:shd w:val="clear" w:color="auto" w:fill="CCFFCC"/>
          </w:tcPr>
          <w:p>
            <w:pPr>
              <w:spacing w:after="0"/>
              <w:rPr>
                <w:sz w:val="12"/>
                <w:szCs w:val="12"/>
                <w:color w:val="auto"/>
              </w:rPr>
            </w:pPr>
          </w:p>
        </w:tc>
        <w:tc>
          <w:tcPr>
            <w:tcW w:w="7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13.3</w:t>
            </w:r>
          </w:p>
        </w:tc>
        <w:tc>
          <w:tcPr>
            <w:tcW w:w="16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r>
      <w:tr>
        <w:trPr>
          <w:trHeight w:val="142"/>
        </w:trPr>
        <w:tc>
          <w:tcPr>
            <w:tcW w:w="5240" w:type="dxa"/>
            <w:vAlign w:val="bottom"/>
            <w:gridSpan w:val="3"/>
          </w:tcPr>
          <w:p>
            <w:pPr>
              <w:spacing w:after="0" w:line="142" w:lineRule="exact"/>
              <w:rPr>
                <w:sz w:val="20"/>
                <w:szCs w:val="20"/>
                <w:color w:val="auto"/>
              </w:rPr>
            </w:pPr>
            <w:r>
              <w:rPr>
                <w:rFonts w:ascii="Arial" w:cs="Arial" w:eastAsia="Arial" w:hAnsi="Arial"/>
                <w:sz w:val="14"/>
                <w:szCs w:val="14"/>
                <w:color w:val="auto"/>
              </w:rPr>
              <w:t>Due to banks and correspondents (2)</w:t>
            </w: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4,055,121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4,530,801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3,313,636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gridSpan w:val="2"/>
          </w:tcPr>
          <w:p>
            <w:pPr>
              <w:jc w:val="right"/>
              <w:ind w:right="68"/>
              <w:spacing w:after="0" w:line="142" w:lineRule="exact"/>
              <w:rPr>
                <w:sz w:val="20"/>
                <w:szCs w:val="20"/>
                <w:color w:val="auto"/>
              </w:rPr>
            </w:pPr>
            <w:r>
              <w:rPr>
                <w:rFonts w:ascii="Arial" w:cs="Arial" w:eastAsia="Arial" w:hAnsi="Arial"/>
                <w:sz w:val="14"/>
                <w:szCs w:val="14"/>
                <w:color w:val="auto"/>
                <w:w w:val="94"/>
              </w:rPr>
              <w:t>-10.5%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22.4%</w:t>
            </w:r>
          </w:p>
        </w:tc>
      </w:tr>
      <w:tr>
        <w:trPr>
          <w:trHeight w:val="149"/>
        </w:trPr>
        <w:tc>
          <w:tcPr>
            <w:tcW w:w="5240" w:type="dxa"/>
            <w:vAlign w:val="bottom"/>
            <w:gridSpan w:val="3"/>
            <w:shd w:val="clear" w:color="auto" w:fill="CCFFCC"/>
          </w:tcPr>
          <w:p>
            <w:pPr>
              <w:spacing w:after="0" w:line="149" w:lineRule="exact"/>
              <w:rPr>
                <w:sz w:val="20"/>
                <w:szCs w:val="20"/>
                <w:color w:val="auto"/>
              </w:rPr>
            </w:pPr>
            <w:r>
              <w:rPr>
                <w:rFonts w:ascii="Arial" w:cs="Arial" w:eastAsia="Arial" w:hAnsi="Arial"/>
                <w:sz w:val="14"/>
                <w:szCs w:val="14"/>
                <w:color w:val="auto"/>
              </w:rPr>
              <w:t>Bonds and subordinated debt</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4,168,247</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3,650,438</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3,482,265</w:t>
            </w: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58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14.2%</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19.7%</w:t>
            </w:r>
          </w:p>
        </w:tc>
      </w:tr>
      <w:tr>
        <w:trPr>
          <w:trHeight w:val="162"/>
        </w:trPr>
        <w:tc>
          <w:tcPr>
            <w:tcW w:w="5240" w:type="dxa"/>
            <w:vAlign w:val="bottom"/>
            <w:gridSpan w:val="3"/>
          </w:tcPr>
          <w:p>
            <w:pPr>
              <w:spacing w:after="0"/>
              <w:rPr>
                <w:sz w:val="20"/>
                <w:szCs w:val="20"/>
                <w:color w:val="auto"/>
              </w:rPr>
            </w:pPr>
            <w:r>
              <w:rPr>
                <w:rFonts w:ascii="Arial" w:cs="Arial" w:eastAsia="Arial" w:hAnsi="Arial"/>
                <w:sz w:val="14"/>
                <w:szCs w:val="14"/>
                <w:color w:val="auto"/>
              </w:rPr>
              <w:t>Other liabilities (3)</w:t>
            </w:r>
          </w:p>
        </w:tc>
        <w:tc>
          <w:tcPr>
            <w:tcW w:w="900" w:type="dxa"/>
            <w:vAlign w:val="bottom"/>
          </w:tcPr>
          <w:p>
            <w:pPr>
              <w:jc w:val="right"/>
              <w:spacing w:after="0"/>
              <w:rPr>
                <w:sz w:val="20"/>
                <w:szCs w:val="20"/>
                <w:color w:val="auto"/>
              </w:rPr>
            </w:pPr>
            <w:r>
              <w:rPr>
                <w:rFonts w:ascii="Arial" w:cs="Arial" w:eastAsia="Arial" w:hAnsi="Arial"/>
                <w:sz w:val="14"/>
                <w:szCs w:val="14"/>
                <w:color w:val="auto"/>
              </w:rPr>
              <w:t>884,903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2,078,980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1,672,673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jc w:val="right"/>
              <w:ind w:right="68"/>
              <w:spacing w:after="0"/>
              <w:rPr>
                <w:sz w:val="20"/>
                <w:szCs w:val="20"/>
                <w:color w:val="auto"/>
              </w:rPr>
            </w:pPr>
            <w:r>
              <w:rPr>
                <w:rFonts w:ascii="Arial" w:cs="Arial" w:eastAsia="Arial" w:hAnsi="Arial"/>
                <w:sz w:val="14"/>
                <w:szCs w:val="14"/>
                <w:color w:val="auto"/>
                <w:w w:val="94"/>
              </w:rPr>
              <w:t>-57.4%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-47.1%</w:t>
            </w:r>
          </w:p>
        </w:tc>
      </w:tr>
      <w:tr>
        <w:trPr>
          <w:trHeight w:val="142"/>
        </w:trPr>
        <w:tc>
          <w:tcPr>
            <w:tcW w:w="5240" w:type="dxa"/>
            <w:vAlign w:val="bottom"/>
            <w:tcBorders>
              <w:top w:val="single" w:sz="8" w:color="CCFFCC"/>
            </w:tcBorders>
            <w:gridSpan w:val="3"/>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Total liabilities</w:t>
            </w:r>
          </w:p>
        </w:tc>
        <w:tc>
          <w:tcPr>
            <w:tcW w:w="9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31,473,160</w:t>
            </w:r>
          </w:p>
        </w:tc>
        <w:tc>
          <w:tcPr>
            <w:tcW w:w="22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34,349,827</w:t>
            </w:r>
          </w:p>
        </w:tc>
        <w:tc>
          <w:tcPr>
            <w:tcW w:w="22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28,211,883</w:t>
            </w:r>
          </w:p>
        </w:tc>
        <w:tc>
          <w:tcPr>
            <w:tcW w:w="20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560" w:type="dxa"/>
            <w:vAlign w:val="bottom"/>
            <w:tcBorders>
              <w:top w:val="single" w:sz="8" w:color="auto"/>
              <w:bottom w:val="single" w:sz="8" w:color="auto"/>
            </w:tcBorders>
            <w:shd w:val="clear" w:color="auto" w:fill="CCFFCC"/>
          </w:tcPr>
          <w:p>
            <w:pPr>
              <w:spacing w:after="0"/>
              <w:rPr>
                <w:sz w:val="12"/>
                <w:szCs w:val="12"/>
                <w:color w:val="auto"/>
              </w:rPr>
            </w:pPr>
          </w:p>
        </w:tc>
        <w:tc>
          <w:tcPr>
            <w:tcW w:w="3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-8.4</w:t>
            </w:r>
          </w:p>
        </w:tc>
        <w:tc>
          <w:tcPr>
            <w:tcW w:w="260" w:type="dxa"/>
            <w:vAlign w:val="bottom"/>
            <w:tcBorders>
              <w:top w:val="single" w:sz="8" w:color="CCFFCC"/>
            </w:tcBorders>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12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auto"/>
              <w:bottom w:val="single" w:sz="8" w:color="auto"/>
            </w:tcBorders>
            <w:shd w:val="clear" w:color="auto" w:fill="CCFFCC"/>
          </w:tcPr>
          <w:p>
            <w:pPr>
              <w:spacing w:after="0"/>
              <w:rPr>
                <w:sz w:val="12"/>
                <w:szCs w:val="12"/>
                <w:color w:val="auto"/>
              </w:rPr>
            </w:pPr>
          </w:p>
        </w:tc>
        <w:tc>
          <w:tcPr>
            <w:tcW w:w="7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11.6</w:t>
            </w:r>
          </w:p>
        </w:tc>
        <w:tc>
          <w:tcPr>
            <w:tcW w:w="16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r>
    </w:tbl>
    <w:p>
      <w:pPr>
        <w:ind w:left="420" w:hanging="250"/>
        <w:spacing w:after="0"/>
        <w:tabs>
          <w:tab w:leader="none" w:pos="42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See note 6 in BCP and Subsidiaries Balance Sheet.</w:t>
      </w:r>
    </w:p>
    <w:p>
      <w:pPr>
        <w:spacing w:after="0" w:line="9" w:lineRule="exact"/>
        <w:rPr>
          <w:rFonts w:ascii="Arial" w:cs="Arial" w:eastAsia="Arial" w:hAnsi="Arial"/>
          <w:sz w:val="18"/>
          <w:szCs w:val="18"/>
          <w:i w:val="1"/>
          <w:iCs w:val="1"/>
          <w:color w:val="auto"/>
        </w:rPr>
      </w:pPr>
    </w:p>
    <w:p>
      <w:pPr>
        <w:ind w:left="420" w:hanging="250"/>
        <w:spacing w:after="0"/>
        <w:tabs>
          <w:tab w:leader="none" w:pos="42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See note 7 in BCP and Subsidiaries Balance Sheet.</w:t>
      </w:r>
    </w:p>
    <w:p>
      <w:pPr>
        <w:spacing w:after="0" w:line="9" w:lineRule="exact"/>
        <w:rPr>
          <w:rFonts w:ascii="Arial" w:cs="Arial" w:eastAsia="Arial" w:hAnsi="Arial"/>
          <w:sz w:val="18"/>
          <w:szCs w:val="18"/>
          <w:i w:val="1"/>
          <w:iCs w:val="1"/>
          <w:color w:val="auto"/>
        </w:rPr>
      </w:pPr>
    </w:p>
    <w:p>
      <w:pPr>
        <w:ind w:left="420" w:hanging="250"/>
        <w:spacing w:after="0"/>
        <w:tabs>
          <w:tab w:leader="none" w:pos="42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See note 8 in BCP and Subsidiaries Balance Sheet.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decline reported in total deposits (-7.2% QoQ) is primarily due to:</w:t>
      </w:r>
    </w:p>
    <w:p>
      <w:pPr>
        <w:spacing w:after="0" w:line="225" w:lineRule="exact"/>
        <w:rPr>
          <w:sz w:val="20"/>
          <w:szCs w:val="20"/>
          <w:color w:val="auto"/>
        </w:rPr>
      </w:pPr>
    </w:p>
    <w:p>
      <w:pPr>
        <w:jc w:val="both"/>
        <w:ind w:left="1280" w:hanging="381"/>
        <w:spacing w:after="0" w:line="264" w:lineRule="auto"/>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drop in non-interest bearing demand deposits (-14.0% QoQ), which was due to the contraction in LC (-17.4% QoQ) and FC (-10.9% QoQ) deposits due to withdrawals by Corporate Banking clients to cover CAPEX payments, payments to suppliers, payment of dividends, among others;</w:t>
      </w:r>
    </w:p>
    <w:p>
      <w:pPr>
        <w:spacing w:after="0" w:line="181" w:lineRule="exact"/>
        <w:rPr>
          <w:rFonts w:ascii="Arial" w:cs="Arial" w:eastAsia="Arial" w:hAnsi="Arial"/>
          <w:sz w:val="18"/>
          <w:szCs w:val="18"/>
          <w:color w:val="auto"/>
        </w:rPr>
      </w:pPr>
    </w:p>
    <w:p>
      <w:pPr>
        <w:jc w:val="both"/>
        <w:ind w:left="1280" w:hanging="381"/>
        <w:spacing w:after="0" w:line="257" w:lineRule="auto"/>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reduction in time deposits (-9.8% QoQ) due to a contraction in FC (-14.9% QoQ) and LC (-6.2% QoQ) deposits, primarily in the Corporate Banking segment. The decrease in FC deposits is associated with the bank’s approach to managing excess liquidity in US Dollars. Nevertheless, the contraction in LC time deposits reflects the impact of the devaluation in the Nuevo Sol given that growth, expressed in LC, was +0.8% QoQ. This had a powerful impact on the evolution of total time deposits because the LC component represents 62% of this deposit type; and</w:t>
      </w:r>
    </w:p>
    <w:p>
      <w:pPr>
        <w:spacing w:after="0" w:line="188" w:lineRule="exact"/>
        <w:rPr>
          <w:rFonts w:ascii="Arial" w:cs="Arial" w:eastAsia="Arial" w:hAnsi="Arial"/>
          <w:sz w:val="18"/>
          <w:szCs w:val="18"/>
          <w:color w:val="auto"/>
        </w:rPr>
      </w:pPr>
    </w:p>
    <w:p>
      <w:pPr>
        <w:jc w:val="both"/>
        <w:ind w:left="1280" w:hanging="381"/>
        <w:spacing w:after="0" w:line="264" w:lineRule="auto"/>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drop in saving deposits (-5.7% QoQ) due to the contraction in the LC component (-4.3% TaT) mainly associated to: the devaluation of the Nuevo Sol, given that 56% of this type of deposit is denominated in this currency; and a seasonal factor given that a peak is recorded in 1Q13 as a result of profit sharing payments.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5" w:name="page16"/>
    <w:bookmarkEnd w:id="15"/>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The aforementioned contractions were attenuated by expansion in CTS deposits, which grew 9.47% QoQ. This growth reflects a seasonal increase that happens in May of each year.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end of 2Q13, the loan/deposit ratio was situated at 92.5% (vs. 86.8% in 1Q13). By currency type, this indicator was 75.5% (vs. 70.2% 1Q13) in LC and 111.35% (vs. 107.5% 1Q13) in FC.</w:t>
      </w:r>
    </w:p>
    <w:p>
      <w:pPr>
        <w:spacing w:after="0" w:line="15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40" w:type="dxa"/>
            <w:vAlign w:val="bottom"/>
            <w:gridSpan w:val="5"/>
          </w:tcPr>
          <w:p>
            <w:pPr>
              <w:jc w:val="right"/>
              <w:spacing w:after="0"/>
              <w:rPr>
                <w:sz w:val="20"/>
                <w:szCs w:val="20"/>
                <w:color w:val="auto"/>
              </w:rPr>
            </w:pPr>
            <w:r>
              <w:rPr>
                <w:rFonts w:ascii="Arial" w:cs="Arial" w:eastAsia="Arial" w:hAnsi="Arial"/>
                <w:sz w:val="14"/>
                <w:szCs w:val="14"/>
                <w:b w:val="1"/>
                <w:bCs w:val="1"/>
                <w:color w:val="auto"/>
              </w:rPr>
              <w:t>Local Currency (LC)</w:t>
            </w:r>
          </w:p>
        </w:tc>
        <w:tc>
          <w:tcPr>
            <w:tcW w:w="1400" w:type="dxa"/>
            <w:vAlign w:val="bottom"/>
            <w:gridSpan w:val="5"/>
            <w:vMerge w:val="restart"/>
          </w:tcPr>
          <w:p>
            <w:pPr>
              <w:jc w:val="center"/>
              <w:ind w:right="360"/>
              <w:spacing w:after="0"/>
              <w:rPr>
                <w:sz w:val="20"/>
                <w:szCs w:val="20"/>
                <w:color w:val="auto"/>
              </w:rPr>
            </w:pPr>
            <w:r>
              <w:rPr>
                <w:rFonts w:ascii="Arial" w:cs="Arial" w:eastAsia="Arial" w:hAnsi="Arial"/>
                <w:sz w:val="14"/>
                <w:szCs w:val="14"/>
                <w:b w:val="1"/>
                <w:bCs w:val="1"/>
                <w:color w:val="auto"/>
                <w:w w:val="98"/>
              </w:rPr>
              <w:t>Participation %</w:t>
            </w:r>
          </w:p>
        </w:tc>
        <w:tc>
          <w:tcPr>
            <w:tcW w:w="860" w:type="dxa"/>
            <w:vAlign w:val="bottom"/>
          </w:tcPr>
          <w:p>
            <w:pPr>
              <w:spacing w:after="0"/>
              <w:rPr>
                <w:sz w:val="14"/>
                <w:szCs w:val="14"/>
                <w:color w:val="auto"/>
              </w:rPr>
            </w:pPr>
          </w:p>
        </w:tc>
        <w:tc>
          <w:tcPr>
            <w:tcW w:w="1480" w:type="dxa"/>
            <w:vAlign w:val="bottom"/>
            <w:gridSpan w:val="5"/>
          </w:tcPr>
          <w:p>
            <w:pPr>
              <w:jc w:val="right"/>
              <w:spacing w:after="0"/>
              <w:rPr>
                <w:sz w:val="20"/>
                <w:szCs w:val="20"/>
                <w:color w:val="auto"/>
              </w:rPr>
            </w:pPr>
            <w:r>
              <w:rPr>
                <w:rFonts w:ascii="Arial" w:cs="Arial" w:eastAsia="Arial" w:hAnsi="Arial"/>
                <w:sz w:val="14"/>
                <w:szCs w:val="14"/>
                <w:b w:val="1"/>
                <w:bCs w:val="1"/>
                <w:color w:val="auto"/>
                <w:w w:val="98"/>
              </w:rPr>
              <w:t>Foreign Currency (FC)</w:t>
            </w:r>
          </w:p>
        </w:tc>
        <w:tc>
          <w:tcPr>
            <w:tcW w:w="1180" w:type="dxa"/>
            <w:vAlign w:val="bottom"/>
            <w:gridSpan w:val="4"/>
            <w:vMerge w:val="restart"/>
          </w:tcPr>
          <w:p>
            <w:pPr>
              <w:jc w:val="center"/>
              <w:ind w:right="88"/>
              <w:spacing w:after="0"/>
              <w:rPr>
                <w:sz w:val="20"/>
                <w:szCs w:val="20"/>
                <w:color w:val="auto"/>
              </w:rPr>
            </w:pPr>
            <w:r>
              <w:rPr>
                <w:rFonts w:ascii="Arial" w:cs="Arial" w:eastAsia="Arial" w:hAnsi="Arial"/>
                <w:sz w:val="14"/>
                <w:szCs w:val="14"/>
                <w:b w:val="1"/>
                <w:bCs w:val="1"/>
                <w:color w:val="auto"/>
                <w:w w:val="96"/>
              </w:rPr>
              <w:t>Participation %</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4"/>
          </w:tcPr>
          <w:p>
            <w:pPr>
              <w:ind w:left="660"/>
              <w:spacing w:after="0"/>
              <w:rPr>
                <w:sz w:val="20"/>
                <w:szCs w:val="20"/>
                <w:color w:val="auto"/>
              </w:rPr>
            </w:pPr>
            <w:r>
              <w:rPr>
                <w:rFonts w:ascii="Arial" w:cs="Arial" w:eastAsia="Arial" w:hAnsi="Arial"/>
                <w:sz w:val="14"/>
                <w:szCs w:val="14"/>
                <w:b w:val="1"/>
                <w:bCs w:val="1"/>
                <w:color w:val="auto"/>
              </w:rPr>
              <w:t>Change %</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5"/>
            <w:vMerge w:val="continue"/>
          </w:tcPr>
          <w:p>
            <w:pPr>
              <w:spacing w:after="0"/>
              <w:rPr>
                <w:sz w:val="14"/>
                <w:szCs w:val="14"/>
                <w:color w:val="auto"/>
              </w:rPr>
            </w:pPr>
          </w:p>
        </w:tc>
        <w:tc>
          <w:tcPr>
            <w:tcW w:w="1400" w:type="dxa"/>
            <w:vAlign w:val="bottom"/>
            <w:gridSpan w:val="4"/>
          </w:tcPr>
          <w:p>
            <w:pPr>
              <w:ind w:left="660"/>
              <w:spacing w:after="0"/>
              <w:rPr>
                <w:sz w:val="20"/>
                <w:szCs w:val="20"/>
                <w:color w:val="auto"/>
              </w:rPr>
            </w:pPr>
            <w:r>
              <w:rPr>
                <w:rFonts w:ascii="Arial" w:cs="Arial" w:eastAsia="Arial" w:hAnsi="Arial"/>
                <w:sz w:val="14"/>
                <w:szCs w:val="14"/>
                <w:b w:val="1"/>
                <w:bCs w:val="1"/>
                <w:color w:val="auto"/>
              </w:rPr>
              <w:t>Change %</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Change in deposits in the currency they are denominated</w:t>
            </w:r>
          </w:p>
        </w:tc>
        <w:tc>
          <w:tcPr>
            <w:tcW w:w="120" w:type="dxa"/>
            <w:vAlign w:val="bottom"/>
            <w:tcBorders>
              <w:bottom w:val="single" w:sz="8" w:color="CCFFC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FFCC"/>
            </w:tcBorders>
          </w:tcPr>
          <w:p>
            <w:pPr>
              <w:spacing w:after="0"/>
              <w:rPr>
                <w:sz w:val="14"/>
                <w:szCs w:val="14"/>
                <w:color w:val="auto"/>
              </w:rPr>
            </w:pPr>
          </w:p>
        </w:tc>
        <w:tc>
          <w:tcPr>
            <w:tcW w:w="280" w:type="dxa"/>
            <w:vAlign w:val="bottom"/>
            <w:tcBorders>
              <w:bottom w:val="single" w:sz="8" w:color="auto"/>
            </w:tcBorders>
            <w:gridSpan w:val="2"/>
          </w:tcPr>
          <w:p>
            <w:pPr>
              <w:spacing w:after="0"/>
              <w:rPr>
                <w:sz w:val="14"/>
                <w:szCs w:val="14"/>
                <w:color w:val="auto"/>
              </w:rPr>
            </w:pPr>
          </w:p>
        </w:tc>
        <w:tc>
          <w:tcPr>
            <w:tcW w:w="7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YoY</w:t>
            </w:r>
          </w:p>
        </w:tc>
        <w:tc>
          <w:tcPr>
            <w:tcW w:w="220" w:type="dxa"/>
            <w:vAlign w:val="bottom"/>
            <w:tcBorders>
              <w:bottom w:val="single" w:sz="8" w:color="CCFFCC"/>
            </w:tcBorders>
          </w:tcPr>
          <w:p>
            <w:pPr>
              <w:spacing w:after="0"/>
              <w:rPr>
                <w:sz w:val="14"/>
                <w:szCs w:val="14"/>
                <w:color w:val="auto"/>
              </w:rPr>
            </w:pPr>
          </w:p>
        </w:tc>
        <w:tc>
          <w:tcPr>
            <w:tcW w:w="40" w:type="dxa"/>
            <w:vAlign w:val="bottom"/>
            <w:tcBorders>
              <w:bottom w:val="single" w:sz="8" w:color="CCFFC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9"/>
              </w:rPr>
              <w:t>2Q13</w:t>
            </w:r>
          </w:p>
        </w:tc>
        <w:tc>
          <w:tcPr>
            <w:tcW w:w="260" w:type="dxa"/>
            <w:vAlign w:val="bottom"/>
            <w:tcBorders>
              <w:bottom w:val="single" w:sz="8" w:color="CCFFC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FFCC"/>
            </w:tcBorders>
          </w:tcPr>
          <w:p>
            <w:pPr>
              <w:spacing w:after="0"/>
              <w:rPr>
                <w:sz w:val="14"/>
                <w:szCs w:val="14"/>
                <w:color w:val="auto"/>
              </w:rPr>
            </w:pPr>
          </w:p>
        </w:tc>
        <w:tc>
          <w:tcPr>
            <w:tcW w:w="280" w:type="dxa"/>
            <w:vAlign w:val="bottom"/>
            <w:tcBorders>
              <w:bottom w:val="single" w:sz="8" w:color="auto"/>
            </w:tcBorders>
            <w:gridSpan w:val="2"/>
          </w:tcPr>
          <w:p>
            <w:pPr>
              <w:spacing w:after="0"/>
              <w:rPr>
                <w:sz w:val="14"/>
                <w:szCs w:val="14"/>
                <w:color w:val="auto"/>
              </w:rPr>
            </w:pPr>
          </w:p>
        </w:tc>
        <w:tc>
          <w:tcPr>
            <w:tcW w:w="7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YoY</w:t>
            </w:r>
          </w:p>
        </w:tc>
        <w:tc>
          <w:tcPr>
            <w:tcW w:w="240" w:type="dxa"/>
            <w:vAlign w:val="bottom"/>
            <w:tcBorders>
              <w:bottom w:val="single" w:sz="8" w:color="CCFFCC"/>
            </w:tcBorders>
          </w:tcPr>
          <w:p>
            <w:pPr>
              <w:spacing w:after="0"/>
              <w:rPr>
                <w:sz w:val="14"/>
                <w:szCs w:val="14"/>
                <w:color w:val="auto"/>
              </w:rPr>
            </w:pPr>
          </w:p>
        </w:tc>
        <w:tc>
          <w:tcPr>
            <w:tcW w:w="20" w:type="dxa"/>
            <w:vAlign w:val="bottom"/>
            <w:tcBorders>
              <w:bottom w:val="single" w:sz="8" w:color="CCFFC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3"/>
              </w:rPr>
              <w:t>2Q13</w:t>
            </w:r>
          </w:p>
        </w:tc>
        <w:tc>
          <w:tcPr>
            <w:tcW w:w="160" w:type="dxa"/>
            <w:vAlign w:val="bottom"/>
            <w:tcBorders>
              <w:bottom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6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Non-interest bearing deposits</w:t>
            </w: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-11.2%</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28"/>
              <w:spacing w:after="0" w:line="142" w:lineRule="exact"/>
              <w:rPr>
                <w:sz w:val="20"/>
                <w:szCs w:val="20"/>
                <w:color w:val="auto"/>
              </w:rPr>
            </w:pPr>
            <w:r>
              <w:rPr>
                <w:rFonts w:ascii="Arial" w:cs="Arial" w:eastAsia="Arial" w:hAnsi="Arial"/>
                <w:sz w:val="14"/>
                <w:szCs w:val="14"/>
                <w:color w:val="auto"/>
              </w:rPr>
              <w:t>11.9%</w:t>
            </w:r>
          </w:p>
        </w:tc>
        <w:tc>
          <w:tcPr>
            <w:tcW w:w="40" w:type="dxa"/>
            <w:vAlign w:val="bottom"/>
            <w:shd w:val="clear" w:color="auto" w:fill="CCFFCC"/>
          </w:tcPr>
          <w:p>
            <w:pPr>
              <w:spacing w:after="0"/>
              <w:rPr>
                <w:sz w:val="12"/>
                <w:szCs w:val="12"/>
                <w:color w:val="auto"/>
              </w:rPr>
            </w:pPr>
          </w:p>
        </w:tc>
        <w:tc>
          <w:tcPr>
            <w:tcW w:w="1260" w:type="dxa"/>
            <w:vAlign w:val="bottom"/>
            <w:gridSpan w:val="3"/>
            <w:shd w:val="clear" w:color="auto" w:fill="CCFFCC"/>
          </w:tcPr>
          <w:p>
            <w:pPr>
              <w:ind w:left="740"/>
              <w:spacing w:after="0" w:line="142" w:lineRule="exact"/>
              <w:rPr>
                <w:sz w:val="20"/>
                <w:szCs w:val="20"/>
                <w:color w:val="auto"/>
              </w:rPr>
            </w:pPr>
            <w:r>
              <w:rPr>
                <w:rFonts w:ascii="Arial" w:cs="Arial" w:eastAsia="Arial" w:hAnsi="Arial"/>
                <w:sz w:val="14"/>
                <w:szCs w:val="14"/>
                <w:color w:val="auto"/>
              </w:rPr>
              <w:t>46.9%</w:t>
            </w:r>
          </w:p>
        </w:tc>
        <w:tc>
          <w:tcPr>
            <w:tcW w:w="1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-10.9%</w:t>
            </w:r>
          </w:p>
        </w:tc>
        <w:tc>
          <w:tcPr>
            <w:tcW w:w="1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-8.9%</w:t>
            </w:r>
          </w:p>
        </w:tc>
        <w:tc>
          <w:tcPr>
            <w:tcW w:w="20" w:type="dxa"/>
            <w:vAlign w:val="bottom"/>
            <w:shd w:val="clear" w:color="auto" w:fill="CCFFCC"/>
          </w:tcPr>
          <w:p>
            <w:pPr>
              <w:spacing w:after="0"/>
              <w:rPr>
                <w:sz w:val="12"/>
                <w:szCs w:val="12"/>
                <w:color w:val="auto"/>
              </w:rPr>
            </w:pPr>
          </w:p>
        </w:tc>
        <w:tc>
          <w:tcPr>
            <w:tcW w:w="1160" w:type="dxa"/>
            <w:vAlign w:val="bottom"/>
            <w:gridSpan w:val="3"/>
            <w:shd w:val="clear" w:color="auto" w:fill="CCFFCC"/>
          </w:tcPr>
          <w:p>
            <w:pPr>
              <w:ind w:left="740"/>
              <w:spacing w:after="0" w:line="142" w:lineRule="exact"/>
              <w:rPr>
                <w:sz w:val="20"/>
                <w:szCs w:val="20"/>
                <w:color w:val="auto"/>
              </w:rPr>
            </w:pPr>
            <w:r>
              <w:rPr>
                <w:rFonts w:ascii="Arial" w:cs="Arial" w:eastAsia="Arial" w:hAnsi="Arial"/>
                <w:sz w:val="14"/>
                <w:szCs w:val="14"/>
                <w:color w:val="auto"/>
              </w:rPr>
              <w:t>53.1%</w:t>
            </w:r>
          </w:p>
        </w:tc>
        <w:tc>
          <w:tcPr>
            <w:tcW w:w="0" w:type="dxa"/>
            <w:vAlign w:val="bottom"/>
          </w:tcPr>
          <w:p>
            <w:pPr>
              <w:spacing w:after="0"/>
              <w:rPr>
                <w:sz w:val="1"/>
                <w:szCs w:val="1"/>
                <w:color w:val="auto"/>
              </w:rPr>
            </w:pPr>
          </w:p>
        </w:tc>
      </w:tr>
      <w:tr>
        <w:trPr>
          <w:trHeight w:val="149"/>
        </w:trPr>
        <w:tc>
          <w:tcPr>
            <w:tcW w:w="3980" w:type="dxa"/>
            <w:vAlign w:val="bottom"/>
            <w:gridSpan w:val="3"/>
          </w:tcPr>
          <w:p>
            <w:pPr>
              <w:spacing w:after="0" w:line="149" w:lineRule="exact"/>
              <w:rPr>
                <w:sz w:val="20"/>
                <w:szCs w:val="20"/>
                <w:color w:val="auto"/>
              </w:rPr>
            </w:pPr>
            <w:r>
              <w:rPr>
                <w:rFonts w:ascii="Arial" w:cs="Arial" w:eastAsia="Arial" w:hAnsi="Arial"/>
                <w:sz w:val="14"/>
                <w:szCs w:val="14"/>
                <w:color w:val="auto"/>
              </w:rPr>
              <w:t>Demand deposits</w:t>
            </w:r>
          </w:p>
        </w:tc>
        <w:tc>
          <w:tcPr>
            <w:tcW w:w="11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-0.1%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20.6%</w:t>
            </w:r>
          </w:p>
        </w:tc>
        <w:tc>
          <w:tcPr>
            <w:tcW w:w="1300" w:type="dxa"/>
            <w:vAlign w:val="bottom"/>
            <w:gridSpan w:val="4"/>
          </w:tcPr>
          <w:p>
            <w:pPr>
              <w:ind w:left="780"/>
              <w:spacing w:after="0" w:line="149" w:lineRule="exact"/>
              <w:rPr>
                <w:sz w:val="20"/>
                <w:szCs w:val="20"/>
                <w:color w:val="auto"/>
              </w:rPr>
            </w:pPr>
            <w:r>
              <w:rPr>
                <w:rFonts w:ascii="Arial" w:cs="Arial" w:eastAsia="Arial" w:hAnsi="Arial"/>
                <w:sz w:val="14"/>
                <w:szCs w:val="14"/>
                <w:color w:val="auto"/>
              </w:rPr>
              <w:t>50.1%</w:t>
            </w:r>
          </w:p>
        </w:tc>
        <w:tc>
          <w:tcPr>
            <w:tcW w:w="100" w:type="dxa"/>
            <w:vAlign w:val="bottom"/>
          </w:tcPr>
          <w:p>
            <w:pPr>
              <w:spacing w:after="0"/>
              <w:rPr>
                <w:sz w:val="12"/>
                <w:szCs w:val="12"/>
                <w:color w:val="auto"/>
              </w:rPr>
            </w:pPr>
          </w:p>
        </w:tc>
        <w:tc>
          <w:tcPr>
            <w:tcW w:w="11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33.9%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-9.8%</w:t>
            </w:r>
          </w:p>
        </w:tc>
        <w:tc>
          <w:tcPr>
            <w:tcW w:w="1180" w:type="dxa"/>
            <w:vAlign w:val="bottom"/>
            <w:gridSpan w:val="4"/>
          </w:tcPr>
          <w:p>
            <w:pPr>
              <w:ind w:left="760"/>
              <w:spacing w:after="0" w:line="149" w:lineRule="exact"/>
              <w:rPr>
                <w:sz w:val="20"/>
                <w:szCs w:val="20"/>
                <w:color w:val="auto"/>
              </w:rPr>
            </w:pPr>
            <w:r>
              <w:rPr>
                <w:rFonts w:ascii="Arial" w:cs="Arial" w:eastAsia="Arial" w:hAnsi="Arial"/>
                <w:sz w:val="14"/>
                <w:szCs w:val="14"/>
                <w:color w:val="auto"/>
              </w:rPr>
              <w:t>49.9%</w:t>
            </w:r>
          </w:p>
        </w:tc>
        <w:tc>
          <w:tcPr>
            <w:tcW w:w="0" w:type="dxa"/>
            <w:vAlign w:val="bottom"/>
          </w:tcPr>
          <w:p>
            <w:pPr>
              <w:spacing w:after="0"/>
              <w:rPr>
                <w:sz w:val="1"/>
                <w:szCs w:val="1"/>
                <w:color w:val="auto"/>
              </w:rPr>
            </w:pPr>
          </w:p>
        </w:tc>
      </w:tr>
      <w:tr>
        <w:trPr>
          <w:trHeight w:val="149"/>
        </w:trPr>
        <w:tc>
          <w:tcPr>
            <w:tcW w:w="3980" w:type="dxa"/>
            <w:vAlign w:val="bottom"/>
            <w:gridSpan w:val="3"/>
            <w:shd w:val="clear" w:color="auto" w:fill="CCFFCC"/>
          </w:tcPr>
          <w:p>
            <w:pPr>
              <w:spacing w:after="0" w:line="149" w:lineRule="exact"/>
              <w:rPr>
                <w:sz w:val="20"/>
                <w:szCs w:val="20"/>
                <w:color w:val="auto"/>
              </w:rPr>
            </w:pPr>
            <w:r>
              <w:rPr>
                <w:rFonts w:ascii="Arial" w:cs="Arial" w:eastAsia="Arial" w:hAnsi="Arial"/>
                <w:sz w:val="14"/>
                <w:szCs w:val="14"/>
                <w:color w:val="auto"/>
              </w:rPr>
              <w:t>Saving deposits</w:t>
            </w:r>
          </w:p>
        </w:tc>
        <w:tc>
          <w:tcPr>
            <w:tcW w:w="110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-4.3%</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23.5%</w:t>
            </w:r>
          </w:p>
        </w:tc>
        <w:tc>
          <w:tcPr>
            <w:tcW w:w="1300" w:type="dxa"/>
            <w:vAlign w:val="bottom"/>
            <w:gridSpan w:val="4"/>
            <w:shd w:val="clear" w:color="auto" w:fill="CCFFCC"/>
          </w:tcPr>
          <w:p>
            <w:pPr>
              <w:ind w:left="780"/>
              <w:spacing w:after="0" w:line="149" w:lineRule="exact"/>
              <w:rPr>
                <w:sz w:val="20"/>
                <w:szCs w:val="20"/>
                <w:color w:val="auto"/>
              </w:rPr>
            </w:pPr>
            <w:r>
              <w:rPr>
                <w:rFonts w:ascii="Arial" w:cs="Arial" w:eastAsia="Arial" w:hAnsi="Arial"/>
                <w:sz w:val="14"/>
                <w:szCs w:val="14"/>
                <w:color w:val="auto"/>
              </w:rPr>
              <w:t>56.2%</w:t>
            </w:r>
          </w:p>
        </w:tc>
        <w:tc>
          <w:tcPr>
            <w:tcW w:w="1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2.0%</w:t>
            </w:r>
          </w:p>
        </w:tc>
        <w:tc>
          <w:tcPr>
            <w:tcW w:w="1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1.9%</w:t>
            </w:r>
          </w:p>
        </w:tc>
        <w:tc>
          <w:tcPr>
            <w:tcW w:w="1180" w:type="dxa"/>
            <w:vAlign w:val="bottom"/>
            <w:gridSpan w:val="4"/>
            <w:shd w:val="clear" w:color="auto" w:fill="CCFFCC"/>
          </w:tcPr>
          <w:p>
            <w:pPr>
              <w:ind w:left="760"/>
              <w:spacing w:after="0" w:line="149" w:lineRule="exact"/>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149"/>
        </w:trPr>
        <w:tc>
          <w:tcPr>
            <w:tcW w:w="3980" w:type="dxa"/>
            <w:vAlign w:val="bottom"/>
            <w:gridSpan w:val="3"/>
          </w:tcPr>
          <w:p>
            <w:pPr>
              <w:spacing w:after="0" w:line="149" w:lineRule="exact"/>
              <w:rPr>
                <w:sz w:val="20"/>
                <w:szCs w:val="20"/>
                <w:color w:val="auto"/>
              </w:rPr>
            </w:pPr>
            <w:r>
              <w:rPr>
                <w:rFonts w:ascii="Arial" w:cs="Arial" w:eastAsia="Arial" w:hAnsi="Arial"/>
                <w:sz w:val="14"/>
                <w:szCs w:val="14"/>
                <w:color w:val="auto"/>
              </w:rPr>
              <w:t>Time deposits</w:t>
            </w:r>
          </w:p>
        </w:tc>
        <w:tc>
          <w:tcPr>
            <w:tcW w:w="11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0.8%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25.4%</w:t>
            </w:r>
          </w:p>
        </w:tc>
        <w:tc>
          <w:tcPr>
            <w:tcW w:w="1300" w:type="dxa"/>
            <w:vAlign w:val="bottom"/>
            <w:gridSpan w:val="4"/>
          </w:tcPr>
          <w:p>
            <w:pPr>
              <w:ind w:left="780"/>
              <w:spacing w:after="0" w:line="149" w:lineRule="exact"/>
              <w:rPr>
                <w:sz w:val="20"/>
                <w:szCs w:val="20"/>
                <w:color w:val="auto"/>
              </w:rPr>
            </w:pPr>
            <w:r>
              <w:rPr>
                <w:rFonts w:ascii="Arial" w:cs="Arial" w:eastAsia="Arial" w:hAnsi="Arial"/>
                <w:sz w:val="14"/>
                <w:szCs w:val="14"/>
                <w:color w:val="auto"/>
              </w:rPr>
              <w:t>60.9%</w:t>
            </w:r>
          </w:p>
        </w:tc>
        <w:tc>
          <w:tcPr>
            <w:tcW w:w="100" w:type="dxa"/>
            <w:vAlign w:val="bottom"/>
          </w:tcPr>
          <w:p>
            <w:pPr>
              <w:spacing w:after="0"/>
              <w:rPr>
                <w:sz w:val="12"/>
                <w:szCs w:val="12"/>
                <w:color w:val="auto"/>
              </w:rPr>
            </w:pPr>
          </w:p>
        </w:tc>
        <w:tc>
          <w:tcPr>
            <w:tcW w:w="11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-14.9%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56.6%</w:t>
            </w:r>
          </w:p>
        </w:tc>
        <w:tc>
          <w:tcPr>
            <w:tcW w:w="1180" w:type="dxa"/>
            <w:vAlign w:val="bottom"/>
            <w:gridSpan w:val="4"/>
          </w:tcPr>
          <w:p>
            <w:pPr>
              <w:ind w:left="760"/>
              <w:spacing w:after="0" w:line="149" w:lineRule="exact"/>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149"/>
        </w:trPr>
        <w:tc>
          <w:tcPr>
            <w:tcW w:w="3980" w:type="dxa"/>
            <w:vAlign w:val="bottom"/>
            <w:gridSpan w:val="3"/>
            <w:shd w:val="clear" w:color="auto" w:fill="CCFFCC"/>
          </w:tcPr>
          <w:p>
            <w:pPr>
              <w:spacing w:after="0" w:line="149" w:lineRule="exact"/>
              <w:rPr>
                <w:sz w:val="20"/>
                <w:szCs w:val="20"/>
                <w:color w:val="auto"/>
              </w:rPr>
            </w:pPr>
            <w:r>
              <w:rPr>
                <w:rFonts w:ascii="Arial" w:cs="Arial" w:eastAsia="Arial" w:hAnsi="Arial"/>
                <w:sz w:val="14"/>
                <w:szCs w:val="14"/>
                <w:color w:val="auto"/>
              </w:rPr>
              <w:t>Severance indemnity deposits (CTS)</w:t>
            </w:r>
          </w:p>
        </w:tc>
        <w:tc>
          <w:tcPr>
            <w:tcW w:w="110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21.6%</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39.0%</w:t>
            </w:r>
          </w:p>
        </w:tc>
        <w:tc>
          <w:tcPr>
            <w:tcW w:w="1300" w:type="dxa"/>
            <w:vAlign w:val="bottom"/>
            <w:gridSpan w:val="4"/>
            <w:shd w:val="clear" w:color="auto" w:fill="CCFFCC"/>
          </w:tcPr>
          <w:p>
            <w:pPr>
              <w:ind w:left="780"/>
              <w:spacing w:after="0" w:line="149" w:lineRule="exact"/>
              <w:rPr>
                <w:sz w:val="20"/>
                <w:szCs w:val="20"/>
                <w:color w:val="auto"/>
              </w:rPr>
            </w:pPr>
            <w:r>
              <w:rPr>
                <w:rFonts w:ascii="Arial" w:cs="Arial" w:eastAsia="Arial" w:hAnsi="Arial"/>
                <w:sz w:val="14"/>
                <w:szCs w:val="14"/>
                <w:color w:val="auto"/>
              </w:rPr>
              <w:t>51.8%</w:t>
            </w:r>
          </w:p>
        </w:tc>
        <w:tc>
          <w:tcPr>
            <w:tcW w:w="1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5.5%</w:t>
            </w:r>
          </w:p>
        </w:tc>
        <w:tc>
          <w:tcPr>
            <w:tcW w:w="1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0.7%</w:t>
            </w:r>
          </w:p>
        </w:tc>
        <w:tc>
          <w:tcPr>
            <w:tcW w:w="1180" w:type="dxa"/>
            <w:vAlign w:val="bottom"/>
            <w:gridSpan w:val="4"/>
            <w:shd w:val="clear" w:color="auto" w:fill="CCFFCC"/>
          </w:tcPr>
          <w:p>
            <w:pPr>
              <w:ind w:left="760"/>
              <w:spacing w:after="0" w:line="149" w:lineRule="exact"/>
              <w:rPr>
                <w:sz w:val="20"/>
                <w:szCs w:val="20"/>
                <w:color w:val="auto"/>
              </w:rPr>
            </w:pPr>
            <w:r>
              <w:rPr>
                <w:rFonts w:ascii="Arial" w:cs="Arial" w:eastAsia="Arial" w:hAnsi="Arial"/>
                <w:sz w:val="14"/>
                <w:szCs w:val="14"/>
                <w:color w:val="auto"/>
              </w:rPr>
              <w:t>48.2%</w:t>
            </w:r>
          </w:p>
        </w:tc>
        <w:tc>
          <w:tcPr>
            <w:tcW w:w="0" w:type="dxa"/>
            <w:vAlign w:val="bottom"/>
          </w:tcPr>
          <w:p>
            <w:pPr>
              <w:spacing w:after="0"/>
              <w:rPr>
                <w:sz w:val="1"/>
                <w:szCs w:val="1"/>
                <w:color w:val="auto"/>
              </w:rPr>
            </w:pPr>
          </w:p>
        </w:tc>
      </w:tr>
      <w:tr>
        <w:trPr>
          <w:trHeight w:val="162"/>
        </w:trPr>
        <w:tc>
          <w:tcPr>
            <w:tcW w:w="3980" w:type="dxa"/>
            <w:vAlign w:val="bottom"/>
            <w:gridSpan w:val="3"/>
          </w:tcPr>
          <w:p>
            <w:pPr>
              <w:spacing w:after="0"/>
              <w:rPr>
                <w:sz w:val="20"/>
                <w:szCs w:val="20"/>
                <w:color w:val="auto"/>
              </w:rPr>
            </w:pPr>
            <w:r>
              <w:rPr>
                <w:rFonts w:ascii="Arial" w:cs="Arial" w:eastAsia="Arial" w:hAnsi="Arial"/>
                <w:sz w:val="14"/>
                <w:szCs w:val="14"/>
                <w:color w:val="auto"/>
              </w:rPr>
              <w:t>Interest payable</w:t>
            </w:r>
          </w:p>
        </w:tc>
        <w:tc>
          <w:tcPr>
            <w:tcW w:w="1100" w:type="dxa"/>
            <w:vAlign w:val="bottom"/>
            <w:gridSpan w:val="2"/>
          </w:tcPr>
          <w:p>
            <w:pPr>
              <w:jc w:val="right"/>
              <w:ind w:right="68"/>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8"/>
              <w:spacing w:after="0"/>
              <w:rPr>
                <w:sz w:val="20"/>
                <w:szCs w:val="20"/>
                <w:color w:val="auto"/>
              </w:rPr>
            </w:pPr>
            <w:r>
              <w:rPr>
                <w:rFonts w:ascii="Arial" w:cs="Arial" w:eastAsia="Arial" w:hAnsi="Arial"/>
                <w:sz w:val="14"/>
                <w:szCs w:val="14"/>
                <w:color w:val="auto"/>
              </w:rPr>
              <w:t>3.7%</w:t>
            </w:r>
          </w:p>
        </w:tc>
        <w:tc>
          <w:tcPr>
            <w:tcW w:w="1300" w:type="dxa"/>
            <w:vAlign w:val="bottom"/>
            <w:gridSpan w:val="4"/>
          </w:tcPr>
          <w:p>
            <w:pPr>
              <w:ind w:left="780"/>
              <w:spacing w:after="0"/>
              <w:rPr>
                <w:sz w:val="20"/>
                <w:szCs w:val="20"/>
                <w:color w:val="auto"/>
              </w:rPr>
            </w:pPr>
            <w:r>
              <w:rPr>
                <w:rFonts w:ascii="Arial" w:cs="Arial" w:eastAsia="Arial" w:hAnsi="Arial"/>
                <w:sz w:val="14"/>
                <w:szCs w:val="14"/>
                <w:color w:val="auto"/>
              </w:rPr>
              <w:t>70.4%</w:t>
            </w:r>
          </w:p>
        </w:tc>
        <w:tc>
          <w:tcPr>
            <w:tcW w:w="100" w:type="dxa"/>
            <w:vAlign w:val="bottom"/>
          </w:tcPr>
          <w:p>
            <w:pPr>
              <w:spacing w:after="0"/>
              <w:rPr>
                <w:sz w:val="14"/>
                <w:szCs w:val="14"/>
                <w:color w:val="auto"/>
              </w:rPr>
            </w:pPr>
          </w:p>
        </w:tc>
        <w:tc>
          <w:tcPr>
            <w:tcW w:w="1120" w:type="dxa"/>
            <w:vAlign w:val="bottom"/>
            <w:gridSpan w:val="2"/>
          </w:tcPr>
          <w:p>
            <w:pPr>
              <w:jc w:val="right"/>
              <w:ind w:right="6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48"/>
              <w:spacing w:after="0"/>
              <w:rPr>
                <w:sz w:val="20"/>
                <w:szCs w:val="20"/>
                <w:color w:val="auto"/>
              </w:rPr>
            </w:pPr>
            <w:r>
              <w:rPr>
                <w:rFonts w:ascii="Arial" w:cs="Arial" w:eastAsia="Arial" w:hAnsi="Arial"/>
                <w:sz w:val="14"/>
                <w:szCs w:val="14"/>
                <w:color w:val="auto"/>
              </w:rPr>
              <w:t>4.7%</w:t>
            </w:r>
          </w:p>
        </w:tc>
        <w:tc>
          <w:tcPr>
            <w:tcW w:w="1180" w:type="dxa"/>
            <w:vAlign w:val="bottom"/>
            <w:gridSpan w:val="4"/>
          </w:tcPr>
          <w:p>
            <w:pPr>
              <w:ind w:left="760"/>
              <w:spacing w:after="0"/>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142"/>
        </w:trPr>
        <w:tc>
          <w:tcPr>
            <w:tcW w:w="3980" w:type="dxa"/>
            <w:vAlign w:val="bottom"/>
            <w:tcBorders>
              <w:top w:val="single" w:sz="8" w:color="CCFFCC"/>
            </w:tcBorders>
            <w:gridSpan w:val="3"/>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Total customer deposits</w:t>
            </w:r>
          </w:p>
        </w:tc>
        <w:tc>
          <w:tcPr>
            <w:tcW w:w="8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-1.8</w:t>
            </w:r>
          </w:p>
        </w:tc>
        <w:tc>
          <w:tcPr>
            <w:tcW w:w="240" w:type="dxa"/>
            <w:vAlign w:val="bottom"/>
            <w:tcBorders>
              <w:top w:val="single" w:sz="8" w:color="CCFFCC"/>
            </w:tcBorders>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w w:val="79"/>
              </w:rPr>
              <w:t>%</w:t>
            </w:r>
          </w:p>
        </w:tc>
        <w:tc>
          <w:tcPr>
            <w:tcW w:w="12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auto"/>
              <w:bottom w:val="single" w:sz="8" w:color="auto"/>
            </w:tcBorders>
            <w:shd w:val="clear" w:color="auto" w:fill="CCFFCC"/>
          </w:tcPr>
          <w:p>
            <w:pPr>
              <w:spacing w:after="0"/>
              <w:rPr>
                <w:sz w:val="12"/>
                <w:szCs w:val="12"/>
                <w:color w:val="auto"/>
              </w:rPr>
            </w:pPr>
          </w:p>
        </w:tc>
        <w:tc>
          <w:tcPr>
            <w:tcW w:w="7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22.6</w:t>
            </w:r>
          </w:p>
        </w:tc>
        <w:tc>
          <w:tcPr>
            <w:tcW w:w="220" w:type="dxa"/>
            <w:vAlign w:val="bottom"/>
            <w:tcBorders>
              <w:top w:val="single" w:sz="8" w:color="CCFFCC"/>
            </w:tcBorders>
            <w:shd w:val="clear" w:color="auto" w:fill="CCFFCC"/>
          </w:tcPr>
          <w:p>
            <w:pPr>
              <w:jc w:val="right"/>
              <w:ind w:right="8"/>
              <w:spacing w:after="0" w:line="142" w:lineRule="exact"/>
              <w:rPr>
                <w:sz w:val="20"/>
                <w:szCs w:val="20"/>
                <w:color w:val="auto"/>
              </w:rPr>
            </w:pPr>
            <w:r>
              <w:rPr>
                <w:rFonts w:ascii="Arial" w:cs="Arial" w:eastAsia="Arial" w:hAnsi="Arial"/>
                <w:sz w:val="14"/>
                <w:szCs w:val="14"/>
                <w:b w:val="1"/>
                <w:bCs w:val="1"/>
                <w:color w:val="auto"/>
                <w:w w:val="96"/>
              </w:rPr>
              <w:t>%</w:t>
            </w:r>
          </w:p>
        </w:tc>
        <w:tc>
          <w:tcPr>
            <w:tcW w:w="4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bottom w:val="single" w:sz="8" w:color="auto"/>
            </w:tcBorders>
            <w:shd w:val="clear" w:color="auto" w:fill="CCFFCC"/>
          </w:tcPr>
          <w:p>
            <w:pPr>
              <w:ind w:left="640"/>
              <w:spacing w:after="0" w:line="142" w:lineRule="exact"/>
              <w:rPr>
                <w:sz w:val="20"/>
                <w:szCs w:val="20"/>
                <w:color w:val="auto"/>
              </w:rPr>
            </w:pPr>
            <w:r>
              <w:rPr>
                <w:rFonts w:ascii="Arial" w:cs="Arial" w:eastAsia="Arial" w:hAnsi="Arial"/>
                <w:sz w:val="14"/>
                <w:szCs w:val="14"/>
                <w:b w:val="1"/>
                <w:bCs w:val="1"/>
                <w:color w:val="auto"/>
                <w:w w:val="87"/>
              </w:rPr>
              <w:t>54.7</w:t>
            </w:r>
          </w:p>
        </w:tc>
        <w:tc>
          <w:tcPr>
            <w:tcW w:w="260" w:type="dxa"/>
            <w:vAlign w:val="bottom"/>
            <w:tcBorders>
              <w:top w:val="single" w:sz="8" w:color="CCFFCC"/>
            </w:tcBorders>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100" w:type="dxa"/>
            <w:vAlign w:val="bottom"/>
            <w:tcBorders>
              <w:top w:val="single" w:sz="8" w:color="CCFFCC"/>
            </w:tcBorders>
            <w:shd w:val="clear" w:color="auto" w:fill="CCFFCC"/>
          </w:tcPr>
          <w:p>
            <w:pPr>
              <w:spacing w:after="0"/>
              <w:rPr>
                <w:sz w:val="12"/>
                <w:szCs w:val="12"/>
                <w:color w:val="auto"/>
              </w:rPr>
            </w:pPr>
          </w:p>
        </w:tc>
        <w:tc>
          <w:tcPr>
            <w:tcW w:w="8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-5.4</w:t>
            </w:r>
          </w:p>
        </w:tc>
        <w:tc>
          <w:tcPr>
            <w:tcW w:w="260" w:type="dxa"/>
            <w:vAlign w:val="bottom"/>
            <w:tcBorders>
              <w:top w:val="single" w:sz="8" w:color="CCFFCC"/>
            </w:tcBorders>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100" w:type="dxa"/>
            <w:vAlign w:val="bottom"/>
            <w:tcBorders>
              <w:top w:val="single" w:sz="8" w:color="CCFFCC"/>
            </w:tcBorders>
            <w:shd w:val="clear" w:color="auto" w:fill="CCFFCC"/>
          </w:tcPr>
          <w:p>
            <w:pPr>
              <w:spacing w:after="0"/>
              <w:rPr>
                <w:sz w:val="12"/>
                <w:szCs w:val="12"/>
                <w:color w:val="auto"/>
              </w:rPr>
            </w:pPr>
          </w:p>
        </w:tc>
        <w:tc>
          <w:tcPr>
            <w:tcW w:w="180" w:type="dxa"/>
            <w:vAlign w:val="bottom"/>
            <w:tcBorders>
              <w:top w:val="single" w:sz="8" w:color="auto"/>
              <w:bottom w:val="single" w:sz="8" w:color="auto"/>
            </w:tcBorders>
            <w:shd w:val="clear" w:color="auto" w:fill="CCFFCC"/>
          </w:tcPr>
          <w:p>
            <w:pPr>
              <w:spacing w:after="0"/>
              <w:rPr>
                <w:sz w:val="12"/>
                <w:szCs w:val="12"/>
                <w:color w:val="auto"/>
              </w:rPr>
            </w:pPr>
          </w:p>
        </w:tc>
        <w:tc>
          <w:tcPr>
            <w:tcW w:w="7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7.9</w:t>
            </w:r>
          </w:p>
        </w:tc>
        <w:tc>
          <w:tcPr>
            <w:tcW w:w="240" w:type="dxa"/>
            <w:vAlign w:val="bottom"/>
            <w:tcBorders>
              <w:top w:val="single" w:sz="8" w:color="CCFFCC"/>
            </w:tcBorders>
            <w:shd w:val="clear" w:color="auto" w:fill="CCFFCC"/>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2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880" w:type="dxa"/>
            <w:vAlign w:val="bottom"/>
            <w:tcBorders>
              <w:top w:val="single" w:sz="8" w:color="auto"/>
              <w:bottom w:val="single" w:sz="8" w:color="auto"/>
            </w:tcBorders>
            <w:shd w:val="clear" w:color="auto" w:fill="CCFFCC"/>
          </w:tcPr>
          <w:p>
            <w:pPr>
              <w:ind w:left="620"/>
              <w:spacing w:after="0" w:line="142" w:lineRule="exact"/>
              <w:rPr>
                <w:sz w:val="20"/>
                <w:szCs w:val="20"/>
                <w:color w:val="auto"/>
              </w:rPr>
            </w:pPr>
            <w:r>
              <w:rPr>
                <w:rFonts w:ascii="Arial" w:cs="Arial" w:eastAsia="Arial" w:hAnsi="Arial"/>
                <w:sz w:val="14"/>
                <w:szCs w:val="14"/>
                <w:b w:val="1"/>
                <w:bCs w:val="1"/>
                <w:color w:val="auto"/>
                <w:w w:val="87"/>
              </w:rPr>
              <w:t>45.3</w:t>
            </w:r>
          </w:p>
        </w:tc>
        <w:tc>
          <w:tcPr>
            <w:tcW w:w="16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3980" w:type="dxa"/>
            <w:vAlign w:val="bottom"/>
            <w:gridSpan w:val="3"/>
          </w:tcPr>
          <w:p>
            <w:pPr>
              <w:spacing w:after="0" w:line="142" w:lineRule="exact"/>
              <w:rPr>
                <w:sz w:val="20"/>
                <w:szCs w:val="20"/>
                <w:color w:val="auto"/>
              </w:rPr>
            </w:pPr>
            <w:r>
              <w:rPr>
                <w:rFonts w:ascii="Arial" w:cs="Arial" w:eastAsia="Arial" w:hAnsi="Arial"/>
                <w:sz w:val="14"/>
                <w:szCs w:val="14"/>
                <w:color w:val="auto"/>
              </w:rPr>
              <w:t>Due to banks and correspondents</w:t>
            </w:r>
          </w:p>
        </w:tc>
        <w:tc>
          <w:tcPr>
            <w:tcW w:w="1100" w:type="dxa"/>
            <w:vAlign w:val="bottom"/>
            <w:gridSpan w:val="2"/>
          </w:tcPr>
          <w:p>
            <w:pPr>
              <w:jc w:val="right"/>
              <w:ind w:right="68"/>
              <w:spacing w:after="0" w:line="142" w:lineRule="exact"/>
              <w:rPr>
                <w:sz w:val="20"/>
                <w:szCs w:val="20"/>
                <w:color w:val="auto"/>
              </w:rPr>
            </w:pPr>
            <w:r>
              <w:rPr>
                <w:rFonts w:ascii="Arial" w:cs="Arial" w:eastAsia="Arial" w:hAnsi="Arial"/>
                <w:sz w:val="14"/>
                <w:szCs w:val="14"/>
                <w:color w:val="auto"/>
              </w:rPr>
              <w:t>-4.1%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28"/>
              <w:spacing w:after="0" w:line="142" w:lineRule="exact"/>
              <w:rPr>
                <w:sz w:val="20"/>
                <w:szCs w:val="20"/>
                <w:color w:val="auto"/>
              </w:rPr>
            </w:pPr>
            <w:r>
              <w:rPr>
                <w:rFonts w:ascii="Arial" w:cs="Arial" w:eastAsia="Arial" w:hAnsi="Arial"/>
                <w:sz w:val="14"/>
                <w:szCs w:val="14"/>
                <w:color w:val="auto"/>
              </w:rPr>
              <w:t>26.3%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ind w:left="640"/>
              <w:spacing w:after="0" w:line="142" w:lineRule="exact"/>
              <w:rPr>
                <w:sz w:val="20"/>
                <w:szCs w:val="20"/>
                <w:color w:val="auto"/>
              </w:rPr>
            </w:pPr>
            <w:r>
              <w:rPr>
                <w:rFonts w:ascii="Arial" w:cs="Arial" w:eastAsia="Arial" w:hAnsi="Arial"/>
                <w:sz w:val="14"/>
                <w:szCs w:val="14"/>
                <w:color w:val="auto"/>
              </w:rPr>
              <w:t>16.8%</w:t>
            </w:r>
          </w:p>
        </w:tc>
        <w:tc>
          <w:tcPr>
            <w:tcW w:w="100" w:type="dxa"/>
            <w:vAlign w:val="bottom"/>
          </w:tcPr>
          <w:p>
            <w:pPr>
              <w:spacing w:after="0"/>
              <w:rPr>
                <w:sz w:val="12"/>
                <w:szCs w:val="12"/>
                <w:color w:val="auto"/>
              </w:rPr>
            </w:pPr>
          </w:p>
        </w:tc>
        <w:tc>
          <w:tcPr>
            <w:tcW w:w="1120" w:type="dxa"/>
            <w:vAlign w:val="bottom"/>
            <w:gridSpan w:val="2"/>
          </w:tcPr>
          <w:p>
            <w:pPr>
              <w:jc w:val="right"/>
              <w:ind w:right="68"/>
              <w:spacing w:after="0" w:line="142" w:lineRule="exact"/>
              <w:rPr>
                <w:sz w:val="20"/>
                <w:szCs w:val="20"/>
                <w:color w:val="auto"/>
              </w:rPr>
            </w:pPr>
            <w:r>
              <w:rPr>
                <w:rFonts w:ascii="Arial" w:cs="Arial" w:eastAsia="Arial" w:hAnsi="Arial"/>
                <w:sz w:val="14"/>
                <w:szCs w:val="14"/>
                <w:color w:val="auto"/>
              </w:rPr>
              <w:t>-11.3%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48"/>
              <w:spacing w:after="0" w:line="142" w:lineRule="exact"/>
              <w:rPr>
                <w:sz w:val="20"/>
                <w:szCs w:val="20"/>
                <w:color w:val="auto"/>
              </w:rPr>
            </w:pPr>
            <w:r>
              <w:rPr>
                <w:rFonts w:ascii="Arial" w:cs="Arial" w:eastAsia="Arial" w:hAnsi="Arial"/>
                <w:sz w:val="14"/>
                <w:szCs w:val="14"/>
                <w:color w:val="auto"/>
              </w:rPr>
              <w:t>23.9%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ind w:left="620"/>
              <w:spacing w:after="0" w:line="142" w:lineRule="exact"/>
              <w:rPr>
                <w:sz w:val="20"/>
                <w:szCs w:val="20"/>
                <w:color w:val="auto"/>
              </w:rPr>
            </w:pPr>
            <w:r>
              <w:rPr>
                <w:rFonts w:ascii="Arial" w:cs="Arial" w:eastAsia="Arial" w:hAnsi="Arial"/>
                <w:sz w:val="14"/>
                <w:szCs w:val="14"/>
                <w:color w:val="auto"/>
              </w:rPr>
              <w:t>83.2%</w:t>
            </w:r>
          </w:p>
        </w:tc>
        <w:tc>
          <w:tcPr>
            <w:tcW w:w="0" w:type="dxa"/>
            <w:vAlign w:val="bottom"/>
          </w:tcPr>
          <w:p>
            <w:pPr>
              <w:spacing w:after="0"/>
              <w:rPr>
                <w:sz w:val="1"/>
                <w:szCs w:val="1"/>
                <w:color w:val="auto"/>
              </w:rPr>
            </w:pPr>
          </w:p>
        </w:tc>
      </w:tr>
      <w:tr>
        <w:trPr>
          <w:trHeight w:val="149"/>
        </w:trPr>
        <w:tc>
          <w:tcPr>
            <w:tcW w:w="3980" w:type="dxa"/>
            <w:vAlign w:val="bottom"/>
            <w:gridSpan w:val="3"/>
            <w:shd w:val="clear" w:color="auto" w:fill="CCFFCC"/>
          </w:tcPr>
          <w:p>
            <w:pPr>
              <w:spacing w:after="0" w:line="149" w:lineRule="exact"/>
              <w:rPr>
                <w:sz w:val="20"/>
                <w:szCs w:val="20"/>
                <w:color w:val="auto"/>
              </w:rPr>
            </w:pPr>
            <w:r>
              <w:rPr>
                <w:rFonts w:ascii="Arial" w:cs="Arial" w:eastAsia="Arial" w:hAnsi="Arial"/>
                <w:sz w:val="14"/>
                <w:szCs w:val="14"/>
                <w:color w:val="auto"/>
              </w:rPr>
              <w:t>Bonds and subordinated debt</w:t>
            </w:r>
          </w:p>
        </w:tc>
        <w:tc>
          <w:tcPr>
            <w:tcW w:w="110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0.8%</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75.7%</w:t>
            </w:r>
          </w:p>
        </w:tc>
        <w:tc>
          <w:tcPr>
            <w:tcW w:w="1300" w:type="dxa"/>
            <w:vAlign w:val="bottom"/>
            <w:gridSpan w:val="4"/>
            <w:shd w:val="clear" w:color="auto" w:fill="CCFFCC"/>
          </w:tcPr>
          <w:p>
            <w:pPr>
              <w:ind w:left="780"/>
              <w:spacing w:after="0" w:line="149" w:lineRule="exact"/>
              <w:rPr>
                <w:sz w:val="20"/>
                <w:szCs w:val="20"/>
                <w:color w:val="auto"/>
              </w:rPr>
            </w:pPr>
            <w:r>
              <w:rPr>
                <w:rFonts w:ascii="Arial" w:cs="Arial" w:eastAsia="Arial" w:hAnsi="Arial"/>
                <w:sz w:val="14"/>
                <w:szCs w:val="14"/>
                <w:color w:val="auto"/>
              </w:rPr>
              <w:t>18.9%</w:t>
            </w:r>
          </w:p>
        </w:tc>
        <w:tc>
          <w:tcPr>
            <w:tcW w:w="1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20.2%</w:t>
            </w:r>
          </w:p>
        </w:tc>
        <w:tc>
          <w:tcPr>
            <w:tcW w:w="1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12.0%</w:t>
            </w:r>
          </w:p>
        </w:tc>
        <w:tc>
          <w:tcPr>
            <w:tcW w:w="1180" w:type="dxa"/>
            <w:vAlign w:val="bottom"/>
            <w:gridSpan w:val="4"/>
            <w:shd w:val="clear" w:color="auto" w:fill="CCFFCC"/>
          </w:tcPr>
          <w:p>
            <w:pPr>
              <w:ind w:left="760"/>
              <w:spacing w:after="0" w:line="149" w:lineRule="exact"/>
              <w:rPr>
                <w:sz w:val="20"/>
                <w:szCs w:val="20"/>
                <w:color w:val="auto"/>
              </w:rPr>
            </w:pPr>
            <w:r>
              <w:rPr>
                <w:rFonts w:ascii="Arial" w:cs="Arial" w:eastAsia="Arial" w:hAnsi="Arial"/>
                <w:sz w:val="14"/>
                <w:szCs w:val="14"/>
                <w:color w:val="auto"/>
              </w:rPr>
              <w:t>81.1%</w:t>
            </w:r>
          </w:p>
        </w:tc>
        <w:tc>
          <w:tcPr>
            <w:tcW w:w="0" w:type="dxa"/>
            <w:vAlign w:val="bottom"/>
          </w:tcPr>
          <w:p>
            <w:pPr>
              <w:spacing w:after="0"/>
              <w:rPr>
                <w:sz w:val="1"/>
                <w:szCs w:val="1"/>
                <w:color w:val="auto"/>
              </w:rPr>
            </w:pPr>
          </w:p>
        </w:tc>
      </w:tr>
      <w:tr>
        <w:trPr>
          <w:trHeight w:val="162"/>
        </w:trPr>
        <w:tc>
          <w:tcPr>
            <w:tcW w:w="3980" w:type="dxa"/>
            <w:vAlign w:val="bottom"/>
            <w:gridSpan w:val="3"/>
          </w:tcPr>
          <w:p>
            <w:pPr>
              <w:spacing w:after="0"/>
              <w:rPr>
                <w:sz w:val="20"/>
                <w:szCs w:val="20"/>
                <w:color w:val="auto"/>
              </w:rPr>
            </w:pPr>
            <w:r>
              <w:rPr>
                <w:rFonts w:ascii="Arial" w:cs="Arial" w:eastAsia="Arial" w:hAnsi="Arial"/>
                <w:sz w:val="14"/>
                <w:szCs w:val="14"/>
                <w:color w:val="auto"/>
              </w:rPr>
              <w:t>Other liabilities</w:t>
            </w:r>
          </w:p>
        </w:tc>
        <w:tc>
          <w:tcPr>
            <w:tcW w:w="1100" w:type="dxa"/>
            <w:vAlign w:val="bottom"/>
            <w:gridSpan w:val="2"/>
          </w:tcPr>
          <w:p>
            <w:pPr>
              <w:jc w:val="right"/>
              <w:ind w:right="68"/>
              <w:spacing w:after="0"/>
              <w:rPr>
                <w:sz w:val="20"/>
                <w:szCs w:val="20"/>
                <w:color w:val="auto"/>
              </w:rPr>
            </w:pPr>
            <w:r>
              <w:rPr>
                <w:rFonts w:ascii="Arial" w:cs="Arial" w:eastAsia="Arial" w:hAnsi="Arial"/>
                <w:sz w:val="14"/>
                <w:szCs w:val="14"/>
                <w:color w:val="auto"/>
              </w:rPr>
              <w:t>-24.7%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8"/>
              <w:spacing w:after="0"/>
              <w:rPr>
                <w:sz w:val="20"/>
                <w:szCs w:val="20"/>
                <w:color w:val="auto"/>
              </w:rPr>
            </w:pPr>
            <w:r>
              <w:rPr>
                <w:rFonts w:ascii="Arial" w:cs="Arial" w:eastAsia="Arial" w:hAnsi="Arial"/>
                <w:sz w:val="14"/>
                <w:szCs w:val="14"/>
                <w:color w:val="auto"/>
              </w:rPr>
              <w:t>-11.0%</w:t>
            </w:r>
          </w:p>
        </w:tc>
        <w:tc>
          <w:tcPr>
            <w:tcW w:w="1300" w:type="dxa"/>
            <w:vAlign w:val="bottom"/>
            <w:gridSpan w:val="4"/>
          </w:tcPr>
          <w:p>
            <w:pPr>
              <w:ind w:left="780"/>
              <w:spacing w:after="0"/>
              <w:rPr>
                <w:sz w:val="20"/>
                <w:szCs w:val="20"/>
                <w:color w:val="auto"/>
              </w:rPr>
            </w:pPr>
            <w:r>
              <w:rPr>
                <w:rFonts w:ascii="Arial" w:cs="Arial" w:eastAsia="Arial" w:hAnsi="Arial"/>
                <w:sz w:val="14"/>
                <w:szCs w:val="14"/>
                <w:color w:val="auto"/>
              </w:rPr>
              <w:t>60.7%</w:t>
            </w:r>
          </w:p>
        </w:tc>
        <w:tc>
          <w:tcPr>
            <w:tcW w:w="100" w:type="dxa"/>
            <w:vAlign w:val="bottom"/>
          </w:tcPr>
          <w:p>
            <w:pPr>
              <w:spacing w:after="0"/>
              <w:rPr>
                <w:sz w:val="14"/>
                <w:szCs w:val="14"/>
                <w:color w:val="auto"/>
              </w:rPr>
            </w:pPr>
          </w:p>
        </w:tc>
        <w:tc>
          <w:tcPr>
            <w:tcW w:w="1120" w:type="dxa"/>
            <w:vAlign w:val="bottom"/>
            <w:gridSpan w:val="2"/>
          </w:tcPr>
          <w:p>
            <w:pPr>
              <w:jc w:val="right"/>
              <w:ind w:right="68"/>
              <w:spacing w:after="0"/>
              <w:rPr>
                <w:sz w:val="20"/>
                <w:szCs w:val="20"/>
                <w:color w:val="auto"/>
              </w:rPr>
            </w:pPr>
            <w:r>
              <w:rPr>
                <w:rFonts w:ascii="Arial" w:cs="Arial" w:eastAsia="Arial" w:hAnsi="Arial"/>
                <w:sz w:val="14"/>
                <w:szCs w:val="14"/>
                <w:color w:val="auto"/>
              </w:rPr>
              <w:t>-74.0%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48"/>
              <w:spacing w:after="0"/>
              <w:rPr>
                <w:sz w:val="20"/>
                <w:szCs w:val="20"/>
                <w:color w:val="auto"/>
              </w:rPr>
            </w:pPr>
            <w:r>
              <w:rPr>
                <w:rFonts w:ascii="Arial" w:cs="Arial" w:eastAsia="Arial" w:hAnsi="Arial"/>
                <w:sz w:val="14"/>
                <w:szCs w:val="14"/>
                <w:color w:val="auto"/>
              </w:rPr>
              <w:t>-68.0%</w:t>
            </w:r>
          </w:p>
        </w:tc>
        <w:tc>
          <w:tcPr>
            <w:tcW w:w="1180" w:type="dxa"/>
            <w:vAlign w:val="bottom"/>
            <w:gridSpan w:val="4"/>
          </w:tcPr>
          <w:p>
            <w:pPr>
              <w:ind w:left="760"/>
              <w:spacing w:after="0"/>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142"/>
        </w:trPr>
        <w:tc>
          <w:tcPr>
            <w:tcW w:w="3980" w:type="dxa"/>
            <w:vAlign w:val="bottom"/>
            <w:tcBorders>
              <w:top w:val="single" w:sz="8" w:color="CCFFCC"/>
            </w:tcBorders>
            <w:gridSpan w:val="3"/>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Total liabilities</w:t>
            </w:r>
          </w:p>
        </w:tc>
        <w:tc>
          <w:tcPr>
            <w:tcW w:w="8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-2.8</w:t>
            </w:r>
          </w:p>
        </w:tc>
        <w:tc>
          <w:tcPr>
            <w:tcW w:w="240" w:type="dxa"/>
            <w:vAlign w:val="bottom"/>
            <w:tcBorders>
              <w:top w:val="single" w:sz="8" w:color="CCFFCC"/>
            </w:tcBorders>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w w:val="79"/>
              </w:rPr>
              <w:t>%</w:t>
            </w:r>
          </w:p>
        </w:tc>
        <w:tc>
          <w:tcPr>
            <w:tcW w:w="12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auto"/>
              <w:bottom w:val="single" w:sz="8" w:color="auto"/>
            </w:tcBorders>
            <w:shd w:val="clear" w:color="auto" w:fill="CCFFCC"/>
          </w:tcPr>
          <w:p>
            <w:pPr>
              <w:spacing w:after="0"/>
              <w:rPr>
                <w:sz w:val="12"/>
                <w:szCs w:val="12"/>
                <w:color w:val="auto"/>
              </w:rPr>
            </w:pPr>
          </w:p>
        </w:tc>
        <w:tc>
          <w:tcPr>
            <w:tcW w:w="7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23.2</w:t>
            </w:r>
          </w:p>
        </w:tc>
        <w:tc>
          <w:tcPr>
            <w:tcW w:w="220" w:type="dxa"/>
            <w:vAlign w:val="bottom"/>
            <w:tcBorders>
              <w:top w:val="single" w:sz="8" w:color="CCFFCC"/>
            </w:tcBorders>
            <w:shd w:val="clear" w:color="auto" w:fill="CCFFCC"/>
          </w:tcPr>
          <w:p>
            <w:pPr>
              <w:jc w:val="right"/>
              <w:ind w:right="8"/>
              <w:spacing w:after="0" w:line="142" w:lineRule="exact"/>
              <w:rPr>
                <w:sz w:val="20"/>
                <w:szCs w:val="20"/>
                <w:color w:val="auto"/>
              </w:rPr>
            </w:pPr>
            <w:r>
              <w:rPr>
                <w:rFonts w:ascii="Arial" w:cs="Arial" w:eastAsia="Arial" w:hAnsi="Arial"/>
                <w:sz w:val="14"/>
                <w:szCs w:val="14"/>
                <w:b w:val="1"/>
                <w:bCs w:val="1"/>
                <w:color w:val="auto"/>
                <w:w w:val="96"/>
              </w:rPr>
              <w:t>%</w:t>
            </w:r>
          </w:p>
        </w:tc>
        <w:tc>
          <w:tcPr>
            <w:tcW w:w="4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bottom w:val="single" w:sz="8" w:color="auto"/>
            </w:tcBorders>
            <w:shd w:val="clear" w:color="auto" w:fill="CCFFCC"/>
          </w:tcPr>
          <w:p>
            <w:pPr>
              <w:ind w:left="640"/>
              <w:spacing w:after="0" w:line="142" w:lineRule="exact"/>
              <w:rPr>
                <w:sz w:val="20"/>
                <w:szCs w:val="20"/>
                <w:color w:val="auto"/>
              </w:rPr>
            </w:pPr>
            <w:r>
              <w:rPr>
                <w:rFonts w:ascii="Arial" w:cs="Arial" w:eastAsia="Arial" w:hAnsi="Arial"/>
                <w:sz w:val="14"/>
                <w:szCs w:val="14"/>
                <w:b w:val="1"/>
                <w:bCs w:val="1"/>
                <w:color w:val="auto"/>
                <w:w w:val="87"/>
              </w:rPr>
              <w:t>48.1</w:t>
            </w:r>
          </w:p>
        </w:tc>
        <w:tc>
          <w:tcPr>
            <w:tcW w:w="260" w:type="dxa"/>
            <w:vAlign w:val="bottom"/>
            <w:tcBorders>
              <w:top w:val="single" w:sz="8" w:color="CCFFCC"/>
            </w:tcBorders>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100" w:type="dxa"/>
            <w:vAlign w:val="bottom"/>
            <w:tcBorders>
              <w:top w:val="single" w:sz="8" w:color="CCFFCC"/>
            </w:tcBorders>
            <w:shd w:val="clear" w:color="auto" w:fill="CCFFCC"/>
          </w:tcPr>
          <w:p>
            <w:pPr>
              <w:spacing w:after="0"/>
              <w:rPr>
                <w:sz w:val="12"/>
                <w:szCs w:val="12"/>
                <w:color w:val="auto"/>
              </w:rPr>
            </w:pPr>
          </w:p>
        </w:tc>
        <w:tc>
          <w:tcPr>
            <w:tcW w:w="8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-7.3</w:t>
            </w:r>
          </w:p>
        </w:tc>
        <w:tc>
          <w:tcPr>
            <w:tcW w:w="260" w:type="dxa"/>
            <w:vAlign w:val="bottom"/>
            <w:tcBorders>
              <w:top w:val="single" w:sz="8" w:color="CCFFCC"/>
            </w:tcBorders>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100" w:type="dxa"/>
            <w:vAlign w:val="bottom"/>
            <w:tcBorders>
              <w:top w:val="single" w:sz="8" w:color="CCFFCC"/>
            </w:tcBorders>
            <w:shd w:val="clear" w:color="auto" w:fill="CCFFCC"/>
          </w:tcPr>
          <w:p>
            <w:pPr>
              <w:spacing w:after="0"/>
              <w:rPr>
                <w:sz w:val="12"/>
                <w:szCs w:val="12"/>
                <w:color w:val="auto"/>
              </w:rPr>
            </w:pPr>
          </w:p>
        </w:tc>
        <w:tc>
          <w:tcPr>
            <w:tcW w:w="180" w:type="dxa"/>
            <w:vAlign w:val="bottom"/>
            <w:tcBorders>
              <w:top w:val="single" w:sz="8" w:color="auto"/>
              <w:bottom w:val="single" w:sz="8" w:color="auto"/>
            </w:tcBorders>
            <w:shd w:val="clear" w:color="auto" w:fill="CCFFCC"/>
          </w:tcPr>
          <w:p>
            <w:pPr>
              <w:spacing w:after="0"/>
              <w:rPr>
                <w:sz w:val="12"/>
                <w:szCs w:val="12"/>
                <w:color w:val="auto"/>
              </w:rPr>
            </w:pPr>
          </w:p>
        </w:tc>
        <w:tc>
          <w:tcPr>
            <w:tcW w:w="7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6.6</w:t>
            </w:r>
          </w:p>
        </w:tc>
        <w:tc>
          <w:tcPr>
            <w:tcW w:w="240" w:type="dxa"/>
            <w:vAlign w:val="bottom"/>
            <w:tcBorders>
              <w:top w:val="single" w:sz="8" w:color="CCFFCC"/>
            </w:tcBorders>
            <w:shd w:val="clear" w:color="auto" w:fill="CCFFCC"/>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2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880" w:type="dxa"/>
            <w:vAlign w:val="bottom"/>
            <w:tcBorders>
              <w:top w:val="single" w:sz="8" w:color="auto"/>
              <w:bottom w:val="single" w:sz="8" w:color="auto"/>
            </w:tcBorders>
            <w:shd w:val="clear" w:color="auto" w:fill="CCFFCC"/>
          </w:tcPr>
          <w:p>
            <w:pPr>
              <w:ind w:left="620"/>
              <w:spacing w:after="0" w:line="142" w:lineRule="exact"/>
              <w:rPr>
                <w:sz w:val="20"/>
                <w:szCs w:val="20"/>
                <w:color w:val="auto"/>
              </w:rPr>
            </w:pPr>
            <w:r>
              <w:rPr>
                <w:rFonts w:ascii="Arial" w:cs="Arial" w:eastAsia="Arial" w:hAnsi="Arial"/>
                <w:sz w:val="14"/>
                <w:szCs w:val="14"/>
                <w:b w:val="1"/>
                <w:bCs w:val="1"/>
                <w:color w:val="auto"/>
                <w:w w:val="87"/>
              </w:rPr>
              <w:t>51.9</w:t>
            </w:r>
          </w:p>
        </w:tc>
        <w:tc>
          <w:tcPr>
            <w:tcW w:w="16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funding sources</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Other funding sources fell -1.3% QoQ. This was attributable to the -10.5% QoQ decline in due to banks and correspondents, which was associated with the amortization of long term debts for approximately US$155 million and short term debt maturities with foreign banks for approximately US$324 million.</w:t>
      </w:r>
    </w:p>
    <w:p>
      <w:pPr>
        <w:spacing w:after="0" w:line="128" w:lineRule="exact"/>
        <w:rPr>
          <w:sz w:val="20"/>
          <w:szCs w:val="20"/>
          <w:color w:val="auto"/>
        </w:rPr>
      </w:pPr>
    </w:p>
    <w:p>
      <w:pPr>
        <w:jc w:val="both"/>
        <w:ind w:right="20"/>
        <w:spacing w:after="0" w:line="210" w:lineRule="auto"/>
        <w:rPr>
          <w:sz w:val="20"/>
          <w:szCs w:val="20"/>
          <w:color w:val="auto"/>
        </w:rPr>
      </w:pPr>
      <w:r>
        <w:rPr>
          <w:rFonts w:ascii="Arial" w:cs="Arial" w:eastAsia="Arial" w:hAnsi="Arial"/>
          <w:sz w:val="18"/>
          <w:szCs w:val="18"/>
          <w:color w:val="auto"/>
        </w:rPr>
        <w:t>Bonds and subordinated debt increased in 2Q13 (+14.2% QoQ), which was attributable to corporate bond issuances in April 2013 for US$716.3 million</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and the reopening of the BCP27 subordinated bond for US$ 170 million.</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Cost</w:t>
      </w:r>
    </w:p>
    <w:p>
      <w:pPr>
        <w:spacing w:after="0" w:line="229"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Finally, the Bank’s funding cost was situated at 2.22%</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in 2Q13, which is 4 bps higher than that registered in 1Q13 (2.18%). This result was primarily due to the fact that alternative funding sources, meaning bonds and subordinated debt (+14.2% QoQ), increased their share of total funding, while deposits, which are the cheapest source of funding, decreased (-7.2% QoQ) their share of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Result after exchanging notes for BCP 16.</w:t>
      </w:r>
    </w:p>
    <w:p>
      <w:pPr>
        <w:spacing w:after="0"/>
        <w:rPr>
          <w:sz w:val="20"/>
          <w:szCs w:val="20"/>
          <w:color w:val="auto"/>
        </w:rPr>
      </w:pPr>
      <w:r>
        <w:rPr>
          <w:rFonts w:ascii="Arial" w:cs="Arial" w:eastAsia="Arial" w:hAnsi="Arial"/>
          <w:sz w:val="30"/>
          <w:szCs w:val="30"/>
          <w:color w:val="auto"/>
          <w:vertAlign w:val="superscript"/>
        </w:rPr>
        <w:t>2</w:t>
      </w:r>
      <w:r>
        <w:rPr>
          <w:rFonts w:ascii="Arial" w:cs="Arial" w:eastAsia="Arial" w:hAnsi="Arial"/>
          <w:sz w:val="18"/>
          <w:szCs w:val="18"/>
          <w:color w:val="auto"/>
        </w:rPr>
        <w:t>The funding cost is calculated by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4236720" cy="2057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23672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0"/>
        <w:spacing w:after="0"/>
        <w:rPr>
          <w:sz w:val="20"/>
          <w:szCs w:val="20"/>
          <w:color w:val="auto"/>
        </w:rPr>
      </w:pPr>
      <w:r>
        <w:rPr>
          <w:rFonts w:ascii="Arial" w:cs="Arial" w:eastAsia="Arial" w:hAnsi="Arial"/>
          <w:sz w:val="18"/>
          <w:szCs w:val="18"/>
          <w:color w:val="auto"/>
        </w:rPr>
        <w:t>* This is based on the average of the initial balance and the closing balance of total liabilities (not including other liabilities) for the period.</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1537970</wp:posOffset>
            </wp:positionH>
            <wp:positionV relativeFrom="page">
              <wp:posOffset>568960</wp:posOffset>
            </wp:positionV>
            <wp:extent cx="5866130" cy="31559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66130" cy="315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Share of Deposits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end of May 2013, BCP continued to lead the market for deposits with a 33.6% share of the financial system’s total deposits. Accordingly, the bank continued to lead the pack in terms of the different deposit types, both in local currency and foreign currency. Nevertheless, the market share of time deposits in foreign currency fell 33% in 1Q13 to 25.5% in 2Q13, which was primarily due to the fact that corporate clients made large withdrawals. This is, as previously discussed, in line with the Bank’s strategy to reduce excess liquidity in FC.</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share by type of deposit and currency</w:t>
      </w:r>
    </w:p>
    <w:p>
      <w:pPr>
        <w:spacing w:after="0" w:line="212" w:lineRule="exact"/>
        <w:rPr>
          <w:sz w:val="20"/>
          <w:szCs w:val="20"/>
          <w:color w:val="auto"/>
        </w:rPr>
      </w:pPr>
    </w:p>
    <w:tbl>
      <w:tblPr>
        <w:tblLayout w:type="fixed"/>
        <w:tblInd w:w="260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1080" w:type="dxa"/>
            <w:vAlign w:val="bottom"/>
            <w:gridSpan w:val="2"/>
          </w:tcPr>
          <w:p>
            <w:pPr>
              <w:ind w:left="200"/>
              <w:spacing w:after="0"/>
              <w:rPr>
                <w:sz w:val="20"/>
                <w:szCs w:val="20"/>
                <w:color w:val="auto"/>
              </w:rPr>
            </w:pPr>
            <w:r>
              <w:rPr>
                <w:rFonts w:ascii="Arial" w:cs="Arial" w:eastAsia="Arial" w:hAnsi="Arial"/>
                <w:sz w:val="14"/>
                <w:szCs w:val="14"/>
                <w:color w:val="auto"/>
              </w:rPr>
              <w:t>Demand</w:t>
            </w: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Saving</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color w:val="auto"/>
                <w:w w:val="96"/>
              </w:rPr>
              <w:t>Time</w:t>
            </w: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Severance</w:t>
            </w:r>
          </w:p>
        </w:tc>
      </w:tr>
      <w:tr>
        <w:trPr>
          <w:trHeight w:val="167"/>
        </w:trPr>
        <w:tc>
          <w:tcPr>
            <w:tcW w:w="1480" w:type="dxa"/>
            <w:vAlign w:val="bottom"/>
            <w:tcBorders>
              <w:bottom w:val="single" w:sz="8" w:color="CCFFCC"/>
            </w:tcBorders>
          </w:tcPr>
          <w:p>
            <w:pPr>
              <w:spacing w:after="0"/>
              <w:rPr>
                <w:sz w:val="14"/>
                <w:szCs w:val="14"/>
                <w:color w:val="auto"/>
              </w:rPr>
            </w:pPr>
          </w:p>
        </w:tc>
        <w:tc>
          <w:tcPr>
            <w:tcW w:w="9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deposits</w:t>
            </w:r>
          </w:p>
        </w:tc>
        <w:tc>
          <w:tcPr>
            <w:tcW w:w="180" w:type="dxa"/>
            <w:vAlign w:val="bottom"/>
            <w:tcBorders>
              <w:bottom w:val="single" w:sz="8" w:color="CCFFCC"/>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deposits</w:t>
            </w:r>
          </w:p>
        </w:tc>
        <w:tc>
          <w:tcPr>
            <w:tcW w:w="180" w:type="dxa"/>
            <w:vAlign w:val="bottom"/>
            <w:tcBorders>
              <w:bottom w:val="single" w:sz="8" w:color="CCFFCC"/>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deposits</w:t>
            </w:r>
          </w:p>
        </w:tc>
        <w:tc>
          <w:tcPr>
            <w:tcW w:w="160" w:type="dxa"/>
            <w:vAlign w:val="bottom"/>
            <w:tcBorders>
              <w:bottom w:val="single" w:sz="8" w:color="CCFFCC"/>
            </w:tcBorders>
          </w:tcPr>
          <w:p>
            <w:pPr>
              <w:spacing w:after="0"/>
              <w:rPr>
                <w:sz w:val="14"/>
                <w:szCs w:val="14"/>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indemnity</w:t>
            </w:r>
          </w:p>
        </w:tc>
        <w:tc>
          <w:tcPr>
            <w:tcW w:w="120" w:type="dxa"/>
            <w:vAlign w:val="bottom"/>
            <w:tcBorders>
              <w:bottom w:val="single" w:sz="8" w:color="CCFFCC"/>
            </w:tcBorders>
          </w:tcPr>
          <w:p>
            <w:pPr>
              <w:spacing w:after="0"/>
              <w:rPr>
                <w:sz w:val="14"/>
                <w:szCs w:val="14"/>
                <w:color w:val="auto"/>
              </w:rPr>
            </w:pPr>
          </w:p>
        </w:tc>
      </w:tr>
      <w:tr>
        <w:trPr>
          <w:trHeight w:val="142"/>
        </w:trPr>
        <w:tc>
          <w:tcPr>
            <w:tcW w:w="1480" w:type="dxa"/>
            <w:vAlign w:val="bottom"/>
            <w:shd w:val="clear" w:color="auto" w:fill="CCFFCC"/>
          </w:tcPr>
          <w:p>
            <w:pPr>
              <w:ind w:left="620"/>
              <w:spacing w:after="0" w:line="142" w:lineRule="exact"/>
              <w:rPr>
                <w:sz w:val="20"/>
                <w:szCs w:val="20"/>
                <w:color w:val="auto"/>
              </w:rPr>
            </w:pPr>
            <w:r>
              <w:rPr>
                <w:rFonts w:ascii="Arial" w:cs="Arial" w:eastAsia="Arial" w:hAnsi="Arial"/>
                <w:sz w:val="14"/>
                <w:szCs w:val="14"/>
                <w:color w:val="auto"/>
              </w:rPr>
              <w:t>LC</w:t>
            </w:r>
          </w:p>
        </w:tc>
        <w:tc>
          <w:tcPr>
            <w:tcW w:w="1080" w:type="dxa"/>
            <w:vAlign w:val="bottom"/>
            <w:gridSpan w:val="2"/>
            <w:shd w:val="clear" w:color="auto" w:fill="CCFFCC"/>
          </w:tcPr>
          <w:p>
            <w:pPr>
              <w:jc w:val="right"/>
              <w:ind w:right="60"/>
              <w:spacing w:after="0" w:line="142" w:lineRule="exact"/>
              <w:rPr>
                <w:sz w:val="20"/>
                <w:szCs w:val="20"/>
                <w:color w:val="auto"/>
              </w:rPr>
            </w:pPr>
            <w:r>
              <w:rPr>
                <w:rFonts w:ascii="Arial" w:cs="Arial" w:eastAsia="Arial" w:hAnsi="Arial"/>
                <w:sz w:val="14"/>
                <w:szCs w:val="14"/>
                <w:color w:val="auto"/>
              </w:rPr>
              <w:t>39.7%</w:t>
            </w:r>
          </w:p>
        </w:tc>
        <w:tc>
          <w:tcPr>
            <w:tcW w:w="1060" w:type="dxa"/>
            <w:vAlign w:val="bottom"/>
            <w:gridSpan w:val="2"/>
            <w:shd w:val="clear" w:color="auto" w:fill="CCFFCC"/>
          </w:tcPr>
          <w:p>
            <w:pPr>
              <w:jc w:val="right"/>
              <w:ind w:right="60"/>
              <w:spacing w:after="0" w:line="142" w:lineRule="exact"/>
              <w:rPr>
                <w:sz w:val="20"/>
                <w:szCs w:val="20"/>
                <w:color w:val="auto"/>
              </w:rPr>
            </w:pPr>
            <w:r>
              <w:rPr>
                <w:rFonts w:ascii="Arial" w:cs="Arial" w:eastAsia="Arial" w:hAnsi="Arial"/>
                <w:sz w:val="14"/>
                <w:szCs w:val="14"/>
                <w:color w:val="auto"/>
              </w:rPr>
              <w:t>36.7%</w:t>
            </w:r>
          </w:p>
        </w:tc>
        <w:tc>
          <w:tcPr>
            <w:tcW w:w="1060" w:type="dxa"/>
            <w:vAlign w:val="bottom"/>
            <w:gridSpan w:val="2"/>
            <w:shd w:val="clear" w:color="auto" w:fill="CCFFCC"/>
          </w:tcPr>
          <w:p>
            <w:pPr>
              <w:jc w:val="right"/>
              <w:ind w:right="40"/>
              <w:spacing w:after="0" w:line="142" w:lineRule="exact"/>
              <w:rPr>
                <w:sz w:val="20"/>
                <w:szCs w:val="20"/>
                <w:color w:val="auto"/>
              </w:rPr>
            </w:pPr>
            <w:r>
              <w:rPr>
                <w:rFonts w:ascii="Arial" w:cs="Arial" w:eastAsia="Arial" w:hAnsi="Arial"/>
                <w:sz w:val="14"/>
                <w:szCs w:val="14"/>
                <w:color w:val="auto"/>
              </w:rPr>
              <w:t>18.0%</w:t>
            </w:r>
          </w:p>
        </w:tc>
        <w:tc>
          <w:tcPr>
            <w:tcW w:w="102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39.5%</w:t>
            </w:r>
          </w:p>
        </w:tc>
      </w:tr>
      <w:tr>
        <w:trPr>
          <w:trHeight w:val="150"/>
        </w:trPr>
        <w:tc>
          <w:tcPr>
            <w:tcW w:w="1480" w:type="dxa"/>
            <w:vAlign w:val="bottom"/>
          </w:tcPr>
          <w:p>
            <w:pPr>
              <w:ind w:left="620"/>
              <w:spacing w:after="0" w:line="150" w:lineRule="exact"/>
              <w:rPr>
                <w:sz w:val="20"/>
                <w:szCs w:val="20"/>
                <w:color w:val="auto"/>
              </w:rPr>
            </w:pPr>
            <w:r>
              <w:rPr>
                <w:rFonts w:ascii="Arial" w:cs="Arial" w:eastAsia="Arial" w:hAnsi="Arial"/>
                <w:sz w:val="14"/>
                <w:szCs w:val="14"/>
                <w:color w:val="auto"/>
              </w:rPr>
              <w:t>FC</w:t>
            </w:r>
          </w:p>
        </w:tc>
        <w:tc>
          <w:tcPr>
            <w:tcW w:w="1080" w:type="dxa"/>
            <w:vAlign w:val="bottom"/>
            <w:gridSpan w:val="2"/>
          </w:tcPr>
          <w:p>
            <w:pPr>
              <w:jc w:val="right"/>
              <w:ind w:right="60"/>
              <w:spacing w:after="0" w:line="150" w:lineRule="exact"/>
              <w:rPr>
                <w:sz w:val="20"/>
                <w:szCs w:val="20"/>
                <w:color w:val="auto"/>
              </w:rPr>
            </w:pPr>
            <w:r>
              <w:rPr>
                <w:rFonts w:ascii="Arial" w:cs="Arial" w:eastAsia="Arial" w:hAnsi="Arial"/>
                <w:sz w:val="14"/>
                <w:szCs w:val="14"/>
                <w:color w:val="auto"/>
              </w:rPr>
              <w:t>40.0%</w:t>
            </w:r>
          </w:p>
        </w:tc>
        <w:tc>
          <w:tcPr>
            <w:tcW w:w="1060" w:type="dxa"/>
            <w:vAlign w:val="bottom"/>
            <w:gridSpan w:val="2"/>
          </w:tcPr>
          <w:p>
            <w:pPr>
              <w:jc w:val="right"/>
              <w:ind w:right="60"/>
              <w:spacing w:after="0" w:line="150" w:lineRule="exact"/>
              <w:rPr>
                <w:sz w:val="20"/>
                <w:szCs w:val="20"/>
                <w:color w:val="auto"/>
              </w:rPr>
            </w:pPr>
            <w:r>
              <w:rPr>
                <w:rFonts w:ascii="Arial" w:cs="Arial" w:eastAsia="Arial" w:hAnsi="Arial"/>
                <w:sz w:val="14"/>
                <w:szCs w:val="14"/>
                <w:color w:val="auto"/>
              </w:rPr>
              <w:t>40.2%</w:t>
            </w:r>
          </w:p>
        </w:tc>
        <w:tc>
          <w:tcPr>
            <w:tcW w:w="1060" w:type="dxa"/>
            <w:vAlign w:val="bottom"/>
            <w:gridSpan w:val="2"/>
          </w:tcPr>
          <w:p>
            <w:pPr>
              <w:jc w:val="right"/>
              <w:ind w:right="40"/>
              <w:spacing w:after="0" w:line="150" w:lineRule="exact"/>
              <w:rPr>
                <w:sz w:val="20"/>
                <w:szCs w:val="20"/>
                <w:color w:val="auto"/>
              </w:rPr>
            </w:pPr>
            <w:r>
              <w:rPr>
                <w:rFonts w:ascii="Arial" w:cs="Arial" w:eastAsia="Arial" w:hAnsi="Arial"/>
                <w:sz w:val="14"/>
                <w:szCs w:val="14"/>
                <w:color w:val="auto"/>
              </w:rPr>
              <w:t>25.5%</w:t>
            </w:r>
          </w:p>
        </w:tc>
        <w:tc>
          <w:tcPr>
            <w:tcW w:w="1020" w:type="dxa"/>
            <w:vAlign w:val="bottom"/>
            <w:gridSpan w:val="2"/>
          </w:tcPr>
          <w:p>
            <w:pPr>
              <w:jc w:val="right"/>
              <w:spacing w:after="0" w:line="150" w:lineRule="exact"/>
              <w:rPr>
                <w:sz w:val="20"/>
                <w:szCs w:val="20"/>
                <w:color w:val="auto"/>
              </w:rPr>
            </w:pPr>
            <w:r>
              <w:rPr>
                <w:rFonts w:ascii="Arial" w:cs="Arial" w:eastAsia="Arial" w:hAnsi="Arial"/>
                <w:sz w:val="14"/>
                <w:szCs w:val="14"/>
                <w:color w:val="auto"/>
              </w:rPr>
              <w:t>52.5%</w:t>
            </w:r>
          </w:p>
        </w:tc>
      </w:tr>
    </w:tbl>
    <w:p>
      <w:pPr>
        <w:ind w:left="2640"/>
        <w:spacing w:after="0"/>
        <w:rPr>
          <w:sz w:val="20"/>
          <w:szCs w:val="20"/>
          <w:color w:val="auto"/>
        </w:rPr>
      </w:pPr>
      <w:r>
        <w:rPr>
          <w:rFonts w:ascii="Arial" w:cs="Arial" w:eastAsia="Arial" w:hAnsi="Arial"/>
          <w:sz w:val="18"/>
          <w:szCs w:val="18"/>
          <w:i w:val="1"/>
          <w:iCs w:val="1"/>
          <w:color w:val="auto"/>
        </w:rPr>
        <w:t>LC: Local Currency</w:t>
      </w:r>
    </w:p>
    <w:p>
      <w:pPr>
        <w:spacing w:after="0" w:line="7" w:lineRule="exact"/>
        <w:rPr>
          <w:sz w:val="20"/>
          <w:szCs w:val="20"/>
          <w:color w:val="auto"/>
        </w:rPr>
      </w:pPr>
    </w:p>
    <w:p>
      <w:pPr>
        <w:ind w:left="2600"/>
        <w:spacing w:after="0"/>
        <w:rPr>
          <w:sz w:val="20"/>
          <w:szCs w:val="20"/>
          <w:color w:val="auto"/>
        </w:rPr>
      </w:pPr>
      <w:r>
        <w:rPr>
          <w:rFonts w:ascii="Arial" w:cs="Arial" w:eastAsia="Arial" w:hAnsi="Arial"/>
          <w:sz w:val="18"/>
          <w:szCs w:val="18"/>
          <w:i w:val="1"/>
          <w:iCs w:val="1"/>
          <w:color w:val="auto"/>
        </w:rPr>
        <w:t>FC: Foreign Currency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 Dollarization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Deposit de-dollarization reverted slightly QoQ, which was mainly due to the 7.5% devaluation of the Nuevo Sol. Nevertheless, in YoY terms, the de-dollarization process at the deposit level is more evident and reveals a decline of approximately 380 bps in the share of FC deposits.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2061210</wp:posOffset>
            </wp:positionH>
            <wp:positionV relativeFrom="page">
              <wp:posOffset>568960</wp:posOffset>
            </wp:positionV>
            <wp:extent cx="5342890" cy="24352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42890" cy="2435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Mutual Funds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Mutual funds in Credifondo Peru fell -10% QoQ, which is in line with high volatility in the international markets and the negative evolution of the fixed income market in particular (yields on sovereign bonds). This led affiliates to withdraw their balances, which produced a subsequent decline in the volume of FuM.</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Mutual funds at Credifondo Bolivia also fell 3% QoQ, which is linked to the scenario of low liquidity of financial entities in Bolivia and reflects movements in the country’s stock market. This caused the yields of repo transactions to increase, making them a more attractive investment option than mutual funds. Nevertheless, the system is expected to regularize in the coming months.</w:t>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Customer funds</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ind w:left="300"/>
              <w:spacing w:after="0"/>
              <w:rPr>
                <w:sz w:val="20"/>
                <w:szCs w:val="20"/>
                <w:color w:val="auto"/>
              </w:rPr>
            </w:pPr>
            <w:r>
              <w:rPr>
                <w:rFonts w:ascii="Arial" w:cs="Arial" w:eastAsia="Arial" w:hAnsi="Arial"/>
                <w:sz w:val="18"/>
                <w:szCs w:val="18"/>
                <w:b w:val="1"/>
                <w:bCs w:val="1"/>
                <w:color w:val="auto"/>
              </w:rPr>
              <w:t>Quarter</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gridSpan w:val="3"/>
          </w:tcPr>
          <w:p>
            <w:pPr>
              <w:ind w:left="120"/>
              <w:spacing w:after="0"/>
              <w:rPr>
                <w:sz w:val="20"/>
                <w:szCs w:val="20"/>
                <w:color w:val="auto"/>
              </w:rPr>
            </w:pPr>
            <w:r>
              <w:rPr>
                <w:rFonts w:ascii="Arial" w:cs="Arial" w:eastAsia="Arial" w:hAnsi="Arial"/>
                <w:sz w:val="18"/>
                <w:szCs w:val="18"/>
                <w:b w:val="1"/>
                <w:bCs w:val="1"/>
                <w:color w:val="auto"/>
              </w:rPr>
              <w:t>Change %</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20" w:type="dxa"/>
            <w:vAlign w:val="bottom"/>
            <w:tcBorders>
              <w:bottom w:val="single" w:sz="8" w:color="CCFFCC"/>
            </w:tcBorders>
          </w:tcPr>
          <w:p>
            <w:pPr>
              <w:spacing w:after="0"/>
              <w:rPr>
                <w:sz w:val="20"/>
                <w:szCs w:val="20"/>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2Q13</w:t>
            </w:r>
          </w:p>
        </w:tc>
        <w:tc>
          <w:tcPr>
            <w:tcW w:w="220" w:type="dxa"/>
            <w:vAlign w:val="bottom"/>
            <w:tcBorders>
              <w:bottom w:val="single" w:sz="8" w:color="CCFFCC"/>
            </w:tcBorders>
          </w:tcPr>
          <w:p>
            <w:pPr>
              <w:spacing w:after="0"/>
              <w:rPr>
                <w:sz w:val="20"/>
                <w:szCs w:val="20"/>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1Q13</w:t>
            </w:r>
          </w:p>
        </w:tc>
        <w:tc>
          <w:tcPr>
            <w:tcW w:w="220" w:type="dxa"/>
            <w:vAlign w:val="bottom"/>
            <w:tcBorders>
              <w:bottom w:val="single" w:sz="8" w:color="CCFFCC"/>
            </w:tcBorders>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2Q12</w:t>
            </w:r>
          </w:p>
        </w:tc>
        <w:tc>
          <w:tcPr>
            <w:tcW w:w="200" w:type="dxa"/>
            <w:vAlign w:val="bottom"/>
            <w:tcBorders>
              <w:bottom w:val="single" w:sz="8" w:color="CCFFCC"/>
            </w:tcBorders>
          </w:tcPr>
          <w:p>
            <w:pPr>
              <w:spacing w:after="0"/>
              <w:rPr>
                <w:sz w:val="20"/>
                <w:szCs w:val="20"/>
                <w:color w:val="auto"/>
              </w:rPr>
            </w:pPr>
          </w:p>
        </w:tc>
        <w:tc>
          <w:tcPr>
            <w:tcW w:w="82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w w:val="97"/>
              </w:rPr>
              <w:t>QoQ</w:t>
            </w:r>
          </w:p>
        </w:tc>
        <w:tc>
          <w:tcPr>
            <w:tcW w:w="400" w:type="dxa"/>
            <w:vAlign w:val="bottom"/>
            <w:tcBorders>
              <w:bottom w:val="single" w:sz="8" w:color="auto"/>
            </w:tcBorders>
          </w:tcPr>
          <w:p>
            <w:pPr>
              <w:spacing w:after="0"/>
              <w:rPr>
                <w:sz w:val="20"/>
                <w:szCs w:val="20"/>
                <w:color w:val="auto"/>
              </w:rPr>
            </w:pPr>
          </w:p>
        </w:tc>
        <w:tc>
          <w:tcPr>
            <w:tcW w:w="280" w:type="dxa"/>
            <w:vAlign w:val="bottom"/>
            <w:tcBorders>
              <w:bottom w:val="single" w:sz="8" w:color="CCFFC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3920" w:type="dxa"/>
            <w:vAlign w:val="bottom"/>
            <w:shd w:val="clear" w:color="auto" w:fill="CCFFCC"/>
          </w:tcPr>
          <w:p>
            <w:pPr>
              <w:spacing w:after="0"/>
              <w:rPr>
                <w:sz w:val="20"/>
                <w:szCs w:val="20"/>
                <w:color w:val="auto"/>
              </w:rPr>
            </w:pPr>
            <w:r>
              <w:rPr>
                <w:rFonts w:ascii="Arial" w:cs="Arial" w:eastAsia="Arial" w:hAnsi="Arial"/>
                <w:sz w:val="18"/>
                <w:szCs w:val="18"/>
                <w:color w:val="auto"/>
              </w:rPr>
              <w:t>Mutual funds in Perú</w:t>
            </w:r>
          </w:p>
        </w:tc>
        <w:tc>
          <w:tcPr>
            <w:tcW w:w="120" w:type="dxa"/>
            <w:vAlign w:val="bottom"/>
            <w:shd w:val="clear" w:color="auto" w:fill="CCFFCC"/>
          </w:tcPr>
          <w:p>
            <w:pPr>
              <w:spacing w:after="0"/>
              <w:rPr>
                <w:sz w:val="18"/>
                <w:szCs w:val="18"/>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2,546,804</w:t>
            </w:r>
          </w:p>
        </w:tc>
        <w:tc>
          <w:tcPr>
            <w:tcW w:w="22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2,832,739</w:t>
            </w:r>
          </w:p>
        </w:tc>
        <w:tc>
          <w:tcPr>
            <w:tcW w:w="22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2,393,713</w:t>
            </w:r>
          </w:p>
        </w:tc>
        <w:tc>
          <w:tcPr>
            <w:tcW w:w="2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w w:val="91"/>
              </w:rPr>
              <w:t>-10.1%</w:t>
            </w:r>
          </w:p>
        </w:tc>
        <w:tc>
          <w:tcPr>
            <w:tcW w:w="3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Mutual funds in Bolivia</w:t>
            </w:r>
          </w:p>
        </w:tc>
        <w:tc>
          <w:tcPr>
            <w:tcW w:w="1200" w:type="dxa"/>
            <w:vAlign w:val="bottom"/>
          </w:tcPr>
          <w:p>
            <w:pPr>
              <w:jc w:val="right"/>
              <w:spacing w:after="0"/>
              <w:rPr>
                <w:sz w:val="20"/>
                <w:szCs w:val="20"/>
                <w:color w:val="auto"/>
              </w:rPr>
            </w:pPr>
            <w:r>
              <w:rPr>
                <w:rFonts w:ascii="Arial" w:cs="Arial" w:eastAsia="Arial" w:hAnsi="Arial"/>
                <w:sz w:val="18"/>
                <w:szCs w:val="18"/>
                <w:color w:val="auto"/>
              </w:rPr>
              <w:t>70,845</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73,285</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95,726</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-26.0%</w:t>
            </w:r>
          </w:p>
        </w:tc>
      </w:tr>
      <w:tr>
        <w:trPr>
          <w:trHeight w:val="210"/>
        </w:trPr>
        <w:tc>
          <w:tcPr>
            <w:tcW w:w="404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customer funds</w:t>
            </w:r>
          </w:p>
        </w:tc>
        <w:tc>
          <w:tcPr>
            <w:tcW w:w="12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2,617,649</w:t>
            </w:r>
          </w:p>
        </w:tc>
        <w:tc>
          <w:tcPr>
            <w:tcW w:w="220" w:type="dxa"/>
            <w:vAlign w:val="bottom"/>
            <w:tcBorders>
              <w:top w:val="single" w:sz="8" w:color="CCFFCC"/>
            </w:tcBorders>
            <w:shd w:val="clear" w:color="auto" w:fill="CCFFCC"/>
          </w:tcPr>
          <w:p>
            <w:pPr>
              <w:spacing w:after="0"/>
              <w:rPr>
                <w:sz w:val="18"/>
                <w:szCs w:val="18"/>
                <w:color w:val="auto"/>
              </w:rPr>
            </w:pPr>
          </w:p>
        </w:tc>
        <w:tc>
          <w:tcPr>
            <w:tcW w:w="12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2,906,024</w:t>
            </w:r>
          </w:p>
        </w:tc>
        <w:tc>
          <w:tcPr>
            <w:tcW w:w="220" w:type="dxa"/>
            <w:vAlign w:val="bottom"/>
            <w:tcBorders>
              <w:top w:val="single" w:sz="8" w:color="CCFFCC"/>
            </w:tcBorders>
            <w:shd w:val="clear" w:color="auto" w:fill="CCFFCC"/>
          </w:tcPr>
          <w:p>
            <w:pPr>
              <w:spacing w:after="0"/>
              <w:rPr>
                <w:sz w:val="18"/>
                <w:szCs w:val="18"/>
                <w:color w:val="auto"/>
              </w:rPr>
            </w:pPr>
          </w:p>
        </w:tc>
        <w:tc>
          <w:tcPr>
            <w:tcW w:w="12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2,489,439</w:t>
            </w:r>
          </w:p>
        </w:tc>
        <w:tc>
          <w:tcPr>
            <w:tcW w:w="200" w:type="dxa"/>
            <w:vAlign w:val="bottom"/>
            <w:tcBorders>
              <w:top w:val="single" w:sz="8" w:color="CCFFCC"/>
            </w:tcBorders>
            <w:shd w:val="clear" w:color="auto" w:fill="CCFFCC"/>
          </w:tcPr>
          <w:p>
            <w:pPr>
              <w:spacing w:after="0"/>
              <w:rPr>
                <w:sz w:val="18"/>
                <w:szCs w:val="18"/>
                <w:color w:val="auto"/>
              </w:rPr>
            </w:pPr>
          </w:p>
        </w:tc>
        <w:tc>
          <w:tcPr>
            <w:tcW w:w="820" w:type="dxa"/>
            <w:vAlign w:val="bottom"/>
            <w:tcBorders>
              <w:top w:val="single" w:sz="8" w:color="auto"/>
              <w:bottom w:val="single" w:sz="8" w:color="auto"/>
            </w:tcBorders>
            <w:shd w:val="clear" w:color="auto" w:fill="CCFFCC"/>
          </w:tcPr>
          <w:p>
            <w:pPr>
              <w:spacing w:after="0"/>
              <w:rPr>
                <w:sz w:val="18"/>
                <w:szCs w:val="18"/>
                <w:color w:val="auto"/>
              </w:rPr>
            </w:pPr>
          </w:p>
        </w:tc>
        <w:tc>
          <w:tcPr>
            <w:tcW w:w="4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-9.9</w:t>
            </w:r>
          </w:p>
        </w:tc>
        <w:tc>
          <w:tcPr>
            <w:tcW w:w="280" w:type="dxa"/>
            <w:vAlign w:val="bottom"/>
            <w:tcBorders>
              <w:top w:val="single" w:sz="8" w:color="CCFFCC"/>
            </w:tcBorders>
            <w:shd w:val="clear" w:color="auto" w:fill="CCFFCC"/>
          </w:tcPr>
          <w:p>
            <w:pPr>
              <w:jc w:val="right"/>
              <w:ind w:right="50"/>
              <w:spacing w:after="0"/>
              <w:rPr>
                <w:sz w:val="20"/>
                <w:szCs w:val="20"/>
                <w:color w:val="auto"/>
              </w:rPr>
            </w:pPr>
            <w:r>
              <w:rPr>
                <w:rFonts w:ascii="Arial" w:cs="Arial" w:eastAsia="Arial" w:hAnsi="Arial"/>
                <w:sz w:val="18"/>
                <w:szCs w:val="18"/>
                <w:color w:val="auto"/>
                <w:w w:val="74"/>
              </w:rPr>
              <w:t>%</w:t>
            </w:r>
          </w:p>
        </w:tc>
        <w:tc>
          <w:tcPr>
            <w:tcW w:w="340" w:type="dxa"/>
            <w:vAlign w:val="bottom"/>
            <w:tcBorders>
              <w:top w:val="single" w:sz="8" w:color="auto"/>
              <w:bottom w:val="single" w:sz="8" w:color="auto"/>
            </w:tcBorders>
            <w:shd w:val="clear" w:color="auto" w:fill="CCFFCC"/>
          </w:tcPr>
          <w:p>
            <w:pPr>
              <w:spacing w:after="0"/>
              <w:rPr>
                <w:sz w:val="18"/>
                <w:szCs w:val="18"/>
                <w:color w:val="auto"/>
              </w:rPr>
            </w:pPr>
          </w:p>
        </w:tc>
        <w:tc>
          <w:tcPr>
            <w:tcW w:w="8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5.2</w:t>
            </w:r>
          </w:p>
        </w:tc>
        <w:tc>
          <w:tcPr>
            <w:tcW w:w="18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II.3 Net Interest Income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Adjusted NII in LC, which represents 83.9% of total adjusted NII, expanded +4.7% QoQ and +20.4% YoY, if we exclude the valuation of derivatives impacted by the devaluation of the Nuevo Sol (Other income and Other expenses). This outstanding performance was in line with the excellent dynamic seen the loan portfolio. Nevertheless, the effect of the devaluation of the Nuevo Sol; the contraction of -8.7% QoQ in adjusted NII in foreign currency (FC); and the aforementioned valuation of derivatives explain the -1.6% QoQ decline in NII. All the above translated into a NIM of 4.92%, which is only 4bps below the figure reported in 1Q13.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4"/>
          </w:tcPr>
          <w:p>
            <w:pPr>
              <w:jc w:val="center"/>
              <w:ind w:right="388"/>
              <w:spacing w:after="0"/>
              <w:rPr>
                <w:sz w:val="20"/>
                <w:szCs w:val="20"/>
                <w:color w:val="auto"/>
              </w:rPr>
            </w:pPr>
            <w:r>
              <w:rPr>
                <w:rFonts w:ascii="Arial" w:cs="Arial" w:eastAsia="Arial" w:hAnsi="Arial"/>
                <w:sz w:val="14"/>
                <w:szCs w:val="14"/>
                <w:b w:val="1"/>
                <w:bCs w:val="1"/>
                <w:color w:val="auto"/>
                <w:w w:val="97"/>
              </w:rPr>
              <w:t>% Change LC</w:t>
            </w:r>
          </w:p>
        </w:tc>
        <w:tc>
          <w:tcPr>
            <w:tcW w:w="2160" w:type="dxa"/>
            <w:vAlign w:val="bottom"/>
            <w:gridSpan w:val="4"/>
          </w:tcPr>
          <w:p>
            <w:pPr>
              <w:jc w:val="center"/>
              <w:ind w:right="328"/>
              <w:spacing w:after="0"/>
              <w:rPr>
                <w:sz w:val="20"/>
                <w:szCs w:val="20"/>
                <w:color w:val="auto"/>
              </w:rPr>
            </w:pPr>
            <w:r>
              <w:rPr>
                <w:rFonts w:ascii="Arial" w:cs="Arial" w:eastAsia="Arial" w:hAnsi="Arial"/>
                <w:sz w:val="14"/>
                <w:szCs w:val="14"/>
                <w:b w:val="1"/>
                <w:bCs w:val="1"/>
                <w:color w:val="auto"/>
              </w:rPr>
              <w:t>% Change LC *</w:t>
            </w:r>
          </w:p>
        </w:tc>
        <w:tc>
          <w:tcPr>
            <w:tcW w:w="2160" w:type="dxa"/>
            <w:vAlign w:val="bottom"/>
            <w:gridSpan w:val="4"/>
          </w:tcPr>
          <w:p>
            <w:pPr>
              <w:jc w:val="center"/>
              <w:ind w:right="328"/>
              <w:spacing w:after="0"/>
              <w:rPr>
                <w:sz w:val="20"/>
                <w:szCs w:val="20"/>
                <w:color w:val="auto"/>
              </w:rPr>
            </w:pPr>
            <w:r>
              <w:rPr>
                <w:rFonts w:ascii="Arial" w:cs="Arial" w:eastAsia="Arial" w:hAnsi="Arial"/>
                <w:sz w:val="14"/>
                <w:szCs w:val="14"/>
                <w:b w:val="1"/>
                <w:bCs w:val="1"/>
                <w:color w:val="auto"/>
                <w:w w:val="97"/>
              </w:rPr>
              <w:t>% Change FC</w:t>
            </w:r>
          </w:p>
        </w:tc>
        <w:tc>
          <w:tcPr>
            <w:tcW w:w="1920" w:type="dxa"/>
            <w:vAlign w:val="bottom"/>
            <w:gridSpan w:val="4"/>
          </w:tcPr>
          <w:p>
            <w:pPr>
              <w:jc w:val="center"/>
              <w:ind w:right="88"/>
              <w:spacing w:after="0"/>
              <w:rPr>
                <w:sz w:val="20"/>
                <w:szCs w:val="20"/>
                <w:color w:val="auto"/>
              </w:rPr>
            </w:pPr>
            <w:r>
              <w:rPr>
                <w:rFonts w:ascii="Arial" w:cs="Arial" w:eastAsia="Arial" w:hAnsi="Arial"/>
                <w:sz w:val="14"/>
                <w:szCs w:val="14"/>
                <w:b w:val="1"/>
                <w:bCs w:val="1"/>
                <w:color w:val="auto"/>
                <w:w w:val="95"/>
              </w:rPr>
              <w:t>% Total Change</w:t>
            </w:r>
          </w:p>
        </w:tc>
      </w:tr>
      <w:tr>
        <w:trPr>
          <w:trHeight w:val="162"/>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4"/>
          </w:tcPr>
          <w:p>
            <w:pPr>
              <w:jc w:val="center"/>
              <w:ind w:right="388"/>
              <w:spacing w:after="0"/>
              <w:rPr>
                <w:sz w:val="20"/>
                <w:szCs w:val="20"/>
                <w:color w:val="auto"/>
              </w:rPr>
            </w:pPr>
            <w:r>
              <w:rPr>
                <w:rFonts w:ascii="Arial" w:cs="Arial" w:eastAsia="Arial" w:hAnsi="Arial"/>
                <w:sz w:val="14"/>
                <w:szCs w:val="14"/>
                <w:b w:val="1"/>
                <w:bCs w:val="1"/>
                <w:color w:val="auto"/>
                <w:w w:val="93"/>
              </w:rPr>
              <w:t>Expressed in PEN</w:t>
            </w:r>
          </w:p>
        </w:tc>
        <w:tc>
          <w:tcPr>
            <w:tcW w:w="2160" w:type="dxa"/>
            <w:vAlign w:val="bottom"/>
            <w:gridSpan w:val="4"/>
          </w:tcPr>
          <w:p>
            <w:pPr>
              <w:jc w:val="center"/>
              <w:ind w:right="328"/>
              <w:spacing w:after="0"/>
              <w:rPr>
                <w:sz w:val="20"/>
                <w:szCs w:val="20"/>
                <w:color w:val="auto"/>
              </w:rPr>
            </w:pPr>
            <w:r>
              <w:rPr>
                <w:rFonts w:ascii="Arial" w:cs="Arial" w:eastAsia="Arial" w:hAnsi="Arial"/>
                <w:sz w:val="14"/>
                <w:szCs w:val="14"/>
                <w:b w:val="1"/>
                <w:bCs w:val="1"/>
                <w:color w:val="auto"/>
                <w:w w:val="91"/>
              </w:rPr>
              <w:t>Expressed in US$</w:t>
            </w:r>
          </w:p>
        </w:tc>
        <w:tc>
          <w:tcPr>
            <w:tcW w:w="2160" w:type="dxa"/>
            <w:vAlign w:val="bottom"/>
            <w:gridSpan w:val="4"/>
          </w:tcPr>
          <w:p>
            <w:pPr>
              <w:jc w:val="center"/>
              <w:ind w:right="328"/>
              <w:spacing w:after="0"/>
              <w:rPr>
                <w:sz w:val="20"/>
                <w:szCs w:val="20"/>
                <w:color w:val="auto"/>
              </w:rPr>
            </w:pPr>
            <w:r>
              <w:rPr>
                <w:rFonts w:ascii="Arial" w:cs="Arial" w:eastAsia="Arial" w:hAnsi="Arial"/>
                <w:sz w:val="14"/>
                <w:szCs w:val="14"/>
                <w:b w:val="1"/>
                <w:bCs w:val="1"/>
                <w:color w:val="auto"/>
                <w:w w:val="91"/>
              </w:rPr>
              <w:t>Expressed in US$</w:t>
            </w:r>
          </w:p>
        </w:tc>
        <w:tc>
          <w:tcPr>
            <w:tcW w:w="1920" w:type="dxa"/>
            <w:vAlign w:val="bottom"/>
            <w:gridSpan w:val="4"/>
          </w:tcPr>
          <w:p>
            <w:pPr>
              <w:jc w:val="center"/>
              <w:ind w:right="88"/>
              <w:spacing w:after="0"/>
              <w:rPr>
                <w:sz w:val="20"/>
                <w:szCs w:val="20"/>
                <w:color w:val="auto"/>
              </w:rPr>
            </w:pPr>
            <w:r>
              <w:rPr>
                <w:rFonts w:ascii="Arial" w:cs="Arial" w:eastAsia="Arial" w:hAnsi="Arial"/>
                <w:sz w:val="14"/>
                <w:szCs w:val="14"/>
                <w:b w:val="1"/>
                <w:bCs w:val="1"/>
                <w:color w:val="auto"/>
                <w:w w:val="91"/>
              </w:rPr>
              <w:t>Expressed in US$</w:t>
            </w:r>
          </w:p>
        </w:tc>
      </w:tr>
      <w:tr>
        <w:trPr>
          <w:trHeight w:val="171"/>
        </w:trPr>
        <w:tc>
          <w:tcPr>
            <w:tcW w:w="2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BCP</w:t>
            </w:r>
          </w:p>
        </w:tc>
        <w:tc>
          <w:tcPr>
            <w:tcW w:w="120" w:type="dxa"/>
            <w:vAlign w:val="bottom"/>
            <w:tcBorders>
              <w:bottom w:val="single" w:sz="8" w:color="CCFFCC"/>
            </w:tcBorders>
          </w:tcPr>
          <w:p>
            <w:pPr>
              <w:spacing w:after="0"/>
              <w:rPr>
                <w:sz w:val="14"/>
                <w:szCs w:val="14"/>
                <w:color w:val="auto"/>
              </w:rPr>
            </w:pPr>
          </w:p>
        </w:tc>
        <w:tc>
          <w:tcPr>
            <w:tcW w:w="7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FFCC"/>
            </w:tcBorders>
          </w:tcPr>
          <w:p>
            <w:pPr>
              <w:spacing w:after="0"/>
              <w:rPr>
                <w:sz w:val="14"/>
                <w:szCs w:val="14"/>
                <w:color w:val="auto"/>
              </w:rPr>
            </w:pPr>
          </w:p>
        </w:tc>
        <w:tc>
          <w:tcPr>
            <w:tcW w:w="7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YoY</w:t>
            </w:r>
          </w:p>
        </w:tc>
        <w:tc>
          <w:tcPr>
            <w:tcW w:w="440" w:type="dxa"/>
            <w:vAlign w:val="bottom"/>
            <w:tcBorders>
              <w:bottom w:val="single" w:sz="8" w:color="CCFFCC"/>
            </w:tcBorders>
          </w:tcPr>
          <w:p>
            <w:pPr>
              <w:spacing w:after="0"/>
              <w:rPr>
                <w:sz w:val="14"/>
                <w:szCs w:val="14"/>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FFCC"/>
            </w:tcBorders>
          </w:tcPr>
          <w:p>
            <w:pPr>
              <w:spacing w:after="0"/>
              <w:rPr>
                <w:sz w:val="14"/>
                <w:szCs w:val="14"/>
                <w:color w:val="auto"/>
              </w:rPr>
            </w:pPr>
          </w:p>
        </w:tc>
        <w:tc>
          <w:tcPr>
            <w:tcW w:w="7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YoY</w:t>
            </w:r>
          </w:p>
        </w:tc>
        <w:tc>
          <w:tcPr>
            <w:tcW w:w="400" w:type="dxa"/>
            <w:vAlign w:val="bottom"/>
            <w:tcBorders>
              <w:bottom w:val="single" w:sz="8" w:color="CCFFCC"/>
            </w:tcBorders>
          </w:tcPr>
          <w:p>
            <w:pPr>
              <w:spacing w:after="0"/>
              <w:rPr>
                <w:sz w:val="14"/>
                <w:szCs w:val="14"/>
                <w:color w:val="auto"/>
              </w:rPr>
            </w:pPr>
          </w:p>
        </w:tc>
        <w:tc>
          <w:tcPr>
            <w:tcW w:w="7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FFCC"/>
            </w:tcBorders>
          </w:tcPr>
          <w:p>
            <w:pPr>
              <w:spacing w:after="0"/>
              <w:rPr>
                <w:sz w:val="14"/>
                <w:szCs w:val="14"/>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YoY</w:t>
            </w:r>
          </w:p>
        </w:tc>
        <w:tc>
          <w:tcPr>
            <w:tcW w:w="400" w:type="dxa"/>
            <w:vAlign w:val="bottom"/>
            <w:tcBorders>
              <w:bottom w:val="single" w:sz="8" w:color="CCFFCC"/>
            </w:tcBorders>
          </w:tcPr>
          <w:p>
            <w:pPr>
              <w:spacing w:after="0"/>
              <w:rPr>
                <w:sz w:val="14"/>
                <w:szCs w:val="14"/>
                <w:color w:val="auto"/>
              </w:rPr>
            </w:pPr>
          </w:p>
        </w:tc>
        <w:tc>
          <w:tcPr>
            <w:tcW w:w="7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FFCC"/>
            </w:tcBorders>
          </w:tcPr>
          <w:p>
            <w:pPr>
              <w:spacing w:after="0"/>
              <w:rPr>
                <w:sz w:val="14"/>
                <w:szCs w:val="14"/>
                <w:color w:val="auto"/>
              </w:rPr>
            </w:pPr>
          </w:p>
        </w:tc>
        <w:tc>
          <w:tcPr>
            <w:tcW w:w="7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YoY</w:t>
            </w:r>
          </w:p>
        </w:tc>
        <w:tc>
          <w:tcPr>
            <w:tcW w:w="140" w:type="dxa"/>
            <w:vAlign w:val="bottom"/>
            <w:tcBorders>
              <w:bottom w:val="single" w:sz="8" w:color="CCFFCC"/>
            </w:tcBorders>
          </w:tcPr>
          <w:p>
            <w:pPr>
              <w:spacing w:after="0"/>
              <w:rPr>
                <w:sz w:val="14"/>
                <w:szCs w:val="14"/>
                <w:color w:val="auto"/>
              </w:rPr>
            </w:pPr>
          </w:p>
        </w:tc>
      </w:tr>
      <w:tr>
        <w:trPr>
          <w:trHeight w:val="142"/>
        </w:trPr>
        <w:tc>
          <w:tcPr>
            <w:tcW w:w="288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Adjusted Interest Income (1)</w:t>
            </w: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ind w:left="560"/>
              <w:spacing w:after="0" w:line="142" w:lineRule="exact"/>
              <w:rPr>
                <w:sz w:val="20"/>
                <w:szCs w:val="20"/>
                <w:color w:val="auto"/>
              </w:rPr>
            </w:pPr>
            <w:r>
              <w:rPr>
                <w:rFonts w:ascii="Arial" w:cs="Arial" w:eastAsia="Arial" w:hAnsi="Arial"/>
                <w:sz w:val="14"/>
                <w:szCs w:val="14"/>
                <w:color w:val="auto"/>
              </w:rPr>
              <w:t>5.3%</w:t>
            </w:r>
          </w:p>
        </w:tc>
        <w:tc>
          <w:tcPr>
            <w:tcW w:w="1180" w:type="dxa"/>
            <w:vAlign w:val="bottom"/>
            <w:gridSpan w:val="2"/>
            <w:shd w:val="clear" w:color="auto" w:fill="CCFFCC"/>
          </w:tcPr>
          <w:p>
            <w:pPr>
              <w:ind w:left="480"/>
              <w:spacing w:after="0" w:line="142" w:lineRule="exact"/>
              <w:rPr>
                <w:sz w:val="20"/>
                <w:szCs w:val="20"/>
                <w:color w:val="auto"/>
              </w:rPr>
            </w:pPr>
            <w:r>
              <w:rPr>
                <w:rFonts w:ascii="Arial" w:cs="Arial" w:eastAsia="Arial" w:hAnsi="Arial"/>
                <w:sz w:val="14"/>
                <w:szCs w:val="14"/>
                <w:color w:val="auto"/>
              </w:rPr>
              <w:t>20.6%</w:t>
            </w:r>
          </w:p>
        </w:tc>
        <w:tc>
          <w:tcPr>
            <w:tcW w:w="100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-2.0%</w:t>
            </w:r>
          </w:p>
        </w:tc>
        <w:tc>
          <w:tcPr>
            <w:tcW w:w="1160" w:type="dxa"/>
            <w:vAlign w:val="bottom"/>
            <w:gridSpan w:val="2"/>
            <w:shd w:val="clear" w:color="auto" w:fill="CCFFCC"/>
          </w:tcPr>
          <w:p>
            <w:pPr>
              <w:ind w:left="500"/>
              <w:spacing w:after="0" w:line="142" w:lineRule="exact"/>
              <w:rPr>
                <w:sz w:val="20"/>
                <w:szCs w:val="20"/>
                <w:color w:val="auto"/>
              </w:rPr>
            </w:pPr>
            <w:r>
              <w:rPr>
                <w:rFonts w:ascii="Arial" w:cs="Arial" w:eastAsia="Arial" w:hAnsi="Arial"/>
                <w:sz w:val="14"/>
                <w:szCs w:val="14"/>
                <w:color w:val="auto"/>
              </w:rPr>
              <w:t>15.8%</w:t>
            </w:r>
          </w:p>
        </w:tc>
        <w:tc>
          <w:tcPr>
            <w:tcW w:w="1000" w:type="dxa"/>
            <w:vAlign w:val="bottom"/>
            <w:gridSpan w:val="2"/>
            <w:shd w:val="clear" w:color="auto" w:fill="CCFFCC"/>
          </w:tcPr>
          <w:p>
            <w:pPr>
              <w:ind w:left="520"/>
              <w:spacing w:after="0" w:line="142" w:lineRule="exact"/>
              <w:rPr>
                <w:sz w:val="20"/>
                <w:szCs w:val="20"/>
                <w:color w:val="auto"/>
              </w:rPr>
            </w:pPr>
            <w:r>
              <w:rPr>
                <w:rFonts w:ascii="Arial" w:cs="Arial" w:eastAsia="Arial" w:hAnsi="Arial"/>
                <w:sz w:val="14"/>
                <w:szCs w:val="14"/>
                <w:color w:val="auto"/>
              </w:rPr>
              <w:t>-5.1%</w:t>
            </w:r>
          </w:p>
        </w:tc>
        <w:tc>
          <w:tcPr>
            <w:tcW w:w="1160" w:type="dxa"/>
            <w:vAlign w:val="bottom"/>
            <w:gridSpan w:val="2"/>
            <w:shd w:val="clear" w:color="auto" w:fill="CCFFCC"/>
          </w:tcPr>
          <w:p>
            <w:pPr>
              <w:jc w:val="right"/>
              <w:ind w:right="208"/>
              <w:spacing w:after="0" w:line="142" w:lineRule="exact"/>
              <w:rPr>
                <w:sz w:val="20"/>
                <w:szCs w:val="20"/>
                <w:color w:val="auto"/>
              </w:rPr>
            </w:pPr>
            <w:r>
              <w:rPr>
                <w:rFonts w:ascii="Arial" w:cs="Arial" w:eastAsia="Arial" w:hAnsi="Arial"/>
                <w:sz w:val="14"/>
                <w:szCs w:val="14"/>
                <w:color w:val="auto"/>
              </w:rPr>
              <w:t>11.1%</w:t>
            </w:r>
          </w:p>
        </w:tc>
        <w:tc>
          <w:tcPr>
            <w:tcW w:w="1020" w:type="dxa"/>
            <w:vAlign w:val="bottom"/>
            <w:gridSpan w:val="2"/>
            <w:shd w:val="clear" w:color="auto" w:fill="CCFFCC"/>
          </w:tcPr>
          <w:p>
            <w:pPr>
              <w:ind w:left="540"/>
              <w:spacing w:after="0" w:line="142" w:lineRule="exact"/>
              <w:rPr>
                <w:sz w:val="20"/>
                <w:szCs w:val="20"/>
                <w:color w:val="auto"/>
              </w:rPr>
            </w:pPr>
            <w:r>
              <w:rPr>
                <w:rFonts w:ascii="Arial" w:cs="Arial" w:eastAsia="Arial" w:hAnsi="Arial"/>
                <w:sz w:val="14"/>
                <w:szCs w:val="14"/>
                <w:color w:val="auto"/>
              </w:rPr>
              <w:t>-1.0%</w:t>
            </w:r>
          </w:p>
        </w:tc>
        <w:tc>
          <w:tcPr>
            <w:tcW w:w="900" w:type="dxa"/>
            <w:vAlign w:val="bottom"/>
            <w:gridSpan w:val="2"/>
            <w:shd w:val="clear" w:color="auto" w:fill="CCFFCC"/>
          </w:tcPr>
          <w:p>
            <w:pPr>
              <w:ind w:left="500"/>
              <w:spacing w:after="0" w:line="142" w:lineRule="exact"/>
              <w:rPr>
                <w:sz w:val="20"/>
                <w:szCs w:val="20"/>
                <w:color w:val="auto"/>
              </w:rPr>
            </w:pPr>
            <w:r>
              <w:rPr>
                <w:rFonts w:ascii="Arial" w:cs="Arial" w:eastAsia="Arial" w:hAnsi="Arial"/>
                <w:sz w:val="14"/>
                <w:szCs w:val="14"/>
                <w:color w:val="auto"/>
                <w:w w:val="95"/>
              </w:rPr>
              <w:t>16.7%</w:t>
            </w:r>
          </w:p>
        </w:tc>
      </w:tr>
      <w:tr>
        <w:trPr>
          <w:trHeight w:val="162"/>
        </w:trPr>
        <w:tc>
          <w:tcPr>
            <w:tcW w:w="3000" w:type="dxa"/>
            <w:vAlign w:val="bottom"/>
            <w:gridSpan w:val="2"/>
          </w:tcPr>
          <w:p>
            <w:pPr>
              <w:spacing w:after="0"/>
              <w:rPr>
                <w:sz w:val="20"/>
                <w:szCs w:val="20"/>
                <w:color w:val="auto"/>
              </w:rPr>
            </w:pPr>
            <w:r>
              <w:rPr>
                <w:rFonts w:ascii="Arial" w:cs="Arial" w:eastAsia="Arial" w:hAnsi="Arial"/>
                <w:sz w:val="14"/>
                <w:szCs w:val="14"/>
                <w:color w:val="auto"/>
              </w:rPr>
              <w:t>Adjusted Interest Expenses (1)</w:t>
            </w:r>
          </w:p>
        </w:tc>
        <w:tc>
          <w:tcPr>
            <w:tcW w:w="1000" w:type="dxa"/>
            <w:vAlign w:val="bottom"/>
            <w:gridSpan w:val="2"/>
          </w:tcPr>
          <w:p>
            <w:pPr>
              <w:ind w:left="560"/>
              <w:spacing w:after="0"/>
              <w:rPr>
                <w:sz w:val="20"/>
                <w:szCs w:val="20"/>
                <w:color w:val="auto"/>
              </w:rPr>
            </w:pPr>
            <w:r>
              <w:rPr>
                <w:rFonts w:ascii="Arial" w:cs="Arial" w:eastAsia="Arial" w:hAnsi="Arial"/>
                <w:sz w:val="14"/>
                <w:szCs w:val="14"/>
                <w:color w:val="auto"/>
              </w:rPr>
              <w:t>7.9%</w:t>
            </w:r>
          </w:p>
        </w:tc>
        <w:tc>
          <w:tcPr>
            <w:tcW w:w="1180" w:type="dxa"/>
            <w:vAlign w:val="bottom"/>
            <w:gridSpan w:val="2"/>
          </w:tcPr>
          <w:p>
            <w:pPr>
              <w:ind w:left="480"/>
              <w:spacing w:after="0"/>
              <w:rPr>
                <w:sz w:val="20"/>
                <w:szCs w:val="20"/>
                <w:color w:val="auto"/>
              </w:rPr>
            </w:pPr>
            <w:r>
              <w:rPr>
                <w:rFonts w:ascii="Arial" w:cs="Arial" w:eastAsia="Arial" w:hAnsi="Arial"/>
                <w:sz w:val="14"/>
                <w:szCs w:val="14"/>
                <w:color w:val="auto"/>
              </w:rPr>
              <w:t>21.9%  à</w:t>
            </w:r>
          </w:p>
        </w:tc>
        <w:tc>
          <w:tcPr>
            <w:tcW w:w="1000" w:type="dxa"/>
            <w:vAlign w:val="bottom"/>
            <w:gridSpan w:val="2"/>
          </w:tcPr>
          <w:p>
            <w:pPr>
              <w:jc w:val="right"/>
              <w:ind w:right="68"/>
              <w:spacing w:after="0"/>
              <w:rPr>
                <w:sz w:val="20"/>
                <w:szCs w:val="20"/>
                <w:color w:val="auto"/>
              </w:rPr>
            </w:pPr>
            <w:r>
              <w:rPr>
                <w:rFonts w:ascii="Arial" w:cs="Arial" w:eastAsia="Arial" w:hAnsi="Arial"/>
                <w:sz w:val="14"/>
                <w:szCs w:val="14"/>
                <w:color w:val="auto"/>
              </w:rPr>
              <w:t>0.5%</w:t>
            </w:r>
          </w:p>
        </w:tc>
        <w:tc>
          <w:tcPr>
            <w:tcW w:w="1160" w:type="dxa"/>
            <w:vAlign w:val="bottom"/>
            <w:gridSpan w:val="2"/>
          </w:tcPr>
          <w:p>
            <w:pPr>
              <w:ind w:left="500"/>
              <w:spacing w:after="0"/>
              <w:rPr>
                <w:sz w:val="20"/>
                <w:szCs w:val="20"/>
                <w:color w:val="auto"/>
              </w:rPr>
            </w:pPr>
            <w:r>
              <w:rPr>
                <w:rFonts w:ascii="Arial" w:cs="Arial" w:eastAsia="Arial" w:hAnsi="Arial"/>
                <w:sz w:val="14"/>
                <w:szCs w:val="14"/>
                <w:color w:val="auto"/>
              </w:rPr>
              <w:t>17.0%  +</w:t>
            </w:r>
          </w:p>
        </w:tc>
        <w:tc>
          <w:tcPr>
            <w:tcW w:w="1000" w:type="dxa"/>
            <w:vAlign w:val="bottom"/>
            <w:gridSpan w:val="2"/>
          </w:tcPr>
          <w:p>
            <w:pPr>
              <w:ind w:left="520"/>
              <w:spacing w:after="0"/>
              <w:rPr>
                <w:sz w:val="20"/>
                <w:szCs w:val="20"/>
                <w:color w:val="auto"/>
              </w:rPr>
            </w:pPr>
            <w:r>
              <w:rPr>
                <w:rFonts w:ascii="Arial" w:cs="Arial" w:eastAsia="Arial" w:hAnsi="Arial"/>
                <w:sz w:val="14"/>
                <w:szCs w:val="14"/>
                <w:color w:val="auto"/>
              </w:rPr>
              <w:t>-2.2%</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18.2%  =</w:t>
            </w:r>
          </w:p>
        </w:tc>
        <w:tc>
          <w:tcPr>
            <w:tcW w:w="1020" w:type="dxa"/>
            <w:vAlign w:val="bottom"/>
            <w:gridSpan w:val="2"/>
          </w:tcPr>
          <w:p>
            <w:pPr>
              <w:ind w:left="540"/>
              <w:spacing w:after="0"/>
              <w:rPr>
                <w:sz w:val="20"/>
                <w:szCs w:val="20"/>
                <w:color w:val="auto"/>
              </w:rPr>
            </w:pPr>
            <w:r>
              <w:rPr>
                <w:rFonts w:ascii="Arial" w:cs="Arial" w:eastAsia="Arial" w:hAnsi="Arial"/>
                <w:sz w:val="14"/>
                <w:szCs w:val="14"/>
                <w:color w:val="auto"/>
              </w:rPr>
              <w:t>-1.2%</w:t>
            </w:r>
          </w:p>
        </w:tc>
        <w:tc>
          <w:tcPr>
            <w:tcW w:w="900" w:type="dxa"/>
            <w:vAlign w:val="bottom"/>
            <w:gridSpan w:val="2"/>
          </w:tcPr>
          <w:p>
            <w:pPr>
              <w:ind w:left="500"/>
              <w:spacing w:after="0"/>
              <w:rPr>
                <w:sz w:val="20"/>
                <w:szCs w:val="20"/>
                <w:color w:val="auto"/>
              </w:rPr>
            </w:pPr>
            <w:r>
              <w:rPr>
                <w:rFonts w:ascii="Arial" w:cs="Arial" w:eastAsia="Arial" w:hAnsi="Arial"/>
                <w:sz w:val="14"/>
                <w:szCs w:val="14"/>
                <w:color w:val="auto"/>
                <w:w w:val="95"/>
              </w:rPr>
              <w:t>16.9%</w:t>
            </w:r>
          </w:p>
        </w:tc>
      </w:tr>
      <w:tr>
        <w:trPr>
          <w:trHeight w:val="142"/>
        </w:trPr>
        <w:tc>
          <w:tcPr>
            <w:tcW w:w="3000" w:type="dxa"/>
            <w:vAlign w:val="bottom"/>
            <w:tcBorders>
              <w:top w:val="single" w:sz="8" w:color="CCFFCC"/>
            </w:tcBorders>
            <w:gridSpan w:val="2"/>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Ajusted Net interest income (1) (2)</w:t>
            </w:r>
          </w:p>
        </w:tc>
        <w:tc>
          <w:tcPr>
            <w:tcW w:w="740" w:type="dxa"/>
            <w:vAlign w:val="bottom"/>
            <w:tcBorders>
              <w:top w:val="single" w:sz="8" w:color="auto"/>
              <w:bottom w:val="single" w:sz="8" w:color="auto"/>
            </w:tcBorders>
            <w:shd w:val="clear" w:color="auto" w:fill="CCFFCC"/>
          </w:tcPr>
          <w:p>
            <w:pPr>
              <w:ind w:left="560"/>
              <w:spacing w:after="0" w:line="142" w:lineRule="exact"/>
              <w:rPr>
                <w:sz w:val="20"/>
                <w:szCs w:val="20"/>
                <w:color w:val="auto"/>
              </w:rPr>
            </w:pPr>
            <w:r>
              <w:rPr>
                <w:rFonts w:ascii="Arial" w:cs="Arial" w:eastAsia="Arial" w:hAnsi="Arial"/>
                <w:sz w:val="14"/>
                <w:szCs w:val="14"/>
                <w:b w:val="1"/>
                <w:bCs w:val="1"/>
                <w:color w:val="auto"/>
                <w:w w:val="81"/>
              </w:rPr>
              <w:t>4.7</w:t>
            </w:r>
          </w:p>
        </w:tc>
        <w:tc>
          <w:tcPr>
            <w:tcW w:w="260" w:type="dxa"/>
            <w:vAlign w:val="bottom"/>
            <w:tcBorders>
              <w:top w:val="single" w:sz="8" w:color="CCFFCC"/>
            </w:tcBorders>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740" w:type="dxa"/>
            <w:vAlign w:val="bottom"/>
            <w:tcBorders>
              <w:top w:val="single" w:sz="8" w:color="auto"/>
              <w:bottom w:val="single" w:sz="8" w:color="auto"/>
            </w:tcBorders>
            <w:shd w:val="clear" w:color="auto" w:fill="CCFFCC"/>
          </w:tcPr>
          <w:p>
            <w:pPr>
              <w:ind w:left="480"/>
              <w:spacing w:after="0" w:line="142" w:lineRule="exact"/>
              <w:rPr>
                <w:sz w:val="20"/>
                <w:szCs w:val="20"/>
                <w:color w:val="auto"/>
              </w:rPr>
            </w:pPr>
            <w:r>
              <w:rPr>
                <w:rFonts w:ascii="Arial" w:cs="Arial" w:eastAsia="Arial" w:hAnsi="Arial"/>
                <w:sz w:val="14"/>
                <w:szCs w:val="14"/>
                <w:b w:val="1"/>
                <w:bCs w:val="1"/>
                <w:color w:val="auto"/>
                <w:w w:val="87"/>
              </w:rPr>
              <w:t>20.4</w:t>
            </w:r>
          </w:p>
        </w:tc>
        <w:tc>
          <w:tcPr>
            <w:tcW w:w="440" w:type="dxa"/>
            <w:vAlign w:val="bottom"/>
            <w:tcBorders>
              <w:top w:val="single" w:sz="8" w:color="CCFFCC"/>
            </w:tcBorders>
            <w:shd w:val="clear" w:color="auto" w:fill="CCFFCC"/>
          </w:tcPr>
          <w:p>
            <w:pPr>
              <w:jc w:val="right"/>
              <w:ind w:right="228"/>
              <w:spacing w:after="0" w:line="142" w:lineRule="exact"/>
              <w:rPr>
                <w:sz w:val="20"/>
                <w:szCs w:val="20"/>
                <w:color w:val="auto"/>
              </w:rPr>
            </w:pPr>
            <w:r>
              <w:rPr>
                <w:rFonts w:ascii="Arial" w:cs="Arial" w:eastAsia="Arial" w:hAnsi="Arial"/>
                <w:sz w:val="14"/>
                <w:szCs w:val="14"/>
                <w:b w:val="1"/>
                <w:bCs w:val="1"/>
                <w:color w:val="auto"/>
                <w:w w:val="96"/>
              </w:rPr>
              <w:t>%</w:t>
            </w:r>
          </w:p>
        </w:tc>
        <w:tc>
          <w:tcPr>
            <w:tcW w:w="7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-2.6</w:t>
            </w:r>
          </w:p>
        </w:tc>
        <w:tc>
          <w:tcPr>
            <w:tcW w:w="260" w:type="dxa"/>
            <w:vAlign w:val="bottom"/>
            <w:tcBorders>
              <w:top w:val="single" w:sz="8" w:color="CCFFCC"/>
            </w:tcBorders>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760" w:type="dxa"/>
            <w:vAlign w:val="bottom"/>
            <w:tcBorders>
              <w:top w:val="single" w:sz="8" w:color="auto"/>
              <w:bottom w:val="single" w:sz="8" w:color="auto"/>
            </w:tcBorders>
            <w:shd w:val="clear" w:color="auto" w:fill="CCFFCC"/>
          </w:tcPr>
          <w:p>
            <w:pPr>
              <w:ind w:left="500"/>
              <w:spacing w:after="0" w:line="142" w:lineRule="exact"/>
              <w:rPr>
                <w:sz w:val="20"/>
                <w:szCs w:val="20"/>
                <w:color w:val="auto"/>
              </w:rPr>
            </w:pPr>
            <w:r>
              <w:rPr>
                <w:rFonts w:ascii="Arial" w:cs="Arial" w:eastAsia="Arial" w:hAnsi="Arial"/>
                <w:sz w:val="14"/>
                <w:szCs w:val="14"/>
                <w:b w:val="1"/>
                <w:bCs w:val="1"/>
                <w:color w:val="auto"/>
                <w:w w:val="87"/>
              </w:rPr>
              <w:t>15.6</w:t>
            </w:r>
          </w:p>
        </w:tc>
        <w:tc>
          <w:tcPr>
            <w:tcW w:w="400" w:type="dxa"/>
            <w:vAlign w:val="bottom"/>
            <w:tcBorders>
              <w:top w:val="single" w:sz="8" w:color="CCFFCC"/>
            </w:tcBorders>
            <w:shd w:val="clear" w:color="auto" w:fill="CCFFCC"/>
          </w:tcPr>
          <w:p>
            <w:pPr>
              <w:jc w:val="right"/>
              <w:ind w:right="188"/>
              <w:spacing w:after="0" w:line="142" w:lineRule="exact"/>
              <w:rPr>
                <w:sz w:val="20"/>
                <w:szCs w:val="20"/>
                <w:color w:val="auto"/>
              </w:rPr>
            </w:pPr>
            <w:r>
              <w:rPr>
                <w:rFonts w:ascii="Arial" w:cs="Arial" w:eastAsia="Arial" w:hAnsi="Arial"/>
                <w:sz w:val="14"/>
                <w:szCs w:val="14"/>
                <w:b w:val="1"/>
                <w:bCs w:val="1"/>
                <w:color w:val="auto"/>
                <w:w w:val="96"/>
              </w:rPr>
              <w:t>%</w:t>
            </w:r>
          </w:p>
        </w:tc>
        <w:tc>
          <w:tcPr>
            <w:tcW w:w="740" w:type="dxa"/>
            <w:vAlign w:val="bottom"/>
            <w:tcBorders>
              <w:top w:val="single" w:sz="8" w:color="auto"/>
              <w:bottom w:val="single" w:sz="8" w:color="auto"/>
            </w:tcBorders>
            <w:shd w:val="clear" w:color="auto" w:fill="CCFFCC"/>
          </w:tcPr>
          <w:p>
            <w:pPr>
              <w:ind w:left="520"/>
              <w:spacing w:after="0" w:line="142" w:lineRule="exact"/>
              <w:rPr>
                <w:sz w:val="20"/>
                <w:szCs w:val="20"/>
                <w:color w:val="auto"/>
              </w:rPr>
            </w:pPr>
            <w:r>
              <w:rPr>
                <w:rFonts w:ascii="Arial" w:cs="Arial" w:eastAsia="Arial" w:hAnsi="Arial"/>
                <w:sz w:val="14"/>
                <w:szCs w:val="14"/>
                <w:b w:val="1"/>
                <w:bCs w:val="1"/>
                <w:color w:val="auto"/>
                <w:w w:val="82"/>
              </w:rPr>
              <w:t>-8.7</w:t>
            </w:r>
          </w:p>
        </w:tc>
        <w:tc>
          <w:tcPr>
            <w:tcW w:w="260" w:type="dxa"/>
            <w:vAlign w:val="bottom"/>
            <w:tcBorders>
              <w:top w:val="single" w:sz="8" w:color="CCFFCC"/>
            </w:tcBorders>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7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2.7</w:t>
            </w:r>
          </w:p>
        </w:tc>
        <w:tc>
          <w:tcPr>
            <w:tcW w:w="400" w:type="dxa"/>
            <w:vAlign w:val="bottom"/>
            <w:tcBorders>
              <w:top w:val="single" w:sz="8" w:color="CCFFCC"/>
            </w:tcBorders>
            <w:shd w:val="clear" w:color="auto" w:fill="CCFFCC"/>
          </w:tcPr>
          <w:p>
            <w:pPr>
              <w:jc w:val="right"/>
              <w:ind w:right="188"/>
              <w:spacing w:after="0" w:line="142" w:lineRule="exact"/>
              <w:rPr>
                <w:sz w:val="20"/>
                <w:szCs w:val="20"/>
                <w:color w:val="auto"/>
              </w:rPr>
            </w:pPr>
            <w:r>
              <w:rPr>
                <w:rFonts w:ascii="Arial" w:cs="Arial" w:eastAsia="Arial" w:hAnsi="Arial"/>
                <w:sz w:val="14"/>
                <w:szCs w:val="14"/>
                <w:b w:val="1"/>
                <w:bCs w:val="1"/>
                <w:color w:val="auto"/>
                <w:w w:val="96"/>
              </w:rPr>
              <w:t>%</w:t>
            </w:r>
          </w:p>
        </w:tc>
        <w:tc>
          <w:tcPr>
            <w:tcW w:w="760" w:type="dxa"/>
            <w:vAlign w:val="bottom"/>
            <w:tcBorders>
              <w:top w:val="single" w:sz="8" w:color="auto"/>
              <w:bottom w:val="single" w:sz="8" w:color="auto"/>
            </w:tcBorders>
            <w:shd w:val="clear" w:color="auto" w:fill="CCFFCC"/>
          </w:tcPr>
          <w:p>
            <w:pPr>
              <w:ind w:left="540"/>
              <w:spacing w:after="0" w:line="142" w:lineRule="exact"/>
              <w:rPr>
                <w:sz w:val="20"/>
                <w:szCs w:val="20"/>
                <w:color w:val="auto"/>
              </w:rPr>
            </w:pPr>
            <w:r>
              <w:rPr>
                <w:rFonts w:ascii="Arial" w:cs="Arial" w:eastAsia="Arial" w:hAnsi="Arial"/>
                <w:sz w:val="14"/>
                <w:szCs w:val="14"/>
                <w:b w:val="1"/>
                <w:bCs w:val="1"/>
                <w:color w:val="auto"/>
                <w:w w:val="82"/>
              </w:rPr>
              <w:t>-0.9</w:t>
            </w:r>
          </w:p>
        </w:tc>
        <w:tc>
          <w:tcPr>
            <w:tcW w:w="260" w:type="dxa"/>
            <w:vAlign w:val="bottom"/>
            <w:tcBorders>
              <w:top w:val="single" w:sz="8" w:color="CCFFCC"/>
            </w:tcBorders>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760" w:type="dxa"/>
            <w:vAlign w:val="bottom"/>
            <w:tcBorders>
              <w:top w:val="single" w:sz="8" w:color="auto"/>
              <w:bottom w:val="single" w:sz="8" w:color="auto"/>
            </w:tcBorders>
            <w:shd w:val="clear" w:color="auto" w:fill="CCFFCC"/>
          </w:tcPr>
          <w:p>
            <w:pPr>
              <w:ind w:left="500"/>
              <w:spacing w:after="0" w:line="142" w:lineRule="exact"/>
              <w:rPr>
                <w:sz w:val="20"/>
                <w:szCs w:val="20"/>
                <w:color w:val="auto"/>
              </w:rPr>
            </w:pPr>
            <w:r>
              <w:rPr>
                <w:rFonts w:ascii="Arial" w:cs="Arial" w:eastAsia="Arial" w:hAnsi="Arial"/>
                <w:sz w:val="14"/>
                <w:szCs w:val="14"/>
                <w:b w:val="1"/>
                <w:bCs w:val="1"/>
                <w:color w:val="auto"/>
                <w:w w:val="87"/>
              </w:rPr>
              <w:t>16.7</w:t>
            </w:r>
          </w:p>
        </w:tc>
        <w:tc>
          <w:tcPr>
            <w:tcW w:w="14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r>
      <w:tr>
        <w:trPr>
          <w:trHeight w:val="171"/>
        </w:trPr>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Reported Net interest income (3)</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ind w:left="540"/>
              <w:spacing w:after="0"/>
              <w:rPr>
                <w:sz w:val="20"/>
                <w:szCs w:val="20"/>
                <w:color w:val="auto"/>
              </w:rPr>
            </w:pPr>
            <w:r>
              <w:rPr>
                <w:rFonts w:ascii="Arial" w:cs="Arial" w:eastAsia="Arial" w:hAnsi="Arial"/>
                <w:sz w:val="14"/>
                <w:szCs w:val="14"/>
                <w:b w:val="1"/>
                <w:bCs w:val="1"/>
                <w:color w:val="auto"/>
                <w:w w:val="82"/>
              </w:rPr>
              <w:t>-1.6</w:t>
            </w:r>
          </w:p>
        </w:tc>
        <w:tc>
          <w:tcPr>
            <w:tcW w:w="260" w:type="dxa"/>
            <w:vAlign w:val="bottom"/>
          </w:tcPr>
          <w:p>
            <w:pPr>
              <w:jc w:val="right"/>
              <w:ind w:right="48"/>
              <w:spacing w:after="0"/>
              <w:rPr>
                <w:sz w:val="20"/>
                <w:szCs w:val="20"/>
                <w:color w:val="auto"/>
              </w:rPr>
            </w:pPr>
            <w:r>
              <w:rPr>
                <w:rFonts w:ascii="Arial" w:cs="Arial" w:eastAsia="Arial" w:hAnsi="Arial"/>
                <w:sz w:val="14"/>
                <w:szCs w:val="14"/>
                <w:b w:val="1"/>
                <w:bCs w:val="1"/>
                <w:color w:val="auto"/>
                <w:w w:val="96"/>
              </w:rPr>
              <w:t>%</w:t>
            </w:r>
          </w:p>
        </w:tc>
        <w:tc>
          <w:tcPr>
            <w:tcW w:w="760" w:type="dxa"/>
            <w:vAlign w:val="bottom"/>
          </w:tcPr>
          <w:p>
            <w:pPr>
              <w:ind w:left="500"/>
              <w:spacing w:after="0"/>
              <w:rPr>
                <w:sz w:val="20"/>
                <w:szCs w:val="20"/>
                <w:color w:val="auto"/>
              </w:rPr>
            </w:pPr>
            <w:r>
              <w:rPr>
                <w:rFonts w:ascii="Arial" w:cs="Arial" w:eastAsia="Arial" w:hAnsi="Arial"/>
                <w:sz w:val="14"/>
                <w:szCs w:val="14"/>
                <w:b w:val="1"/>
                <w:bCs w:val="1"/>
                <w:color w:val="auto"/>
                <w:w w:val="87"/>
              </w:rPr>
              <w:t>14.1</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6033770</wp:posOffset>
            </wp:positionH>
            <wp:positionV relativeFrom="paragraph">
              <wp:posOffset>-8890</wp:posOffset>
            </wp:positionV>
            <wp:extent cx="11233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 Converted at US Dollars at Q-end exchange rate.</w:t>
      </w:r>
    </w:p>
    <w:p>
      <w:pPr>
        <w:spacing w:after="0" w:line="7"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Interest income reported - Other income. Other income includes gain on valuation of derivatives generated by the devaluation of the Nuevo Sol.</w:t>
      </w:r>
    </w:p>
    <w:p>
      <w:pPr>
        <w:spacing w:after="0" w:line="20" w:lineRule="exact"/>
        <w:rPr>
          <w:rFonts w:ascii="Arial" w:cs="Arial" w:eastAsia="Arial" w:hAnsi="Arial"/>
          <w:sz w:val="17"/>
          <w:szCs w:val="17"/>
          <w:i w:val="1"/>
          <w:iCs w:val="1"/>
          <w:color w:val="auto"/>
        </w:rPr>
      </w:pPr>
    </w:p>
    <w:p>
      <w:pPr>
        <w:ind w:right="120" w:firstLine="8"/>
        <w:spacing w:after="0" w:line="250" w:lineRule="auto"/>
        <w:tabs>
          <w:tab w:leader="none" w:pos="255"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Interest expenses reported - Other expenses. Other expenses includes the loss in valuation of derivatives linked to the loss in structural forward contracts for US$ 32.9 million in 2Q13 and US$ 11.7 million in 1Q13.</w:t>
      </w:r>
    </w:p>
    <w:p>
      <w:pPr>
        <w:ind w:left="260" w:hanging="252"/>
        <w:spacing w:after="0"/>
        <w:tabs>
          <w:tab w:leader="none" w:pos="2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Figures with total results expressed in US Dollar IFRS.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8" w:name="page19"/>
    <w:bookmarkEnd w:id="18"/>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The following table shows the breakdown by currency and item of interest income and expense, besides the QoQ and YoY changes of each component: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8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Local Currency</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80" w:type="dxa"/>
            <w:vAlign w:val="bottom"/>
            <w:gridSpan w:val="4"/>
          </w:tcPr>
          <w:p>
            <w:pPr>
              <w:jc w:val="right"/>
              <w:spacing w:after="0"/>
              <w:rPr>
                <w:sz w:val="20"/>
                <w:szCs w:val="20"/>
                <w:color w:val="auto"/>
              </w:rPr>
            </w:pPr>
            <w:r>
              <w:rPr>
                <w:rFonts w:ascii="Arial" w:cs="Arial" w:eastAsia="Arial" w:hAnsi="Arial"/>
                <w:sz w:val="18"/>
                <w:szCs w:val="18"/>
                <w:b w:val="1"/>
                <w:bCs w:val="1"/>
                <w:color w:val="auto"/>
                <w:w w:val="93"/>
              </w:rPr>
              <w:t>Foreign Currency</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Change in income and expenses</w:t>
            </w:r>
          </w:p>
        </w:tc>
        <w:tc>
          <w:tcPr>
            <w:tcW w:w="1460" w:type="dxa"/>
            <w:vAlign w:val="bottom"/>
            <w:gridSpan w:val="3"/>
          </w:tcPr>
          <w:p>
            <w:pPr>
              <w:ind w:left="640"/>
              <w:spacing w:after="0"/>
              <w:rPr>
                <w:sz w:val="20"/>
                <w:szCs w:val="20"/>
                <w:color w:val="auto"/>
              </w:rPr>
            </w:pPr>
            <w:r>
              <w:rPr>
                <w:rFonts w:ascii="Arial" w:cs="Arial" w:eastAsia="Arial" w:hAnsi="Arial"/>
                <w:sz w:val="18"/>
                <w:szCs w:val="18"/>
                <w:b w:val="1"/>
                <w:bCs w:val="1"/>
                <w:color w:val="auto"/>
                <w:w w:val="91"/>
              </w:rPr>
              <w:t>Change %</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Part. %</w:t>
            </w:r>
          </w:p>
        </w:tc>
        <w:tc>
          <w:tcPr>
            <w:tcW w:w="1460" w:type="dxa"/>
            <w:vAlign w:val="bottom"/>
            <w:gridSpan w:val="3"/>
          </w:tcPr>
          <w:p>
            <w:pPr>
              <w:ind w:left="640"/>
              <w:spacing w:after="0"/>
              <w:rPr>
                <w:sz w:val="20"/>
                <w:szCs w:val="20"/>
                <w:color w:val="auto"/>
              </w:rPr>
            </w:pPr>
            <w:r>
              <w:rPr>
                <w:rFonts w:ascii="Arial" w:cs="Arial" w:eastAsia="Arial" w:hAnsi="Arial"/>
                <w:sz w:val="18"/>
                <w:szCs w:val="18"/>
                <w:b w:val="1"/>
                <w:bCs w:val="1"/>
                <w:color w:val="auto"/>
                <w:w w:val="91"/>
              </w:rPr>
              <w:t>Change %</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Part. %</w:t>
            </w:r>
          </w:p>
        </w:tc>
      </w:tr>
      <w:tr>
        <w:trPr>
          <w:trHeight w:val="234"/>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by the currency in which they were generated</w:t>
            </w:r>
          </w:p>
        </w:tc>
        <w:tc>
          <w:tcPr>
            <w:tcW w:w="100" w:type="dxa"/>
            <w:vAlign w:val="bottom"/>
            <w:tcBorders>
              <w:bottom w:val="single" w:sz="8" w:color="CCFFCC"/>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5"/>
              </w:rPr>
              <w:t>YoY</w:t>
            </w:r>
          </w:p>
        </w:tc>
        <w:tc>
          <w:tcPr>
            <w:tcW w:w="280" w:type="dxa"/>
            <w:vAlign w:val="bottom"/>
            <w:tcBorders>
              <w:bottom w:val="single" w:sz="8" w:color="CCFFCC"/>
            </w:tcBorders>
          </w:tcPr>
          <w:p>
            <w:pPr>
              <w:spacing w:after="0"/>
              <w:rPr>
                <w:sz w:val="20"/>
                <w:szCs w:val="20"/>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2Q13</w:t>
            </w:r>
          </w:p>
        </w:tc>
        <w:tc>
          <w:tcPr>
            <w:tcW w:w="300" w:type="dxa"/>
            <w:vAlign w:val="bottom"/>
            <w:tcBorders>
              <w:bottom w:val="single" w:sz="8" w:color="CCFFCC"/>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1"/>
              </w:rPr>
              <w:t>YoY</w:t>
            </w:r>
          </w:p>
        </w:tc>
        <w:tc>
          <w:tcPr>
            <w:tcW w:w="300" w:type="dxa"/>
            <w:vAlign w:val="bottom"/>
            <w:tcBorders>
              <w:bottom w:val="single" w:sz="8" w:color="CCFFCC"/>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2Q13</w:t>
            </w:r>
          </w:p>
        </w:tc>
        <w:tc>
          <w:tcPr>
            <w:tcW w:w="180" w:type="dxa"/>
            <w:vAlign w:val="bottom"/>
            <w:tcBorders>
              <w:bottom w:val="single" w:sz="8" w:color="CCFFCC"/>
            </w:tcBorders>
          </w:tcPr>
          <w:p>
            <w:pPr>
              <w:spacing w:after="0"/>
              <w:rPr>
                <w:sz w:val="20"/>
                <w:szCs w:val="20"/>
                <w:color w:val="auto"/>
              </w:rPr>
            </w:pPr>
          </w:p>
        </w:tc>
      </w:tr>
      <w:tr>
        <w:trPr>
          <w:trHeight w:val="210"/>
        </w:trPr>
        <w:tc>
          <w:tcPr>
            <w:tcW w:w="43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Adjusted Interest income (1)</w:t>
            </w:r>
          </w:p>
        </w:tc>
        <w:tc>
          <w:tcPr>
            <w:tcW w:w="1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b w:val="1"/>
                <w:bCs w:val="1"/>
                <w:color w:val="auto"/>
              </w:rPr>
              <w:t>5.3%</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b w:val="1"/>
                <w:bCs w:val="1"/>
                <w:color w:val="auto"/>
              </w:rPr>
              <w:t>20.6%</w:t>
            </w:r>
          </w:p>
        </w:tc>
        <w:tc>
          <w:tcPr>
            <w:tcW w:w="11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b w:val="1"/>
                <w:bCs w:val="1"/>
                <w:color w:val="auto"/>
              </w:rPr>
              <w:t>73.3%</w:t>
            </w:r>
          </w:p>
        </w:tc>
        <w:tc>
          <w:tcPr>
            <w:tcW w:w="120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b w:val="1"/>
                <w:bCs w:val="1"/>
                <w:color w:val="auto"/>
              </w:rPr>
              <w:t>-5.1%</w:t>
            </w:r>
          </w:p>
        </w:tc>
        <w:tc>
          <w:tcPr>
            <w:tcW w:w="26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b w:val="1"/>
                <w:bCs w:val="1"/>
                <w:color w:val="auto"/>
              </w:rPr>
              <w:t>11.1%</w:t>
            </w: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26.7%</w:t>
            </w:r>
          </w:p>
        </w:tc>
      </w:tr>
      <w:tr>
        <w:trPr>
          <w:trHeight w:val="216"/>
        </w:trPr>
        <w:tc>
          <w:tcPr>
            <w:tcW w:w="4420" w:type="dxa"/>
            <w:vAlign w:val="bottom"/>
            <w:gridSpan w:val="2"/>
          </w:tcPr>
          <w:p>
            <w:pPr>
              <w:ind w:left="180"/>
              <w:spacing w:after="0"/>
              <w:rPr>
                <w:sz w:val="20"/>
                <w:szCs w:val="20"/>
                <w:color w:val="auto"/>
              </w:rPr>
            </w:pPr>
            <w:r>
              <w:rPr>
                <w:rFonts w:ascii="Arial" w:cs="Arial" w:eastAsia="Arial" w:hAnsi="Arial"/>
                <w:sz w:val="18"/>
                <w:szCs w:val="18"/>
                <w:color w:val="auto"/>
              </w:rPr>
              <w:t>Interest on loans</w:t>
            </w: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8"/>
                <w:szCs w:val="18"/>
                <w:color w:val="auto"/>
              </w:rPr>
            </w:pPr>
          </w:p>
        </w:tc>
        <w:tc>
          <w:tcPr>
            <w:tcW w:w="900" w:type="dxa"/>
            <w:vAlign w:val="bottom"/>
            <w:gridSpan w:val="2"/>
          </w:tcPr>
          <w:p>
            <w:pPr>
              <w:jc w:val="right"/>
              <w:ind w:right="50"/>
              <w:spacing w:after="0"/>
              <w:rPr>
                <w:sz w:val="20"/>
                <w:szCs w:val="20"/>
                <w:color w:val="auto"/>
              </w:rPr>
            </w:pPr>
            <w:r>
              <w:rPr>
                <w:rFonts w:ascii="Arial" w:cs="Arial" w:eastAsia="Arial" w:hAnsi="Arial"/>
                <w:sz w:val="18"/>
                <w:szCs w:val="18"/>
                <w:color w:val="auto"/>
              </w:rPr>
              <w:t>22.4%</w:t>
            </w: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72.4%</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rPr>
              <w:t>13.5%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27.6%</w:t>
            </w:r>
          </w:p>
        </w:tc>
      </w:tr>
      <w:tr>
        <w:trPr>
          <w:trHeight w:val="216"/>
        </w:trPr>
        <w:tc>
          <w:tcPr>
            <w:tcW w:w="44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Interest and dividends on investments</w:t>
            </w:r>
          </w:p>
        </w:tc>
        <w:tc>
          <w:tcPr>
            <w:tcW w:w="118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-100.0%</w:t>
            </w:r>
          </w:p>
        </w:tc>
        <w:tc>
          <w:tcPr>
            <w:tcW w:w="108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gridSpan w:val="2"/>
          </w:tcPr>
          <w:p>
            <w:pPr>
              <w:ind w:left="180"/>
              <w:spacing w:after="0"/>
              <w:rPr>
                <w:sz w:val="20"/>
                <w:szCs w:val="20"/>
                <w:color w:val="auto"/>
              </w:rPr>
            </w:pPr>
            <w:r>
              <w:rPr>
                <w:rFonts w:ascii="Arial" w:cs="Arial" w:eastAsia="Arial" w:hAnsi="Arial"/>
                <w:sz w:val="18"/>
                <w:szCs w:val="18"/>
                <w:color w:val="auto"/>
              </w:rPr>
              <w:t>Interest on deposits with banks</w:t>
            </w: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-19.1%</w:t>
            </w:r>
          </w:p>
        </w:tc>
        <w:tc>
          <w:tcPr>
            <w:tcW w:w="280" w:type="dxa"/>
            <w:vAlign w:val="bottom"/>
          </w:tcPr>
          <w:p>
            <w:pPr>
              <w:spacing w:after="0"/>
              <w:rPr>
                <w:sz w:val="18"/>
                <w:szCs w:val="18"/>
                <w:color w:val="auto"/>
              </w:rPr>
            </w:pPr>
          </w:p>
        </w:tc>
        <w:tc>
          <w:tcPr>
            <w:tcW w:w="900" w:type="dxa"/>
            <w:vAlign w:val="bottom"/>
            <w:gridSpan w:val="2"/>
          </w:tcPr>
          <w:p>
            <w:pPr>
              <w:jc w:val="right"/>
              <w:ind w:right="50"/>
              <w:spacing w:after="0"/>
              <w:rPr>
                <w:sz w:val="20"/>
                <w:szCs w:val="20"/>
                <w:color w:val="auto"/>
              </w:rPr>
            </w:pPr>
            <w:r>
              <w:rPr>
                <w:rFonts w:ascii="Arial" w:cs="Arial" w:eastAsia="Arial" w:hAnsi="Arial"/>
                <w:sz w:val="18"/>
                <w:szCs w:val="18"/>
                <w:color w:val="auto"/>
              </w:rPr>
              <w:t>15.5%</w:t>
            </w: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93.5%</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-58.6%</w:t>
            </w:r>
          </w:p>
        </w:tc>
        <w:tc>
          <w:tcPr>
            <w:tcW w:w="260" w:type="dxa"/>
            <w:vAlign w:val="bottom"/>
          </w:tcPr>
          <w:p>
            <w:pPr>
              <w:spacing w:after="0"/>
              <w:rPr>
                <w:sz w:val="18"/>
                <w:szCs w:val="18"/>
                <w:color w:val="auto"/>
              </w:rPr>
            </w:pP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rPr>
              <w:t>-76.1%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44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Interest on trading securities</w:t>
            </w:r>
          </w:p>
        </w:tc>
        <w:tc>
          <w:tcPr>
            <w:tcW w:w="118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14.9%</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5.3%</w:t>
            </w:r>
          </w:p>
        </w:tc>
        <w:tc>
          <w:tcPr>
            <w:tcW w:w="118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80.6%</w:t>
            </w:r>
          </w:p>
        </w:tc>
        <w:tc>
          <w:tcPr>
            <w:tcW w:w="12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-28.9%</w:t>
            </w:r>
          </w:p>
        </w:tc>
        <w:tc>
          <w:tcPr>
            <w:tcW w:w="26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-4.0%</w:t>
            </w: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19.4%</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Adjusted Interest expense (2)</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7.9%</w:t>
            </w:r>
          </w:p>
        </w:tc>
        <w:tc>
          <w:tcPr>
            <w:tcW w:w="280" w:type="dxa"/>
            <w:vAlign w:val="bottom"/>
          </w:tcPr>
          <w:p>
            <w:pPr>
              <w:spacing w:after="0"/>
              <w:rPr>
                <w:sz w:val="18"/>
                <w:szCs w:val="18"/>
                <w:color w:val="auto"/>
              </w:rPr>
            </w:pPr>
          </w:p>
        </w:tc>
        <w:tc>
          <w:tcPr>
            <w:tcW w:w="9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21.9%</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47.5%</w:t>
            </w:r>
          </w:p>
        </w:tc>
        <w:tc>
          <w:tcPr>
            <w:tcW w:w="12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-2.2%</w:t>
            </w:r>
          </w:p>
        </w:tc>
        <w:tc>
          <w:tcPr>
            <w:tcW w:w="260" w:type="dxa"/>
            <w:vAlign w:val="bottom"/>
          </w:tcPr>
          <w:p>
            <w:pPr>
              <w:spacing w:after="0"/>
              <w:rPr>
                <w:sz w:val="18"/>
                <w:szCs w:val="18"/>
                <w:color w:val="auto"/>
              </w:rPr>
            </w:pPr>
          </w:p>
        </w:tc>
        <w:tc>
          <w:tcPr>
            <w:tcW w:w="9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18.2%</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52.5%</w:t>
            </w:r>
          </w:p>
        </w:tc>
      </w:tr>
      <w:tr>
        <w:trPr>
          <w:trHeight w:val="216"/>
        </w:trPr>
        <w:tc>
          <w:tcPr>
            <w:tcW w:w="44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Interest on deposits</w:t>
            </w:r>
          </w:p>
        </w:tc>
        <w:tc>
          <w:tcPr>
            <w:tcW w:w="118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13.1%</w:t>
            </w:r>
          </w:p>
        </w:tc>
        <w:tc>
          <w:tcPr>
            <w:tcW w:w="118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78.8%</w:t>
            </w:r>
          </w:p>
        </w:tc>
        <w:tc>
          <w:tcPr>
            <w:tcW w:w="12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-33.7%</w:t>
            </w:r>
          </w:p>
        </w:tc>
        <w:tc>
          <w:tcPr>
            <w:tcW w:w="26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11.6%</w:t>
            </w: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21.2%</w:t>
            </w:r>
          </w:p>
        </w:tc>
      </w:tr>
      <w:tr>
        <w:trPr>
          <w:trHeight w:val="216"/>
        </w:trPr>
        <w:tc>
          <w:tcPr>
            <w:tcW w:w="4420" w:type="dxa"/>
            <w:vAlign w:val="bottom"/>
            <w:gridSpan w:val="2"/>
          </w:tcPr>
          <w:p>
            <w:pPr>
              <w:ind w:left="180"/>
              <w:spacing w:after="0"/>
              <w:rPr>
                <w:sz w:val="20"/>
                <w:szCs w:val="20"/>
                <w:color w:val="auto"/>
              </w:rPr>
            </w:pPr>
            <w:r>
              <w:rPr>
                <w:rFonts w:ascii="Arial" w:cs="Arial" w:eastAsia="Arial" w:hAnsi="Arial"/>
                <w:sz w:val="18"/>
                <w:szCs w:val="18"/>
                <w:color w:val="auto"/>
              </w:rPr>
              <w:t>Interest on borrowed funds</w:t>
            </w: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21.5%</w:t>
            </w:r>
          </w:p>
        </w:tc>
        <w:tc>
          <w:tcPr>
            <w:tcW w:w="280" w:type="dxa"/>
            <w:vAlign w:val="bottom"/>
          </w:tcPr>
          <w:p>
            <w:pPr>
              <w:spacing w:after="0"/>
              <w:rPr>
                <w:sz w:val="18"/>
                <w:szCs w:val="18"/>
                <w:color w:val="auto"/>
              </w:rPr>
            </w:pPr>
          </w:p>
        </w:tc>
        <w:tc>
          <w:tcPr>
            <w:tcW w:w="900" w:type="dxa"/>
            <w:vAlign w:val="bottom"/>
            <w:gridSpan w:val="2"/>
          </w:tcPr>
          <w:p>
            <w:pPr>
              <w:jc w:val="right"/>
              <w:ind w:right="50"/>
              <w:spacing w:after="0"/>
              <w:rPr>
                <w:sz w:val="20"/>
                <w:szCs w:val="20"/>
                <w:color w:val="auto"/>
              </w:rPr>
            </w:pPr>
            <w:r>
              <w:rPr>
                <w:rFonts w:ascii="Arial" w:cs="Arial" w:eastAsia="Arial" w:hAnsi="Arial"/>
                <w:sz w:val="18"/>
                <w:szCs w:val="18"/>
                <w:color w:val="auto"/>
              </w:rPr>
              <w:t>-10.5%</w:t>
            </w: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26.6%</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8"/>
                <w:szCs w:val="18"/>
                <w:color w:val="auto"/>
              </w:rPr>
            </w:pP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rPr>
              <w:t>37.0%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73.4%</w:t>
            </w:r>
          </w:p>
        </w:tc>
      </w:tr>
      <w:tr>
        <w:trPr>
          <w:trHeight w:val="230"/>
        </w:trPr>
        <w:tc>
          <w:tcPr>
            <w:tcW w:w="44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Interest on bonds and subordinated note</w:t>
            </w:r>
          </w:p>
        </w:tc>
        <w:tc>
          <w:tcPr>
            <w:tcW w:w="118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29.9%</w:t>
            </w:r>
          </w:p>
        </w:tc>
        <w:tc>
          <w:tcPr>
            <w:tcW w:w="280" w:type="dxa"/>
            <w:vAlign w:val="bottom"/>
            <w:shd w:val="clear" w:color="auto" w:fill="CCFFCC"/>
          </w:tcPr>
          <w:p>
            <w:pPr>
              <w:spacing w:after="0"/>
              <w:rPr>
                <w:sz w:val="19"/>
                <w:szCs w:val="19"/>
                <w:color w:val="auto"/>
              </w:rPr>
            </w:pPr>
          </w:p>
        </w:tc>
        <w:tc>
          <w:tcPr>
            <w:tcW w:w="9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104.5%</w:t>
            </w:r>
          </w:p>
        </w:tc>
        <w:tc>
          <w:tcPr>
            <w:tcW w:w="118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27.1%</w:t>
            </w:r>
          </w:p>
        </w:tc>
        <w:tc>
          <w:tcPr>
            <w:tcW w:w="12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14.2%</w:t>
            </w:r>
          </w:p>
        </w:tc>
        <w:tc>
          <w:tcPr>
            <w:tcW w:w="260" w:type="dxa"/>
            <w:vAlign w:val="bottom"/>
            <w:shd w:val="clear" w:color="auto" w:fill="CCFFCC"/>
          </w:tcPr>
          <w:p>
            <w:pPr>
              <w:spacing w:after="0"/>
              <w:rPr>
                <w:sz w:val="19"/>
                <w:szCs w:val="19"/>
                <w:color w:val="auto"/>
              </w:rPr>
            </w:pPr>
          </w:p>
        </w:tc>
        <w:tc>
          <w:tcPr>
            <w:tcW w:w="9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12.2%</w:t>
            </w: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72.9%</w:t>
            </w:r>
          </w:p>
        </w:tc>
      </w:tr>
      <w:tr>
        <w:trPr>
          <w:trHeight w:val="225"/>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Adjusted Net interest income (1) (2)</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20.4</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83.9</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-8.7</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-8890</wp:posOffset>
            </wp:positionV>
            <wp:extent cx="43224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322445" cy="8890"/>
                    </a:xfrm>
                    <a:prstGeom prst="rect">
                      <a:avLst/>
                    </a:prstGeom>
                    <a:noFill/>
                  </pic:spPr>
                </pic:pic>
              </a:graphicData>
            </a:graphic>
          </wp:anchor>
        </w:drawing>
      </w:r>
    </w:p>
    <w:p>
      <w:pPr>
        <w:ind w:left="260" w:hanging="252"/>
        <w:spacing w:after="0"/>
        <w:tabs>
          <w:tab w:leader="none" w:pos="2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Interest income reported - Other income.</w:t>
      </w:r>
    </w:p>
    <w:p>
      <w:pPr>
        <w:spacing w:after="0" w:line="7" w:lineRule="exact"/>
        <w:rPr>
          <w:rFonts w:ascii="Arial" w:cs="Arial" w:eastAsia="Arial" w:hAnsi="Arial"/>
          <w:sz w:val="18"/>
          <w:szCs w:val="18"/>
          <w:i w:val="1"/>
          <w:iCs w:val="1"/>
          <w:color w:val="auto"/>
        </w:rPr>
      </w:pPr>
    </w:p>
    <w:p>
      <w:pPr>
        <w:ind w:left="260" w:hanging="252"/>
        <w:spacing w:after="0"/>
        <w:tabs>
          <w:tab w:leader="none" w:pos="2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Interest expenses reported - Other expenses.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Adjusted interest income in LC (without the Other interest income line that includes mainly gains on valuation of derivatives) expanded considerably at rates of +5.3% QoQ and +20.6% YoY, where it is noteworthy the evolution of interest on loans (+5.2% QoQ and +22.4% YoY) as a result of the expansion of +5.7% QoQ and +23.4% YoY in the average daily balances of LC loan portfolio. This favorable performance was offset by the devaluation effect.</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Adjusted interest income denominated in FC fell -5.1% QoQ but grew +11.1% YoY. The quarterly evolution is due primarily to a decline in dividend income on investments (seasonality in 1Q, which is primarily attributable to dividends from BCI Chile), which generated US$ 7.0 million in 1Q13; and lower income in Interest income on deposits in other banks (-27.1% QoQ) due to a decrease in the system’s interbank rates for surplus cash in line with the higher liquidity in the system. The aforementioned offset growth of +1.7% in interest on FC loans that grew despite the -2.8% QoQ contraction in FC loans.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When we consider the valuation of derivatives and the effect of the devaluation in the LC component, total interest income expressed in IFRS US Dollars decreases -1.0% QoQ and increases +18.4% YoY.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interest expenses in LC increased +7.9% QoQ and +21.9% YoY, mainly as a result of a significant growth in interest on bonds and subordinated notes (+29.9% QoQ and +104.5% YoY) due to an increase in BCP’s certificates of deposits, among others. It is important to note that the interest expense on deposits in LC was fairly stable (+0.1% QoQ), even though the drop of -5.7% QoQ of LC saving deposits because this funding source has the lowest funding cost.</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Adjusted interest expenses in FC decreased -2.2% QoQ and increased +18.2% YoY. The quarterly evolution is explained mainly by the drop in interest on deposits (-33.7% QoQ) as a result of the contraction of FC time deposits (-14.9% QoQ). The lower interest expenses on deposits was significant attenuated by the increase in interest on bonds and subordinated notes in FC (+14.2% QoQ) following bonds issuances in April 2013 (higher-cost liabilities).</w:t>
      </w:r>
    </w:p>
    <w:p>
      <w:pPr>
        <w:spacing w:after="0" w:line="14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When we consider the valuation of derivatives (linked to the impact of the US$32.9 million loss on forwards contracts, among others) and the effect of the devaluation in the LC component, total interest expenses expressed in IFRS US Dollars slightly increases +0.3% QoQ and +21.5% YoY.</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9" w:name="page20"/>
    <w:bookmarkEnd w:id="19"/>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following table contains the results expressed in US Dollars: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Net interest income</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Quarter</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Change %</w:t>
            </w:r>
          </w:p>
        </w:tc>
        <w:tc>
          <w:tcPr>
            <w:tcW w:w="2020" w:type="dxa"/>
            <w:vAlign w:val="bottom"/>
            <w:gridSpan w:val="4"/>
          </w:tcPr>
          <w:p>
            <w:pPr>
              <w:jc w:val="right"/>
              <w:ind w:right="688"/>
              <w:spacing w:after="0"/>
              <w:rPr>
                <w:sz w:val="20"/>
                <w:szCs w:val="20"/>
                <w:color w:val="auto"/>
              </w:rPr>
            </w:pPr>
            <w:r>
              <w:rPr>
                <w:rFonts w:ascii="Arial" w:cs="Arial" w:eastAsia="Arial" w:hAnsi="Arial"/>
                <w:sz w:val="14"/>
                <w:szCs w:val="14"/>
                <w:b w:val="1"/>
                <w:bCs w:val="1"/>
                <w:color w:val="auto"/>
              </w:rPr>
              <w:t>Year to date</w:t>
            </w:r>
          </w:p>
        </w:tc>
        <w:tc>
          <w:tcPr>
            <w:tcW w:w="108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Change %</w:t>
            </w:r>
          </w:p>
        </w:tc>
      </w:tr>
      <w:tr>
        <w:trPr>
          <w:trHeight w:val="171"/>
        </w:trPr>
        <w:tc>
          <w:tcPr>
            <w:tcW w:w="3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US$ 000</w:t>
            </w:r>
          </w:p>
        </w:tc>
        <w:tc>
          <w:tcPr>
            <w:tcW w:w="100" w:type="dxa"/>
            <w:vAlign w:val="bottom"/>
            <w:tcBorders>
              <w:bottom w:val="single" w:sz="8" w:color="CCFFCC"/>
            </w:tcBorders>
          </w:tcPr>
          <w:p>
            <w:pPr>
              <w:spacing w:after="0"/>
              <w:rPr>
                <w:sz w:val="14"/>
                <w:szCs w:val="14"/>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2Q13</w:t>
            </w:r>
          </w:p>
        </w:tc>
        <w:tc>
          <w:tcPr>
            <w:tcW w:w="240" w:type="dxa"/>
            <w:vAlign w:val="bottom"/>
            <w:tcBorders>
              <w:bottom w:val="single" w:sz="8" w:color="CCFFCC"/>
            </w:tcBorders>
          </w:tcPr>
          <w:p>
            <w:pPr>
              <w:spacing w:after="0"/>
              <w:rPr>
                <w:sz w:val="14"/>
                <w:szCs w:val="14"/>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1T13</w:t>
            </w:r>
          </w:p>
        </w:tc>
        <w:tc>
          <w:tcPr>
            <w:tcW w:w="240" w:type="dxa"/>
            <w:vAlign w:val="bottom"/>
            <w:tcBorders>
              <w:bottom w:val="single" w:sz="8" w:color="CCFFCC"/>
            </w:tcBorders>
          </w:tcPr>
          <w:p>
            <w:pPr>
              <w:spacing w:after="0"/>
              <w:rPr>
                <w:sz w:val="14"/>
                <w:szCs w:val="14"/>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2Q12</w:t>
            </w:r>
          </w:p>
        </w:tc>
        <w:tc>
          <w:tcPr>
            <w:tcW w:w="260" w:type="dxa"/>
            <w:vAlign w:val="bottom"/>
            <w:tcBorders>
              <w:bottom w:val="single" w:sz="8" w:color="CCFFCC"/>
            </w:tcBorders>
          </w:tcPr>
          <w:p>
            <w:pPr>
              <w:spacing w:after="0"/>
              <w:rPr>
                <w:sz w:val="14"/>
                <w:szCs w:val="14"/>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FFCC"/>
            </w:tcBorders>
          </w:tcPr>
          <w:p>
            <w:pPr>
              <w:spacing w:after="0"/>
              <w:rPr>
                <w:sz w:val="14"/>
                <w:szCs w:val="14"/>
                <w:color w:val="auto"/>
              </w:rPr>
            </w:pPr>
          </w:p>
        </w:tc>
        <w:tc>
          <w:tcPr>
            <w:tcW w:w="6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FFCC"/>
            </w:tcBorders>
          </w:tcPr>
          <w:p>
            <w:pPr>
              <w:spacing w:after="0"/>
              <w:rPr>
                <w:sz w:val="14"/>
                <w:szCs w:val="14"/>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Jun 13</w:t>
            </w:r>
          </w:p>
        </w:tc>
        <w:tc>
          <w:tcPr>
            <w:tcW w:w="240" w:type="dxa"/>
            <w:vAlign w:val="bottom"/>
            <w:tcBorders>
              <w:bottom w:val="single" w:sz="8" w:color="CCFFCC"/>
            </w:tcBorders>
          </w:tcPr>
          <w:p>
            <w:pPr>
              <w:spacing w:after="0"/>
              <w:rPr>
                <w:sz w:val="14"/>
                <w:szCs w:val="14"/>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Jun 12</w:t>
            </w:r>
          </w:p>
        </w:tc>
        <w:tc>
          <w:tcPr>
            <w:tcW w:w="260" w:type="dxa"/>
            <w:vAlign w:val="bottom"/>
            <w:tcBorders>
              <w:bottom w:val="single" w:sz="8" w:color="CCFFCC"/>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Jun 13 / Jun 12</w:t>
            </w:r>
          </w:p>
        </w:tc>
        <w:tc>
          <w:tcPr>
            <w:tcW w:w="140" w:type="dxa"/>
            <w:vAlign w:val="bottom"/>
            <w:tcBorders>
              <w:bottom w:val="single" w:sz="8" w:color="CCFFCC"/>
            </w:tcBorders>
          </w:tcPr>
          <w:p>
            <w:pPr>
              <w:spacing w:after="0"/>
              <w:rPr>
                <w:sz w:val="14"/>
                <w:szCs w:val="14"/>
                <w:color w:val="auto"/>
              </w:rPr>
            </w:pPr>
          </w:p>
        </w:tc>
      </w:tr>
      <w:tr>
        <w:trPr>
          <w:trHeight w:val="142"/>
        </w:trPr>
        <w:tc>
          <w:tcPr>
            <w:tcW w:w="3440" w:type="dxa"/>
            <w:vAlign w:val="bottom"/>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Interest income (1)</w:t>
            </w:r>
          </w:p>
        </w:tc>
        <w:tc>
          <w:tcPr>
            <w:tcW w:w="100" w:type="dxa"/>
            <w:vAlign w:val="bottom"/>
            <w:shd w:val="clear" w:color="auto" w:fill="CCFFCC"/>
          </w:tcPr>
          <w:p>
            <w:pPr>
              <w:spacing w:after="0"/>
              <w:rPr>
                <w:sz w:val="12"/>
                <w:szCs w:val="12"/>
                <w:color w:val="auto"/>
              </w:rPr>
            </w:pPr>
          </w:p>
        </w:tc>
        <w:tc>
          <w:tcPr>
            <w:tcW w:w="7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595,032</w:t>
            </w:r>
          </w:p>
        </w:tc>
        <w:tc>
          <w:tcPr>
            <w:tcW w:w="240" w:type="dxa"/>
            <w:vAlign w:val="bottom"/>
            <w:shd w:val="clear" w:color="auto" w:fill="CCFFCC"/>
          </w:tcPr>
          <w:p>
            <w:pPr>
              <w:spacing w:after="0"/>
              <w:rPr>
                <w:sz w:val="12"/>
                <w:szCs w:val="12"/>
                <w:color w:val="auto"/>
              </w:rPr>
            </w:pPr>
          </w:p>
        </w:tc>
        <w:tc>
          <w:tcPr>
            <w:tcW w:w="7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601,016</w:t>
            </w:r>
          </w:p>
        </w:tc>
        <w:tc>
          <w:tcPr>
            <w:tcW w:w="240" w:type="dxa"/>
            <w:vAlign w:val="bottom"/>
            <w:shd w:val="clear" w:color="auto" w:fill="CCFFCC"/>
          </w:tcPr>
          <w:p>
            <w:pPr>
              <w:spacing w:after="0"/>
              <w:rPr>
                <w:sz w:val="12"/>
                <w:szCs w:val="12"/>
                <w:color w:val="auto"/>
              </w:rPr>
            </w:pPr>
          </w:p>
        </w:tc>
        <w:tc>
          <w:tcPr>
            <w:tcW w:w="7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511,314</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8"/>
              <w:spacing w:after="0" w:line="142" w:lineRule="exact"/>
              <w:rPr>
                <w:sz w:val="20"/>
                <w:szCs w:val="20"/>
                <w:color w:val="auto"/>
              </w:rPr>
            </w:pPr>
            <w:r>
              <w:rPr>
                <w:rFonts w:ascii="Arial" w:cs="Arial" w:eastAsia="Arial" w:hAnsi="Arial"/>
                <w:sz w:val="14"/>
                <w:szCs w:val="14"/>
                <w:b w:val="1"/>
                <w:bCs w:val="1"/>
                <w:color w:val="auto"/>
              </w:rPr>
              <w:t>-1.0%</w:t>
            </w:r>
          </w:p>
        </w:tc>
        <w:tc>
          <w:tcPr>
            <w:tcW w:w="92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rPr>
              <w:t>16.4%</w:t>
            </w:r>
          </w:p>
        </w:tc>
        <w:tc>
          <w:tcPr>
            <w:tcW w:w="7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1,196,048</w:t>
            </w:r>
          </w:p>
        </w:tc>
        <w:tc>
          <w:tcPr>
            <w:tcW w:w="24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998,963</w:t>
            </w:r>
          </w:p>
        </w:tc>
        <w:tc>
          <w:tcPr>
            <w:tcW w:w="26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19.7%</w:t>
            </w:r>
          </w:p>
        </w:tc>
      </w:tr>
      <w:tr>
        <w:trPr>
          <w:trHeight w:val="149"/>
        </w:trPr>
        <w:tc>
          <w:tcPr>
            <w:tcW w:w="35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Interest on loans</w:t>
            </w:r>
          </w:p>
        </w:tc>
        <w:tc>
          <w:tcPr>
            <w:tcW w:w="98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545,309</w:t>
            </w:r>
          </w:p>
        </w:tc>
        <w:tc>
          <w:tcPr>
            <w:tcW w:w="98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540,661</w:t>
            </w:r>
          </w:p>
        </w:tc>
        <w:tc>
          <w:tcPr>
            <w:tcW w:w="100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459,699</w:t>
            </w:r>
          </w:p>
        </w:tc>
        <w:tc>
          <w:tcPr>
            <w:tcW w:w="9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0.9%</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18.6%</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1,085,970</w:t>
            </w:r>
          </w:p>
        </w:tc>
        <w:tc>
          <w:tcPr>
            <w:tcW w:w="240" w:type="dxa"/>
            <w:vAlign w:val="bottom"/>
          </w:tcPr>
          <w:p>
            <w:pPr>
              <w:spacing w:after="0"/>
              <w:rPr>
                <w:sz w:val="12"/>
                <w:szCs w:val="12"/>
                <w:color w:val="auto"/>
              </w:rPr>
            </w:pPr>
          </w:p>
        </w:tc>
        <w:tc>
          <w:tcPr>
            <w:tcW w:w="102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890,861</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21.9%</w:t>
            </w:r>
          </w:p>
        </w:tc>
      </w:tr>
      <w:tr>
        <w:trPr>
          <w:trHeight w:val="149"/>
        </w:trPr>
        <w:tc>
          <w:tcPr>
            <w:tcW w:w="3540" w:type="dxa"/>
            <w:vAlign w:val="bottom"/>
            <w:gridSpan w:val="2"/>
            <w:shd w:val="clear" w:color="auto" w:fill="CCFFCC"/>
          </w:tcPr>
          <w:p>
            <w:pPr>
              <w:ind w:left="160"/>
              <w:spacing w:after="0" w:line="149" w:lineRule="exact"/>
              <w:rPr>
                <w:sz w:val="20"/>
                <w:szCs w:val="20"/>
                <w:color w:val="auto"/>
              </w:rPr>
            </w:pPr>
            <w:r>
              <w:rPr>
                <w:rFonts w:ascii="Arial" w:cs="Arial" w:eastAsia="Arial" w:hAnsi="Arial"/>
                <w:sz w:val="14"/>
                <w:szCs w:val="14"/>
                <w:color w:val="auto"/>
              </w:rPr>
              <w:t>Interest and dividends on investments</w:t>
            </w:r>
          </w:p>
        </w:tc>
        <w:tc>
          <w:tcPr>
            <w:tcW w:w="98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7,047</w:t>
            </w:r>
          </w:p>
        </w:tc>
        <w:tc>
          <w:tcPr>
            <w:tcW w:w="7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306</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-100.0%</w:t>
            </w:r>
          </w:p>
        </w:tc>
        <w:tc>
          <w:tcPr>
            <w:tcW w:w="9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-100.0%</w:t>
            </w:r>
          </w:p>
        </w:tc>
        <w:tc>
          <w:tcPr>
            <w:tcW w:w="100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7,047</w:t>
            </w:r>
          </w:p>
        </w:tc>
        <w:tc>
          <w:tcPr>
            <w:tcW w:w="102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6,698</w:t>
            </w:r>
          </w:p>
        </w:tc>
        <w:tc>
          <w:tcPr>
            <w:tcW w:w="10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5.2%</w:t>
            </w:r>
          </w:p>
        </w:tc>
      </w:tr>
      <w:tr>
        <w:trPr>
          <w:trHeight w:val="149"/>
        </w:trPr>
        <w:tc>
          <w:tcPr>
            <w:tcW w:w="35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Interest on deposits with banks</w:t>
            </w:r>
          </w:p>
        </w:tc>
        <w:tc>
          <w:tcPr>
            <w:tcW w:w="98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7,913</w:t>
            </w:r>
          </w:p>
        </w:tc>
        <w:tc>
          <w:tcPr>
            <w:tcW w:w="98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10,856</w:t>
            </w:r>
          </w:p>
        </w:tc>
        <w:tc>
          <w:tcPr>
            <w:tcW w:w="100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8,689</w:t>
            </w:r>
          </w:p>
        </w:tc>
        <w:tc>
          <w:tcPr>
            <w:tcW w:w="9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-27.1%</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-8.9%</w:t>
            </w:r>
          </w:p>
        </w:tc>
        <w:tc>
          <w:tcPr>
            <w:tcW w:w="100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18,769</w:t>
            </w:r>
          </w:p>
        </w:tc>
        <w:tc>
          <w:tcPr>
            <w:tcW w:w="102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17,308</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w:t>
            </w:r>
          </w:p>
        </w:tc>
      </w:tr>
      <w:tr>
        <w:trPr>
          <w:trHeight w:val="149"/>
        </w:trPr>
        <w:tc>
          <w:tcPr>
            <w:tcW w:w="3540" w:type="dxa"/>
            <w:vAlign w:val="bottom"/>
            <w:gridSpan w:val="2"/>
            <w:shd w:val="clear" w:color="auto" w:fill="CCFFCC"/>
          </w:tcPr>
          <w:p>
            <w:pPr>
              <w:ind w:left="160"/>
              <w:spacing w:after="0" w:line="149" w:lineRule="exact"/>
              <w:rPr>
                <w:sz w:val="20"/>
                <w:szCs w:val="20"/>
                <w:color w:val="auto"/>
              </w:rPr>
            </w:pPr>
            <w:r>
              <w:rPr>
                <w:rFonts w:ascii="Arial" w:cs="Arial" w:eastAsia="Arial" w:hAnsi="Arial"/>
                <w:sz w:val="14"/>
                <w:szCs w:val="14"/>
                <w:color w:val="auto"/>
              </w:rPr>
              <w:t>Interest on trading securities</w:t>
            </w:r>
          </w:p>
        </w:tc>
        <w:tc>
          <w:tcPr>
            <w:tcW w:w="98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41,228</w:t>
            </w:r>
          </w:p>
        </w:tc>
        <w:tc>
          <w:tcPr>
            <w:tcW w:w="98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41,675</w:t>
            </w:r>
          </w:p>
        </w:tc>
        <w:tc>
          <w:tcPr>
            <w:tcW w:w="100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40,480</w:t>
            </w:r>
          </w:p>
        </w:tc>
        <w:tc>
          <w:tcPr>
            <w:tcW w:w="90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-1.1%</w:t>
            </w:r>
          </w:p>
        </w:tc>
        <w:tc>
          <w:tcPr>
            <w:tcW w:w="9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1.8%</w:t>
            </w:r>
          </w:p>
        </w:tc>
        <w:tc>
          <w:tcPr>
            <w:tcW w:w="100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82,903</w:t>
            </w:r>
          </w:p>
        </w:tc>
        <w:tc>
          <w:tcPr>
            <w:tcW w:w="102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79,486</w:t>
            </w:r>
          </w:p>
        </w:tc>
        <w:tc>
          <w:tcPr>
            <w:tcW w:w="10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4.3%</w:t>
            </w:r>
          </w:p>
        </w:tc>
      </w:tr>
      <w:tr>
        <w:trPr>
          <w:trHeight w:val="149"/>
        </w:trPr>
        <w:tc>
          <w:tcPr>
            <w:tcW w:w="35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Other interest income</w:t>
            </w:r>
          </w:p>
        </w:tc>
        <w:tc>
          <w:tcPr>
            <w:tcW w:w="98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582</w:t>
            </w:r>
          </w:p>
        </w:tc>
        <w:tc>
          <w:tcPr>
            <w:tcW w:w="98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777</w:t>
            </w:r>
          </w:p>
        </w:tc>
        <w:tc>
          <w:tcPr>
            <w:tcW w:w="100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2,140</w:t>
            </w:r>
          </w:p>
        </w:tc>
        <w:tc>
          <w:tcPr>
            <w:tcW w:w="9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-25.1%</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-72.8%</w:t>
            </w:r>
          </w:p>
        </w:tc>
        <w:tc>
          <w:tcPr>
            <w:tcW w:w="100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1,359</w:t>
            </w:r>
          </w:p>
        </w:tc>
        <w:tc>
          <w:tcPr>
            <w:tcW w:w="102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4,610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-70.5%</w:t>
            </w:r>
          </w:p>
        </w:tc>
      </w:tr>
      <w:tr>
        <w:trPr>
          <w:trHeight w:val="149"/>
        </w:trPr>
        <w:tc>
          <w:tcPr>
            <w:tcW w:w="35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Interest expense (2)</w:t>
            </w:r>
          </w:p>
        </w:tc>
        <w:tc>
          <w:tcPr>
            <w:tcW w:w="98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b w:val="1"/>
                <w:bCs w:val="1"/>
                <w:color w:val="auto"/>
              </w:rPr>
              <w:t>189,644</w:t>
            </w:r>
          </w:p>
        </w:tc>
        <w:tc>
          <w:tcPr>
            <w:tcW w:w="98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b w:val="1"/>
                <w:bCs w:val="1"/>
                <w:color w:val="auto"/>
              </w:rPr>
              <w:t>189,108</w:t>
            </w:r>
          </w:p>
        </w:tc>
        <w:tc>
          <w:tcPr>
            <w:tcW w:w="100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b w:val="1"/>
                <w:bCs w:val="1"/>
                <w:color w:val="auto"/>
              </w:rPr>
              <w:t>156,053</w:t>
            </w:r>
          </w:p>
        </w:tc>
        <w:tc>
          <w:tcPr>
            <w:tcW w:w="900" w:type="dxa"/>
            <w:vAlign w:val="bottom"/>
            <w:gridSpan w:val="2"/>
            <w:shd w:val="clear" w:color="auto" w:fill="CCFFCC"/>
          </w:tcPr>
          <w:p>
            <w:pPr>
              <w:jc w:val="right"/>
              <w:ind w:right="28"/>
              <w:spacing w:after="0" w:line="149" w:lineRule="exact"/>
              <w:rPr>
                <w:sz w:val="20"/>
                <w:szCs w:val="20"/>
                <w:color w:val="auto"/>
              </w:rPr>
            </w:pPr>
            <w:r>
              <w:rPr>
                <w:rFonts w:ascii="Arial" w:cs="Arial" w:eastAsia="Arial" w:hAnsi="Arial"/>
                <w:sz w:val="14"/>
                <w:szCs w:val="14"/>
                <w:b w:val="1"/>
                <w:bCs w:val="1"/>
                <w:color w:val="auto"/>
              </w:rPr>
              <w:t>0.3%</w:t>
            </w:r>
          </w:p>
        </w:tc>
        <w:tc>
          <w:tcPr>
            <w:tcW w:w="92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b w:val="1"/>
                <w:bCs w:val="1"/>
                <w:color w:val="auto"/>
              </w:rPr>
              <w:t>21.5%</w:t>
            </w:r>
          </w:p>
        </w:tc>
        <w:tc>
          <w:tcPr>
            <w:tcW w:w="100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b w:val="1"/>
                <w:bCs w:val="1"/>
                <w:color w:val="auto"/>
              </w:rPr>
              <w:t>378,752</w:t>
            </w:r>
          </w:p>
        </w:tc>
        <w:tc>
          <w:tcPr>
            <w:tcW w:w="102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b w:val="1"/>
                <w:bCs w:val="1"/>
                <w:color w:val="auto"/>
              </w:rPr>
              <w:t>301,203</w:t>
            </w:r>
          </w:p>
        </w:tc>
        <w:tc>
          <w:tcPr>
            <w:tcW w:w="10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25.7%</w:t>
            </w:r>
          </w:p>
        </w:tc>
      </w:tr>
      <w:tr>
        <w:trPr>
          <w:trHeight w:val="149"/>
        </w:trPr>
        <w:tc>
          <w:tcPr>
            <w:tcW w:w="35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Interest on deposits</w:t>
            </w:r>
          </w:p>
        </w:tc>
        <w:tc>
          <w:tcPr>
            <w:tcW w:w="98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68,985</w:t>
            </w:r>
          </w:p>
        </w:tc>
        <w:tc>
          <w:tcPr>
            <w:tcW w:w="98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78,432</w:t>
            </w:r>
          </w:p>
        </w:tc>
        <w:tc>
          <w:tcPr>
            <w:tcW w:w="100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61,285</w:t>
            </w:r>
          </w:p>
        </w:tc>
        <w:tc>
          <w:tcPr>
            <w:tcW w:w="9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-12.0%</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12.6%</w:t>
            </w:r>
          </w:p>
        </w:tc>
        <w:tc>
          <w:tcPr>
            <w:tcW w:w="100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147,417</w:t>
            </w:r>
          </w:p>
        </w:tc>
        <w:tc>
          <w:tcPr>
            <w:tcW w:w="102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117,928</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w:t>
            </w:r>
          </w:p>
        </w:tc>
      </w:tr>
      <w:tr>
        <w:trPr>
          <w:trHeight w:val="149"/>
        </w:trPr>
        <w:tc>
          <w:tcPr>
            <w:tcW w:w="3540" w:type="dxa"/>
            <w:vAlign w:val="bottom"/>
            <w:gridSpan w:val="2"/>
            <w:shd w:val="clear" w:color="auto" w:fill="CCFFCC"/>
          </w:tcPr>
          <w:p>
            <w:pPr>
              <w:ind w:left="160"/>
              <w:spacing w:after="0" w:line="149" w:lineRule="exact"/>
              <w:rPr>
                <w:sz w:val="20"/>
                <w:szCs w:val="20"/>
                <w:color w:val="auto"/>
              </w:rPr>
            </w:pPr>
            <w:r>
              <w:rPr>
                <w:rFonts w:ascii="Arial" w:cs="Arial" w:eastAsia="Arial" w:hAnsi="Arial"/>
                <w:sz w:val="14"/>
                <w:szCs w:val="14"/>
                <w:color w:val="auto"/>
              </w:rPr>
              <w:t>Interest on borrowed funds</w:t>
            </w:r>
          </w:p>
        </w:tc>
        <w:tc>
          <w:tcPr>
            <w:tcW w:w="98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35,806</w:t>
            </w:r>
          </w:p>
        </w:tc>
        <w:tc>
          <w:tcPr>
            <w:tcW w:w="98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35,385</w:t>
            </w:r>
          </w:p>
        </w:tc>
        <w:tc>
          <w:tcPr>
            <w:tcW w:w="100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29,991</w:t>
            </w:r>
          </w:p>
        </w:tc>
        <w:tc>
          <w:tcPr>
            <w:tcW w:w="90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1.2%</w:t>
            </w:r>
          </w:p>
        </w:tc>
        <w:tc>
          <w:tcPr>
            <w:tcW w:w="9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19.4%</w:t>
            </w:r>
          </w:p>
        </w:tc>
        <w:tc>
          <w:tcPr>
            <w:tcW w:w="100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71,191</w:t>
            </w:r>
          </w:p>
        </w:tc>
        <w:tc>
          <w:tcPr>
            <w:tcW w:w="102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58,106</w:t>
            </w:r>
          </w:p>
        </w:tc>
        <w:tc>
          <w:tcPr>
            <w:tcW w:w="10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22.5%</w:t>
            </w:r>
          </w:p>
        </w:tc>
      </w:tr>
      <w:tr>
        <w:trPr>
          <w:trHeight w:val="149"/>
        </w:trPr>
        <w:tc>
          <w:tcPr>
            <w:tcW w:w="35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Interest on bonds and subordinated note</w:t>
            </w:r>
          </w:p>
        </w:tc>
        <w:tc>
          <w:tcPr>
            <w:tcW w:w="98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65,323</w:t>
            </w:r>
          </w:p>
        </w:tc>
        <w:tc>
          <w:tcPr>
            <w:tcW w:w="98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58,418</w:t>
            </w:r>
          </w:p>
        </w:tc>
        <w:tc>
          <w:tcPr>
            <w:tcW w:w="100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54,230</w:t>
            </w:r>
          </w:p>
        </w:tc>
        <w:tc>
          <w:tcPr>
            <w:tcW w:w="9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11.8%</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20.5%</w:t>
            </w:r>
          </w:p>
        </w:tc>
        <w:tc>
          <w:tcPr>
            <w:tcW w:w="100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123,741</w:t>
            </w:r>
          </w:p>
        </w:tc>
        <w:tc>
          <w:tcPr>
            <w:tcW w:w="102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104,307</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18.6%</w:t>
            </w:r>
          </w:p>
        </w:tc>
      </w:tr>
      <w:tr>
        <w:trPr>
          <w:trHeight w:val="149"/>
        </w:trPr>
        <w:tc>
          <w:tcPr>
            <w:tcW w:w="3540" w:type="dxa"/>
            <w:vAlign w:val="bottom"/>
            <w:gridSpan w:val="2"/>
            <w:shd w:val="clear" w:color="auto" w:fill="CCFFCC"/>
          </w:tcPr>
          <w:p>
            <w:pPr>
              <w:ind w:left="160"/>
              <w:spacing w:after="0" w:line="149" w:lineRule="exact"/>
              <w:rPr>
                <w:sz w:val="20"/>
                <w:szCs w:val="20"/>
                <w:color w:val="auto"/>
              </w:rPr>
            </w:pPr>
            <w:r>
              <w:rPr>
                <w:rFonts w:ascii="Arial" w:cs="Arial" w:eastAsia="Arial" w:hAnsi="Arial"/>
                <w:sz w:val="14"/>
                <w:szCs w:val="14"/>
                <w:color w:val="auto"/>
              </w:rPr>
              <w:t>Other interest expense</w:t>
            </w:r>
          </w:p>
        </w:tc>
        <w:tc>
          <w:tcPr>
            <w:tcW w:w="98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19,530</w:t>
            </w:r>
          </w:p>
        </w:tc>
        <w:tc>
          <w:tcPr>
            <w:tcW w:w="98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16,873</w:t>
            </w:r>
          </w:p>
        </w:tc>
        <w:tc>
          <w:tcPr>
            <w:tcW w:w="100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10,547</w:t>
            </w:r>
          </w:p>
        </w:tc>
        <w:tc>
          <w:tcPr>
            <w:tcW w:w="90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15.7%</w:t>
            </w:r>
          </w:p>
        </w:tc>
        <w:tc>
          <w:tcPr>
            <w:tcW w:w="9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85.2%</w:t>
            </w:r>
          </w:p>
        </w:tc>
        <w:tc>
          <w:tcPr>
            <w:tcW w:w="100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36,403</w:t>
            </w:r>
          </w:p>
        </w:tc>
        <w:tc>
          <w:tcPr>
            <w:tcW w:w="102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20,862</w:t>
            </w:r>
          </w:p>
        </w:tc>
        <w:tc>
          <w:tcPr>
            <w:tcW w:w="10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74.5%</w:t>
            </w:r>
          </w:p>
        </w:tc>
      </w:tr>
      <w:tr>
        <w:trPr>
          <w:trHeight w:val="162"/>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Net interest income</w:t>
            </w:r>
          </w:p>
        </w:tc>
        <w:tc>
          <w:tcPr>
            <w:tcW w:w="98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405,388</w:t>
            </w:r>
          </w:p>
        </w:tc>
        <w:tc>
          <w:tcPr>
            <w:tcW w:w="98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411,908</w:t>
            </w:r>
          </w:p>
        </w:tc>
        <w:tc>
          <w:tcPr>
            <w:tcW w:w="100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355,261</w:t>
            </w:r>
          </w:p>
        </w:tc>
        <w:tc>
          <w:tcPr>
            <w:tcW w:w="9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-1.6%</w:t>
            </w:r>
          </w:p>
        </w:tc>
        <w:tc>
          <w:tcPr>
            <w:tcW w:w="92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14.1%</w:t>
            </w:r>
          </w:p>
        </w:tc>
        <w:tc>
          <w:tcPr>
            <w:tcW w:w="100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817,296</w:t>
            </w:r>
          </w:p>
        </w:tc>
        <w:tc>
          <w:tcPr>
            <w:tcW w:w="102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697,760</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17.1%</w:t>
            </w:r>
          </w:p>
        </w:tc>
      </w:tr>
      <w:tr>
        <w:trPr>
          <w:trHeight w:val="142"/>
        </w:trPr>
        <w:tc>
          <w:tcPr>
            <w:tcW w:w="3540" w:type="dxa"/>
            <w:vAlign w:val="bottom"/>
            <w:tcBorders>
              <w:top w:val="single" w:sz="8" w:color="CCFFCC"/>
            </w:tcBorders>
            <w:gridSpan w:val="2"/>
            <w:shd w:val="clear" w:color="auto" w:fill="CCFFCC"/>
          </w:tcPr>
          <w:p>
            <w:pPr>
              <w:spacing w:after="0" w:line="142" w:lineRule="exact"/>
              <w:rPr>
                <w:sz w:val="20"/>
                <w:szCs w:val="20"/>
                <w:color w:val="auto"/>
              </w:rPr>
            </w:pPr>
            <w:r>
              <w:rPr>
                <w:rFonts w:ascii="Arial" w:cs="Arial" w:eastAsia="Arial" w:hAnsi="Arial"/>
                <w:sz w:val="14"/>
                <w:szCs w:val="14"/>
                <w:color w:val="auto"/>
              </w:rPr>
              <w:t>Average interest earning assets (3)</w:t>
            </w:r>
          </w:p>
        </w:tc>
        <w:tc>
          <w:tcPr>
            <w:tcW w:w="7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32,976,722</w:t>
            </w:r>
          </w:p>
        </w:tc>
        <w:tc>
          <w:tcPr>
            <w:tcW w:w="240" w:type="dxa"/>
            <w:vAlign w:val="bottom"/>
            <w:tcBorders>
              <w:top w:val="single" w:sz="8" w:color="CCFFCC"/>
            </w:tcBorders>
            <w:shd w:val="clear" w:color="auto" w:fill="CCFFCC"/>
          </w:tcPr>
          <w:p>
            <w:pPr>
              <w:spacing w:after="0"/>
              <w:rPr>
                <w:sz w:val="12"/>
                <w:szCs w:val="12"/>
                <w:color w:val="auto"/>
              </w:rPr>
            </w:pPr>
          </w:p>
        </w:tc>
        <w:tc>
          <w:tcPr>
            <w:tcW w:w="7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33,154,079</w:t>
            </w:r>
          </w:p>
        </w:tc>
        <w:tc>
          <w:tcPr>
            <w:tcW w:w="240" w:type="dxa"/>
            <w:vAlign w:val="bottom"/>
            <w:tcBorders>
              <w:top w:val="single" w:sz="8" w:color="CCFFCC"/>
            </w:tcBorders>
            <w:shd w:val="clear" w:color="auto" w:fill="CCFFCC"/>
          </w:tcPr>
          <w:p>
            <w:pPr>
              <w:spacing w:after="0"/>
              <w:rPr>
                <w:sz w:val="12"/>
                <w:szCs w:val="12"/>
                <w:color w:val="auto"/>
              </w:rPr>
            </w:pPr>
          </w:p>
        </w:tc>
        <w:tc>
          <w:tcPr>
            <w:tcW w:w="7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26,881,044</w:t>
            </w:r>
          </w:p>
        </w:tc>
        <w:tc>
          <w:tcPr>
            <w:tcW w:w="260" w:type="dxa"/>
            <w:vAlign w:val="bottom"/>
            <w:tcBorders>
              <w:top w:val="single" w:sz="8" w:color="CCFFCC"/>
            </w:tcBorders>
            <w:shd w:val="clear" w:color="auto" w:fill="CCFFCC"/>
          </w:tcPr>
          <w:p>
            <w:pPr>
              <w:spacing w:after="0"/>
              <w:rPr>
                <w:sz w:val="12"/>
                <w:szCs w:val="12"/>
                <w:color w:val="auto"/>
              </w:rPr>
            </w:pPr>
          </w:p>
        </w:tc>
        <w:tc>
          <w:tcPr>
            <w:tcW w:w="6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-0.5</w:t>
            </w:r>
          </w:p>
        </w:tc>
        <w:tc>
          <w:tcPr>
            <w:tcW w:w="240" w:type="dxa"/>
            <w:vAlign w:val="bottom"/>
            <w:tcBorders>
              <w:top w:val="single" w:sz="8" w:color="CCFFCC"/>
            </w:tcBorders>
            <w:shd w:val="clear" w:color="auto" w:fill="CCFFCC"/>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6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22.7</w:t>
            </w:r>
          </w:p>
        </w:tc>
        <w:tc>
          <w:tcPr>
            <w:tcW w:w="260" w:type="dxa"/>
            <w:vAlign w:val="bottom"/>
            <w:tcBorders>
              <w:top w:val="single" w:sz="8" w:color="CCFFCC"/>
            </w:tcBorders>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7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32,261,814</w:t>
            </w:r>
          </w:p>
        </w:tc>
        <w:tc>
          <w:tcPr>
            <w:tcW w:w="240" w:type="dxa"/>
            <w:vAlign w:val="bottom"/>
            <w:tcBorders>
              <w:top w:val="single" w:sz="8" w:color="CCFFCC"/>
            </w:tcBorders>
            <w:shd w:val="clear" w:color="auto" w:fill="CCFFCC"/>
          </w:tcPr>
          <w:p>
            <w:pPr>
              <w:spacing w:after="0"/>
              <w:rPr>
                <w:sz w:val="12"/>
                <w:szCs w:val="12"/>
                <w:color w:val="auto"/>
              </w:rPr>
            </w:pPr>
          </w:p>
        </w:tc>
        <w:tc>
          <w:tcPr>
            <w:tcW w:w="7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26,304,738</w:t>
            </w:r>
          </w:p>
        </w:tc>
        <w:tc>
          <w:tcPr>
            <w:tcW w:w="260" w:type="dxa"/>
            <w:vAlign w:val="bottom"/>
            <w:tcBorders>
              <w:top w:val="single" w:sz="8" w:color="CCFFCC"/>
            </w:tcBorders>
            <w:shd w:val="clear" w:color="auto" w:fill="CCFFCC"/>
          </w:tcPr>
          <w:p>
            <w:pPr>
              <w:spacing w:after="0"/>
              <w:rPr>
                <w:sz w:val="12"/>
                <w:szCs w:val="12"/>
                <w:color w:val="auto"/>
              </w:rPr>
            </w:pPr>
          </w:p>
        </w:tc>
        <w:tc>
          <w:tcPr>
            <w:tcW w:w="9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22.6</w:t>
            </w:r>
          </w:p>
        </w:tc>
        <w:tc>
          <w:tcPr>
            <w:tcW w:w="14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r>
      <w:tr>
        <w:trPr>
          <w:trHeight w:val="171"/>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Net interest margin*</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4.92</w:t>
            </w:r>
          </w:p>
        </w:tc>
        <w:tc>
          <w:tcPr>
            <w:tcW w:w="240" w:type="dxa"/>
            <w:vAlign w:val="bottom"/>
          </w:tcPr>
          <w:p>
            <w:pPr>
              <w:jc w:val="right"/>
              <w:ind w:right="28"/>
              <w:spacing w:after="0"/>
              <w:rPr>
                <w:sz w:val="20"/>
                <w:szCs w:val="20"/>
                <w:color w:val="auto"/>
              </w:rPr>
            </w:pPr>
            <w:r>
              <w:rPr>
                <w:rFonts w:ascii="Arial" w:cs="Arial" w:eastAsia="Arial" w:hAnsi="Arial"/>
                <w:sz w:val="14"/>
                <w:szCs w:val="14"/>
                <w:b w:val="1"/>
                <w:bCs w:val="1"/>
                <w:color w:val="auto"/>
                <w:w w:val="96"/>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4.97</w:t>
            </w:r>
          </w:p>
        </w:tc>
        <w:tc>
          <w:tcPr>
            <w:tcW w:w="240" w:type="dxa"/>
            <w:vAlign w:val="bottom"/>
          </w:tcPr>
          <w:p>
            <w:pPr>
              <w:jc w:val="right"/>
              <w:ind w:right="28"/>
              <w:spacing w:after="0"/>
              <w:rPr>
                <w:sz w:val="20"/>
                <w:szCs w:val="20"/>
                <w:color w:val="auto"/>
              </w:rPr>
            </w:pPr>
            <w:r>
              <w:rPr>
                <w:rFonts w:ascii="Arial" w:cs="Arial" w:eastAsia="Arial" w:hAnsi="Arial"/>
                <w:sz w:val="14"/>
                <w:szCs w:val="14"/>
                <w:b w:val="1"/>
                <w:bCs w:val="1"/>
                <w:color w:val="auto"/>
                <w:w w:val="96"/>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5.29</w:t>
            </w:r>
          </w:p>
        </w:tc>
        <w:tc>
          <w:tcPr>
            <w:tcW w:w="2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5.07</w:t>
            </w:r>
          </w:p>
        </w:tc>
        <w:tc>
          <w:tcPr>
            <w:tcW w:w="240" w:type="dxa"/>
            <w:vAlign w:val="bottom"/>
          </w:tcPr>
          <w:p>
            <w:pPr>
              <w:jc w:val="right"/>
              <w:ind w:right="28"/>
              <w:spacing w:after="0"/>
              <w:rPr>
                <w:sz w:val="20"/>
                <w:szCs w:val="20"/>
                <w:color w:val="auto"/>
              </w:rPr>
            </w:pPr>
            <w:r>
              <w:rPr>
                <w:rFonts w:ascii="Arial" w:cs="Arial" w:eastAsia="Arial" w:hAnsi="Arial"/>
                <w:sz w:val="14"/>
                <w:szCs w:val="14"/>
                <w:b w:val="1"/>
                <w:bCs w:val="1"/>
                <w:color w:val="auto"/>
                <w:w w:val="96"/>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5.31</w:t>
            </w:r>
          </w:p>
        </w:tc>
        <w:tc>
          <w:tcPr>
            <w:tcW w:w="260" w:type="dxa"/>
            <w:vAlign w:val="bottom"/>
          </w:tcPr>
          <w:p>
            <w:pPr>
              <w:jc w:val="right"/>
              <w:ind w:right="48"/>
              <w:spacing w:after="0"/>
              <w:rPr>
                <w:sz w:val="20"/>
                <w:szCs w:val="20"/>
                <w:color w:val="auto"/>
              </w:rPr>
            </w:pPr>
            <w:r>
              <w:rPr>
                <w:rFonts w:ascii="Arial" w:cs="Arial" w:eastAsia="Arial" w:hAnsi="Arial"/>
                <w:sz w:val="14"/>
                <w:szCs w:val="14"/>
                <w:b w:val="1"/>
                <w:bCs w:val="1"/>
                <w:color w:val="auto"/>
                <w:w w:val="96"/>
              </w:rPr>
              <w:t>%</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5279390</wp:posOffset>
            </wp:positionH>
            <wp:positionV relativeFrom="paragraph">
              <wp:posOffset>-8890</wp:posOffset>
            </wp:positionV>
            <wp:extent cx="11233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23315" cy="8890"/>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-8890</wp:posOffset>
            </wp:positionV>
            <wp:extent cx="17240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*Annualized.</w:t>
      </w:r>
    </w:p>
    <w:p>
      <w:pPr>
        <w:spacing w:after="0" w:line="7" w:lineRule="exact"/>
        <w:rPr>
          <w:sz w:val="20"/>
          <w:szCs w:val="20"/>
          <w:color w:val="auto"/>
        </w:rPr>
      </w:pPr>
    </w:p>
    <w:p>
      <w:pPr>
        <w:ind w:left="260" w:hanging="252"/>
        <w:spacing w:after="0"/>
        <w:tabs>
          <w:tab w:leader="none" w:pos="2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See note 1 in BCP and Subsidiaries income statement.</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See note 2 in BCP and Subsidiaries income statement.</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See notes 1 and 2 in II.1 Interest-earning assets first table.</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contraction in NII led to a slight contraction in the Net Interest Margin (NIM), which was attenuated by a slight decline in the average interest earning assets (-0.5% QoQ). NIM fell from 4.97% in 1Q13 to 4.92% in 2Q13.</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the contrary, if we analyze the NIM on loans, we see a 9 bps increase (from 8.10% to 8.19% at the end of 2Q13). The aforementioned is clear evidence that the loan portfolio is performing well given that the increase occurs in a scenario of significant impact generated by the devaluation of the Nuevo Sol on the proportionally higher income produced in LC.</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NIM</w:t>
      </w:r>
      <w:r>
        <w:rPr>
          <w:rFonts w:ascii="Arial" w:cs="Arial" w:eastAsia="Arial" w:hAnsi="Arial"/>
          <w:sz w:val="30"/>
          <w:szCs w:val="30"/>
          <w:b w:val="1"/>
          <w:bCs w:val="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2080260</wp:posOffset>
            </wp:positionH>
            <wp:positionV relativeFrom="paragraph">
              <wp:posOffset>90170</wp:posOffset>
            </wp:positionV>
            <wp:extent cx="3104515" cy="16294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04515" cy="1629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II.4 Past Due Portfolio and Net Provisions on Loan Losses</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i w:val="1"/>
          <w:iCs w:val="1"/>
          <w:color w:val="auto"/>
        </w:rPr>
        <w:t>The quarterly evolution shows that PDL ratios remained stable in virtually every segment. It is important to note the drop posted in the PDL ratio for Credit Cards, which indicates that the bank’s adjustments have had a positive impact in the performance of post-adjustment vintages. Nevertheless, the PDL ratio of the SME segment increased up to 7.56%, which explains the majority of the 4.5% QoQ increase in the PDL portfolio. The aforementioned, coupled with a drop in the loan portfolio balance (due primarily to the devaluation of the Nuevo Sol) led to an overall PDL ratio of 2.16% (vs 2.04% in 1Q13).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8097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0" w:lineRule="exact"/>
        <w:rPr>
          <w:sz w:val="20"/>
          <w:szCs w:val="20"/>
          <w:color w:val="auto"/>
        </w:rPr>
      </w:pPr>
    </w:p>
    <w:p>
      <w:pPr>
        <w:ind w:right="280" w:firstLine="8"/>
        <w:spacing w:after="0" w:line="194" w:lineRule="auto"/>
        <w:tabs>
          <w:tab w:leader="none" w:pos="120" w:val="left"/>
        </w:tabs>
        <w:numPr>
          <w:ilvl w:val="0"/>
          <w:numId w:val="21"/>
        </w:numPr>
        <w:rPr>
          <w:rFonts w:ascii="Arial" w:cs="Arial" w:eastAsia="Arial" w:hAnsi="Arial"/>
          <w:sz w:val="30"/>
          <w:szCs w:val="30"/>
          <w:color w:val="auto"/>
          <w:vertAlign w:val="superscript"/>
        </w:rPr>
      </w:pPr>
      <w:r>
        <w:rPr>
          <w:rFonts w:ascii="Arial" w:cs="Arial" w:eastAsia="Arial" w:hAnsi="Arial"/>
          <w:sz w:val="18"/>
          <w:szCs w:val="18"/>
          <w:color w:val="auto"/>
        </w:rPr>
        <w:t>Until 4Q12, total earning assets included current loans (including refinanced and restructured loans). Since 1Q13, total earning assets include total loans, meaning current loans and past due loans. NIM of loans is calculated as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311277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11277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share of loans within total earning assets is calculated by dividing the average of the beginning and closing balances of total loans for the reporting period, by the average of the beginning and closing balances of the interest earnings assets for the reporting period.</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0" w:name="page21"/>
    <w:bookmarkEnd w:id="20"/>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230"/>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Provision for loan losses</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gridSpan w:val="3"/>
          </w:tcPr>
          <w:p>
            <w:pPr>
              <w:ind w:left="700"/>
              <w:spacing w:after="0"/>
              <w:rPr>
                <w:sz w:val="20"/>
                <w:szCs w:val="20"/>
                <w:color w:val="auto"/>
              </w:rPr>
            </w:pPr>
            <w:r>
              <w:rPr>
                <w:rFonts w:ascii="Arial" w:cs="Arial" w:eastAsia="Arial" w:hAnsi="Arial"/>
                <w:sz w:val="18"/>
                <w:szCs w:val="18"/>
                <w:b w:val="1"/>
                <w:bCs w:val="1"/>
                <w:color w:val="auto"/>
                <w:w w:val="96"/>
              </w:rPr>
              <w:t>Change %</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2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2Q13</w:t>
            </w:r>
          </w:p>
        </w:tc>
        <w:tc>
          <w:tcPr>
            <w:tcW w:w="28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1Q13</w:t>
            </w:r>
          </w:p>
        </w:tc>
        <w:tc>
          <w:tcPr>
            <w:tcW w:w="30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2Q12</w:t>
            </w:r>
          </w:p>
        </w:tc>
        <w:tc>
          <w:tcPr>
            <w:tcW w:w="300" w:type="dxa"/>
            <w:vAlign w:val="bottom"/>
            <w:tcBorders>
              <w:bottom w:val="single" w:sz="8" w:color="CCFFCC"/>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6"/>
              </w:rPr>
              <w:t>YoY</w:t>
            </w:r>
          </w:p>
        </w:tc>
        <w:tc>
          <w:tcPr>
            <w:tcW w:w="20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CFFCC"/>
          </w:tcPr>
          <w:p>
            <w:pPr>
              <w:spacing w:after="0"/>
              <w:rPr>
                <w:sz w:val="20"/>
                <w:szCs w:val="20"/>
                <w:color w:val="auto"/>
              </w:rPr>
            </w:pPr>
            <w:r>
              <w:rPr>
                <w:rFonts w:ascii="Arial" w:cs="Arial" w:eastAsia="Arial" w:hAnsi="Arial"/>
                <w:sz w:val="18"/>
                <w:szCs w:val="18"/>
                <w:color w:val="auto"/>
              </w:rPr>
              <w:t>Provisions</w:t>
            </w: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(127,673)</w:t>
            </w: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(105,404)</w:t>
            </w:r>
          </w:p>
        </w:tc>
        <w:tc>
          <w:tcPr>
            <w:tcW w:w="3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(122,741)</w:t>
            </w:r>
          </w:p>
        </w:tc>
        <w:tc>
          <w:tcPr>
            <w:tcW w:w="3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21.1%</w:t>
            </w:r>
          </w:p>
        </w:tc>
        <w:tc>
          <w:tcPr>
            <w:tcW w:w="28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Loan loss recoveries</w:t>
            </w:r>
          </w:p>
        </w:tc>
        <w:tc>
          <w:tcPr>
            <w:tcW w:w="1000" w:type="dxa"/>
            <w:vAlign w:val="bottom"/>
          </w:tcPr>
          <w:p>
            <w:pPr>
              <w:jc w:val="right"/>
              <w:spacing w:after="0"/>
              <w:rPr>
                <w:sz w:val="20"/>
                <w:szCs w:val="20"/>
                <w:color w:val="auto"/>
              </w:rPr>
            </w:pPr>
            <w:r>
              <w:rPr>
                <w:rFonts w:ascii="Arial" w:cs="Arial" w:eastAsia="Arial" w:hAnsi="Arial"/>
                <w:sz w:val="18"/>
                <w:szCs w:val="18"/>
                <w:color w:val="auto"/>
              </w:rPr>
              <w:t>12,383</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10,732</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11,650</w:t>
            </w:r>
          </w:p>
        </w:tc>
        <w:tc>
          <w:tcPr>
            <w:tcW w:w="300" w:type="dxa"/>
            <w:vAlign w:val="bottom"/>
          </w:tcPr>
          <w:p>
            <w:pPr>
              <w:spacing w:after="0"/>
              <w:rPr>
                <w:sz w:val="19"/>
                <w:szCs w:val="19"/>
                <w:color w:val="auto"/>
              </w:rPr>
            </w:pP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15.4%</w:t>
            </w:r>
          </w:p>
        </w:tc>
        <w:tc>
          <w:tcPr>
            <w:tcW w:w="2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488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Net provisions, for loan losses</w:t>
            </w: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(115,290</w:t>
            </w:r>
          </w:p>
        </w:tc>
        <w:tc>
          <w:tcPr>
            <w:tcW w:w="280" w:type="dxa"/>
            <w:vAlign w:val="bottom"/>
            <w:tcBorders>
              <w:top w:val="single" w:sz="8" w:color="CCFFCC"/>
            </w:tcBorders>
            <w:shd w:val="clear" w:color="auto" w:fill="CCFFCC"/>
          </w:tcPr>
          <w:p>
            <w:pPr>
              <w:jc w:val="right"/>
              <w:ind w:right="200"/>
              <w:spacing w:after="0"/>
              <w:rPr>
                <w:sz w:val="20"/>
                <w:szCs w:val="20"/>
                <w:color w:val="auto"/>
              </w:rPr>
            </w:pPr>
            <w:r>
              <w:rPr>
                <w:rFonts w:ascii="Arial" w:cs="Arial" w:eastAsia="Arial" w:hAnsi="Arial"/>
                <w:sz w:val="8"/>
                <w:szCs w:val="8"/>
                <w:b w:val="1"/>
                <w:bCs w:val="1"/>
                <w:color w:val="auto"/>
                <w:w w:val="73"/>
              </w:rPr>
              <w:t>)</w:t>
            </w: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(94,672</w:t>
            </w:r>
          </w:p>
        </w:tc>
        <w:tc>
          <w:tcPr>
            <w:tcW w:w="300" w:type="dxa"/>
            <w:vAlign w:val="bottom"/>
            <w:tcBorders>
              <w:top w:val="single" w:sz="8" w:color="CCFFCC"/>
            </w:tcBorders>
            <w:shd w:val="clear" w:color="auto" w:fill="CCFFCC"/>
          </w:tcPr>
          <w:p>
            <w:pPr>
              <w:jc w:val="right"/>
              <w:ind w:right="160"/>
              <w:spacing w:after="0"/>
              <w:rPr>
                <w:sz w:val="20"/>
                <w:szCs w:val="20"/>
                <w:color w:val="auto"/>
              </w:rPr>
            </w:pPr>
            <w:r>
              <w:rPr>
                <w:rFonts w:ascii="Arial" w:cs="Arial" w:eastAsia="Arial" w:hAnsi="Arial"/>
                <w:sz w:val="16"/>
                <w:szCs w:val="16"/>
                <w:b w:val="1"/>
                <w:bCs w:val="1"/>
                <w:color w:val="auto"/>
                <w:w w:val="74"/>
              </w:rPr>
              <w:t>)</w:t>
            </w: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(111,091</w:t>
            </w:r>
          </w:p>
        </w:tc>
        <w:tc>
          <w:tcPr>
            <w:tcW w:w="300" w:type="dxa"/>
            <w:vAlign w:val="bottom"/>
            <w:tcBorders>
              <w:top w:val="single" w:sz="8" w:color="CCFFCC"/>
            </w:tcBorders>
            <w:shd w:val="clear" w:color="auto" w:fill="CCFFCC"/>
          </w:tcPr>
          <w:p>
            <w:pPr>
              <w:jc w:val="right"/>
              <w:ind w:right="160"/>
              <w:spacing w:after="0"/>
              <w:rPr>
                <w:sz w:val="20"/>
                <w:szCs w:val="20"/>
                <w:color w:val="auto"/>
              </w:rPr>
            </w:pPr>
            <w:r>
              <w:rPr>
                <w:rFonts w:ascii="Arial" w:cs="Arial" w:eastAsia="Arial" w:hAnsi="Arial"/>
                <w:sz w:val="16"/>
                <w:szCs w:val="16"/>
                <w:b w:val="1"/>
                <w:bCs w:val="1"/>
                <w:color w:val="auto"/>
                <w:w w:val="74"/>
              </w:rPr>
              <w:t>)</w:t>
            </w: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21.8</w:t>
            </w:r>
          </w:p>
        </w:tc>
        <w:tc>
          <w:tcPr>
            <w:tcW w:w="3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6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3.8</w:t>
            </w:r>
          </w:p>
        </w:tc>
        <w:tc>
          <w:tcPr>
            <w:tcW w:w="2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Annualized net provisions / Total loans</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2.2%</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1.8%</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2.4%</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Net Provisions / Net Interest Income</w:t>
            </w:r>
          </w:p>
        </w:tc>
        <w:tc>
          <w:tcPr>
            <w:tcW w:w="1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28.4%</w:t>
            </w:r>
          </w:p>
        </w:tc>
        <w:tc>
          <w:tcPr>
            <w:tcW w:w="1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23.0%</w:t>
            </w:r>
          </w:p>
        </w:tc>
        <w:tc>
          <w:tcPr>
            <w:tcW w:w="1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31.3%</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8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color w:val="auto"/>
              </w:rPr>
              <w:t>Total loans</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20,687,219</w:t>
            </w:r>
          </w:p>
        </w:tc>
        <w:tc>
          <w:tcPr>
            <w:tcW w:w="280" w:type="dxa"/>
            <w:vAlign w:val="bottom"/>
            <w:tcBorders>
              <w:bottom w:val="single" w:sz="8" w:color="CCFFCC"/>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20,905,587</w:t>
            </w:r>
          </w:p>
        </w:tc>
        <w:tc>
          <w:tcPr>
            <w:tcW w:w="300" w:type="dxa"/>
            <w:vAlign w:val="bottom"/>
            <w:tcBorders>
              <w:bottom w:val="single" w:sz="8" w:color="CCFFCC"/>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18,599,091</w:t>
            </w:r>
          </w:p>
        </w:tc>
        <w:tc>
          <w:tcPr>
            <w:tcW w:w="300" w:type="dxa"/>
            <w:vAlign w:val="bottom"/>
            <w:tcBorders>
              <w:bottom w:val="single" w:sz="8" w:color="CCFFCC"/>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8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Reserve for loan losses (RLL)</w:t>
            </w: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752,538</w:t>
            </w:r>
          </w:p>
        </w:tc>
        <w:tc>
          <w:tcPr>
            <w:tcW w:w="280" w:type="dxa"/>
            <w:vAlign w:val="bottom"/>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737,664</w:t>
            </w:r>
          </w:p>
        </w:tc>
        <w:tc>
          <w:tcPr>
            <w:tcW w:w="300" w:type="dxa"/>
            <w:vAlign w:val="bottom"/>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625,293</w:t>
            </w:r>
          </w:p>
        </w:tc>
        <w:tc>
          <w:tcPr>
            <w:tcW w:w="300" w:type="dxa"/>
            <w:vAlign w:val="bottom"/>
            <w:shd w:val="clear" w:color="auto" w:fill="CCFFCC"/>
          </w:tcPr>
          <w:p>
            <w:pPr>
              <w:spacing w:after="0"/>
              <w:rPr>
                <w:sz w:val="18"/>
                <w:szCs w:val="18"/>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FFCC"/>
          </w:tcPr>
          <w:p>
            <w:pPr>
              <w:spacing w:after="0"/>
              <w:rPr>
                <w:sz w:val="18"/>
                <w:szCs w:val="18"/>
                <w:color w:val="auto"/>
              </w:rPr>
            </w:pPr>
          </w:p>
        </w:tc>
        <w:tc>
          <w:tcPr>
            <w:tcW w:w="6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88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color w:val="auto"/>
              </w:rPr>
              <w:t>Charge-Off amount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72,923</w:t>
            </w:r>
          </w:p>
        </w:tc>
        <w:tc>
          <w:tcPr>
            <w:tcW w:w="280" w:type="dxa"/>
            <w:vAlign w:val="bottom"/>
            <w:tcBorders>
              <w:bottom w:val="single" w:sz="8" w:color="CCFFCC"/>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59,310</w:t>
            </w:r>
          </w:p>
        </w:tc>
        <w:tc>
          <w:tcPr>
            <w:tcW w:w="300" w:type="dxa"/>
            <w:vAlign w:val="bottom"/>
            <w:tcBorders>
              <w:bottom w:val="single" w:sz="8" w:color="CCFFCC"/>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56,781</w:t>
            </w:r>
          </w:p>
        </w:tc>
        <w:tc>
          <w:tcPr>
            <w:tcW w:w="300" w:type="dxa"/>
            <w:vAlign w:val="bottom"/>
            <w:tcBorders>
              <w:bottom w:val="single" w:sz="8" w:color="CCFFCC"/>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30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20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8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Past due loans (PDL)</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446,086</w:t>
            </w: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426,811</w:t>
            </w:r>
          </w:p>
        </w:tc>
        <w:tc>
          <w:tcPr>
            <w:tcW w:w="3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334,509</w:t>
            </w:r>
          </w:p>
        </w:tc>
        <w:tc>
          <w:tcPr>
            <w:tcW w:w="3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Non-performing loans (NPLs)</w:t>
            </w:r>
          </w:p>
        </w:tc>
        <w:tc>
          <w:tcPr>
            <w:tcW w:w="1000" w:type="dxa"/>
            <w:vAlign w:val="bottom"/>
          </w:tcPr>
          <w:p>
            <w:pPr>
              <w:jc w:val="right"/>
              <w:spacing w:after="0"/>
              <w:rPr>
                <w:sz w:val="20"/>
                <w:szCs w:val="20"/>
                <w:color w:val="auto"/>
              </w:rPr>
            </w:pPr>
            <w:r>
              <w:rPr>
                <w:rFonts w:ascii="Arial" w:cs="Arial" w:eastAsia="Arial" w:hAnsi="Arial"/>
                <w:sz w:val="18"/>
                <w:szCs w:val="18"/>
                <w:color w:val="auto"/>
              </w:rPr>
              <w:t>578,566</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562,310</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449,370</w:t>
            </w:r>
          </w:p>
        </w:tc>
        <w:tc>
          <w:tcPr>
            <w:tcW w:w="300" w:type="dxa"/>
            <w:vAlign w:val="bottom"/>
          </w:tcPr>
          <w:p>
            <w:pPr>
              <w:spacing w:after="0"/>
              <w:rPr>
                <w:sz w:val="19"/>
                <w:szCs w:val="19"/>
                <w:color w:val="auto"/>
              </w:rPr>
            </w:pP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0"/>
        </w:trPr>
        <w:tc>
          <w:tcPr>
            <w:tcW w:w="4880" w:type="dxa"/>
            <w:vAlign w:val="bottom"/>
            <w:gridSpan w:val="2"/>
            <w:vMerge w:val="restart"/>
            <w:shd w:val="clear" w:color="auto" w:fill="CCFFCC"/>
          </w:tcPr>
          <w:p>
            <w:pPr>
              <w:spacing w:after="0"/>
              <w:rPr>
                <w:sz w:val="20"/>
                <w:szCs w:val="20"/>
                <w:color w:val="auto"/>
              </w:rPr>
            </w:pPr>
            <w:r>
              <w:rPr>
                <w:rFonts w:ascii="Arial" w:cs="Arial" w:eastAsia="Arial" w:hAnsi="Arial"/>
                <w:sz w:val="18"/>
                <w:szCs w:val="18"/>
                <w:b w:val="1"/>
                <w:bCs w:val="1"/>
                <w:color w:val="auto"/>
              </w:rPr>
              <w:t>PDL ratio at 90 days</w:t>
            </w: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gridSpan w:val="2"/>
            <w:vMerge w:val="continue"/>
            <w:shd w:val="clear" w:color="auto" w:fill="CCFFCC"/>
          </w:tcPr>
          <w:p>
            <w:pPr>
              <w:spacing w:after="0"/>
              <w:rPr>
                <w:sz w:val="18"/>
                <w:szCs w:val="18"/>
                <w:color w:val="auto"/>
              </w:rPr>
            </w:pPr>
          </w:p>
        </w:tc>
        <w:tc>
          <w:tcPr>
            <w:tcW w:w="1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1.45%</w:t>
            </w:r>
          </w:p>
        </w:tc>
        <w:tc>
          <w:tcPr>
            <w:tcW w:w="1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1.35%</w:t>
            </w:r>
          </w:p>
        </w:tc>
        <w:tc>
          <w:tcPr>
            <w:tcW w:w="1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1.16%</w:t>
            </w:r>
          </w:p>
        </w:tc>
        <w:tc>
          <w:tcPr>
            <w:tcW w:w="9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PDL ratio</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2.16%</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2.04%</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1.80%</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NPL ratio</w:t>
            </w:r>
          </w:p>
        </w:tc>
        <w:tc>
          <w:tcPr>
            <w:tcW w:w="1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2.80%</w:t>
            </w:r>
          </w:p>
        </w:tc>
        <w:tc>
          <w:tcPr>
            <w:tcW w:w="1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2.69%</w:t>
            </w:r>
          </w:p>
        </w:tc>
        <w:tc>
          <w:tcPr>
            <w:tcW w:w="1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2.42%</w:t>
            </w:r>
          </w:p>
        </w:tc>
        <w:tc>
          <w:tcPr>
            <w:tcW w:w="9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Coverage of PDLs</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168.7%</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172.8%</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186.9%</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Coverage of NPLs</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130.1%</w:t>
            </w:r>
          </w:p>
        </w:tc>
        <w:tc>
          <w:tcPr>
            <w:tcW w:w="13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131.2%</w:t>
            </w: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139.1%</w:t>
            </w:r>
          </w:p>
        </w:tc>
        <w:tc>
          <w:tcPr>
            <w:tcW w:w="98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68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provisions expense for loan losses totaled US$ 115.3 million. This represented 28.4% of NII (a level higher than the 23% registered in 1Q13) and 2.2% of total loans (+1.8% above the reported in 1Q13). The coverage ratios for PDL and NPL portfolios were situated at 168.7% and 130.1%, respectively. Both levels are considerably higher than BCP’s internal limits.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21.8% expansion in net provisions expenses for loan losses is due primarily to an increase in the PDL ratio of the SME segment. The higher expense was also associated with an increase in charge offs for the Q (US$ 72.9 million in 2Q13 vs US$ 59.3 million in 1Q1313) and led to a rise of 2% QoQ in the provisions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124460</wp:posOffset>
            </wp:positionV>
            <wp:extent cx="2632710" cy="20154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32710" cy="201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Quality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PDL ratio increased 12 bps to situate at 2.16% at the end of the quarter (vs. 2.04% at the end of 1Q13) while the 90-day PDL ratio raised 10 bps (going from 1.35% to 1.45%). The 12-bps increase in the PDL ratio was due to: (i) 9 bps for the expansion of the PDL portfolio, which was in turn due to higher delinquency in the SME segment; and (ii) 3 bps for the contraction in total loans, which in turn reflected the impact of the devaluation of the Nuevo Sol that hid the excellent dynamism of LC loans.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PDL ratio in the SME segment increased to 7.56% at the end of 2Q13 (vs. 6.78% at the end of 1Q13). As we explained last quarter this coincides with the 24-month maturity period of pre-adjustment vintages (July 2011 – August 2012).</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1" w:name="page22"/>
    <w:bookmarkEnd w:id="21"/>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The NPL portfolio expanded +2.9% QoQ. This led to a 10 pbs increase in the NPL ratio, which was situated at 2.80% (which tops the 2.69% posted in 1Q13). It is important to note that BCP’s NPL ratio is lower than the average NPL ratio registered by the Peruvian banking system, which was situated at 3.0% at the end of June 2013 (Data SBS).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figure shows the evolution of the past due portfolio by segment and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152400</wp:posOffset>
            </wp:positionV>
            <wp:extent cx="3319145" cy="2195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19145" cy="2195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When analyzing the evolution of the PDL ratio by banking division and product, it is important to note that:</w:t>
      </w:r>
    </w:p>
    <w:p>
      <w:pPr>
        <w:spacing w:after="0" w:line="225" w:lineRule="exact"/>
        <w:rPr>
          <w:sz w:val="20"/>
          <w:szCs w:val="20"/>
          <w:color w:val="auto"/>
        </w:rPr>
      </w:pPr>
    </w:p>
    <w:p>
      <w:pPr>
        <w:ind w:left="9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credit card segment has improved QoQ, posting a 14 bps reduction that coincides with expectations given that post-adjustment vintages are performing increasingly well.</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consumer segment, the PDL ratio has stabilized at 2.41% due to adjustments in the bank’s credit policies.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mortgage loan portfolio posted a stable PDL ratio of 1.22% at the end of June 2013.</w:t>
      </w:r>
    </w:p>
    <w:p>
      <w:pPr>
        <w:spacing w:after="0" w:line="225"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Edyficar’s PDL ratio held at 3.9%. It is important to note that the ratio has remained stable despite the fact that the loan portfolio expanded only +0.4% QoQ due to the impact of the devaluation of the Nuevo Sol (the currency in which the bank offers all of its loans).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the devaluation of Credit Risk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end of 2Q13, the sensitivity analysis of BCP’s credit risk in a scenario of significant devaluation of the Nuevo Sol against the US Dollar shows that the risk is minimal and is very controlled thanks to adequate risk policies for both credit risk assessment and risk monitoring.</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 scenario of an additional 15% devaluation, approximately 19.2% of BCP’s total loan portfolio would be exposed to the impact of a devaluation shock. The term “exposed” refers to the fact that the client will be impacted, but the client may or may not be in the position to assume this impact. The portfolio exposed to the impact of devaluation is situated primarily in Wholesale Banking (60%) and Retail Banking (40%).</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case of Wholesale Banking, the financial strength of our clients, coupled with the exchange rate coverage that they might have taken and their ability to generate income in US Dollars, will put the majority in good stead to assume the impact of devaluation.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Retail Banking the majority of exposure comes from the mortgage loan portfolio, which is mainly composed of clients from the A and B socio-economic sectors. These loans have an LTV ratio of 62%. This percentage would be significantly lower if we consider the revaluation posted in financed real-estate over the past 10 years.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2" w:name="page23"/>
    <w:bookmarkEnd w:id="22"/>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The estimated loss for BCP is situated at approximately US$ 10.5 million, which reflects a relatively low credit risk in the aforementioned scenario. The estimated loss for the Wholesale Banking portfolio is US$6.6 million and for the Retail Banking portfolio is US$ 3.9 million.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Additionally, the PDL and NPL ratios reported at the end of 2Q13 would increase 5 pbs, going from 2.16% to 2.21%, and from 2.80% to 2.85%,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II.5 Non-financial income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At the end of 2Q13, banking service fees and gains on foreign exchange transactions continued to evolve favorably with growth of +7.4% and +12.1% QoQ, respectively. This was offset by the impact of the net loss on sales of securities (- US$ 27.0 million), which was primarily linked to the performance of sovereign bonds in Latin America.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80" w:type="dxa"/>
            <w:vAlign w:val="bottom"/>
            <w:gridSpan w:val="2"/>
          </w:tcPr>
          <w:p>
            <w:pPr>
              <w:spacing w:after="0"/>
              <w:rPr>
                <w:sz w:val="20"/>
                <w:szCs w:val="20"/>
                <w:color w:val="auto"/>
              </w:rPr>
            </w:pPr>
            <w:r>
              <w:rPr>
                <w:rFonts w:ascii="Arial" w:cs="Arial" w:eastAsia="Arial" w:hAnsi="Arial"/>
                <w:sz w:val="13"/>
                <w:szCs w:val="13"/>
                <w:b w:val="1"/>
                <w:bCs w:val="1"/>
                <w:color w:val="auto"/>
              </w:rPr>
              <w:t>Non financial income (1)</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Quarter</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3"/>
          </w:tcPr>
          <w:p>
            <w:pPr>
              <w:ind w:left="500"/>
              <w:spacing w:after="0"/>
              <w:rPr>
                <w:sz w:val="20"/>
                <w:szCs w:val="20"/>
                <w:color w:val="auto"/>
              </w:rPr>
            </w:pPr>
            <w:r>
              <w:rPr>
                <w:rFonts w:ascii="Arial" w:cs="Arial" w:eastAsia="Arial" w:hAnsi="Arial"/>
                <w:sz w:val="13"/>
                <w:szCs w:val="13"/>
                <w:b w:val="1"/>
                <w:bCs w:val="1"/>
                <w:color w:val="auto"/>
                <w:w w:val="92"/>
              </w:rPr>
              <w:t>Change %</w:t>
            </w: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80" w:type="dxa"/>
            <w:vAlign w:val="bottom"/>
            <w:gridSpan w:val="4"/>
          </w:tcPr>
          <w:p>
            <w:pPr>
              <w:ind w:left="440"/>
              <w:spacing w:after="0"/>
              <w:rPr>
                <w:sz w:val="20"/>
                <w:szCs w:val="20"/>
                <w:color w:val="auto"/>
              </w:rPr>
            </w:pPr>
            <w:r>
              <w:rPr>
                <w:rFonts w:ascii="Arial" w:cs="Arial" w:eastAsia="Arial" w:hAnsi="Arial"/>
                <w:sz w:val="13"/>
                <w:szCs w:val="13"/>
                <w:b w:val="1"/>
                <w:bCs w:val="1"/>
                <w:color w:val="auto"/>
              </w:rPr>
              <w:t>Year to date</w:t>
            </w:r>
          </w:p>
        </w:tc>
        <w:tc>
          <w:tcPr>
            <w:tcW w:w="940" w:type="dxa"/>
            <w:vAlign w:val="bottom"/>
            <w:gridSpan w:val="2"/>
          </w:tcPr>
          <w:p>
            <w:pPr>
              <w:jc w:val="right"/>
              <w:ind w:right="197"/>
              <w:spacing w:after="0"/>
              <w:rPr>
                <w:sz w:val="20"/>
                <w:szCs w:val="20"/>
                <w:color w:val="auto"/>
              </w:rPr>
            </w:pPr>
            <w:r>
              <w:rPr>
                <w:rFonts w:ascii="Arial" w:cs="Arial" w:eastAsia="Arial" w:hAnsi="Arial"/>
                <w:sz w:val="13"/>
                <w:szCs w:val="13"/>
                <w:b w:val="1"/>
                <w:bCs w:val="1"/>
                <w:color w:val="auto"/>
              </w:rPr>
              <w:t>Change %</w:t>
            </w:r>
          </w:p>
        </w:tc>
        <w:tc>
          <w:tcPr>
            <w:tcW w:w="0" w:type="dxa"/>
            <w:vAlign w:val="bottom"/>
          </w:tcPr>
          <w:p>
            <w:pPr>
              <w:spacing w:after="0"/>
              <w:rPr>
                <w:sz w:val="1"/>
                <w:szCs w:val="1"/>
                <w:color w:val="auto"/>
              </w:rPr>
            </w:pPr>
          </w:p>
        </w:tc>
      </w:tr>
      <w:tr>
        <w:trPr>
          <w:trHeight w:val="153"/>
        </w:trPr>
        <w:tc>
          <w:tcPr>
            <w:tcW w:w="4080" w:type="dxa"/>
            <w:vAlign w:val="bottom"/>
          </w:tcPr>
          <w:p>
            <w:pPr>
              <w:spacing w:after="0"/>
              <w:rPr>
                <w:sz w:val="20"/>
                <w:szCs w:val="20"/>
                <w:color w:val="auto"/>
              </w:rPr>
            </w:pPr>
            <w:r>
              <w:rPr>
                <w:rFonts w:ascii="Arial" w:cs="Arial" w:eastAsia="Arial" w:hAnsi="Arial"/>
                <w:sz w:val="13"/>
                <w:szCs w:val="13"/>
                <w:color w:val="auto"/>
              </w:rPr>
              <w:t>US$ 000</w:t>
            </w:r>
          </w:p>
        </w:tc>
        <w:tc>
          <w:tcPr>
            <w:tcW w:w="100" w:type="dxa"/>
            <w:vAlign w:val="bottom"/>
          </w:tcPr>
          <w:p>
            <w:pPr>
              <w:spacing w:after="0"/>
              <w:rPr>
                <w:sz w:val="13"/>
                <w:szCs w:val="13"/>
                <w:color w:val="auto"/>
              </w:rPr>
            </w:pPr>
          </w:p>
        </w:tc>
        <w:tc>
          <w:tcPr>
            <w:tcW w:w="680" w:type="dxa"/>
            <w:vAlign w:val="bottom"/>
          </w:tcPr>
          <w:p>
            <w:pPr>
              <w:jc w:val="right"/>
              <w:ind w:right="137"/>
              <w:spacing w:after="0"/>
              <w:rPr>
                <w:sz w:val="20"/>
                <w:szCs w:val="20"/>
                <w:color w:val="auto"/>
              </w:rPr>
            </w:pPr>
            <w:r>
              <w:rPr>
                <w:rFonts w:ascii="Arial" w:cs="Arial" w:eastAsia="Arial" w:hAnsi="Arial"/>
                <w:sz w:val="13"/>
                <w:szCs w:val="13"/>
                <w:b w:val="1"/>
                <w:bCs w:val="1"/>
                <w:color w:val="auto"/>
              </w:rPr>
              <w:t>2Q13</w:t>
            </w:r>
          </w:p>
        </w:tc>
        <w:tc>
          <w:tcPr>
            <w:tcW w:w="220" w:type="dxa"/>
            <w:vAlign w:val="bottom"/>
          </w:tcPr>
          <w:p>
            <w:pPr>
              <w:spacing w:after="0"/>
              <w:rPr>
                <w:sz w:val="13"/>
                <w:szCs w:val="13"/>
                <w:color w:val="auto"/>
              </w:rPr>
            </w:pPr>
          </w:p>
        </w:tc>
        <w:tc>
          <w:tcPr>
            <w:tcW w:w="660" w:type="dxa"/>
            <w:vAlign w:val="bottom"/>
          </w:tcPr>
          <w:p>
            <w:pPr>
              <w:jc w:val="right"/>
              <w:ind w:right="117"/>
              <w:spacing w:after="0"/>
              <w:rPr>
                <w:sz w:val="20"/>
                <w:szCs w:val="20"/>
                <w:color w:val="auto"/>
              </w:rPr>
            </w:pPr>
            <w:r>
              <w:rPr>
                <w:rFonts w:ascii="Arial" w:cs="Arial" w:eastAsia="Arial" w:hAnsi="Arial"/>
                <w:sz w:val="13"/>
                <w:szCs w:val="13"/>
                <w:b w:val="1"/>
                <w:bCs w:val="1"/>
                <w:color w:val="auto"/>
              </w:rPr>
              <w:t>1Q13</w:t>
            </w:r>
          </w:p>
        </w:tc>
        <w:tc>
          <w:tcPr>
            <w:tcW w:w="220" w:type="dxa"/>
            <w:vAlign w:val="bottom"/>
          </w:tcPr>
          <w:p>
            <w:pPr>
              <w:spacing w:after="0"/>
              <w:rPr>
                <w:sz w:val="13"/>
                <w:szCs w:val="13"/>
                <w:color w:val="auto"/>
              </w:rPr>
            </w:pPr>
          </w:p>
        </w:tc>
        <w:tc>
          <w:tcPr>
            <w:tcW w:w="680" w:type="dxa"/>
            <w:vAlign w:val="bottom"/>
          </w:tcPr>
          <w:p>
            <w:pPr>
              <w:jc w:val="right"/>
              <w:ind w:right="137"/>
              <w:spacing w:after="0"/>
              <w:rPr>
                <w:sz w:val="20"/>
                <w:szCs w:val="20"/>
                <w:color w:val="auto"/>
              </w:rPr>
            </w:pPr>
            <w:r>
              <w:rPr>
                <w:rFonts w:ascii="Arial" w:cs="Arial" w:eastAsia="Arial" w:hAnsi="Arial"/>
                <w:sz w:val="13"/>
                <w:szCs w:val="13"/>
                <w:b w:val="1"/>
                <w:bCs w:val="1"/>
                <w:color w:val="auto"/>
              </w:rPr>
              <w:t>2Q12</w:t>
            </w:r>
          </w:p>
        </w:tc>
        <w:tc>
          <w:tcPr>
            <w:tcW w:w="220" w:type="dxa"/>
            <w:vAlign w:val="bottom"/>
          </w:tcPr>
          <w:p>
            <w:pPr>
              <w:spacing w:after="0"/>
              <w:rPr>
                <w:sz w:val="13"/>
                <w:szCs w:val="13"/>
                <w:color w:val="auto"/>
              </w:rPr>
            </w:pPr>
          </w:p>
        </w:tc>
        <w:tc>
          <w:tcPr>
            <w:tcW w:w="680" w:type="dxa"/>
            <w:vAlign w:val="bottom"/>
          </w:tcPr>
          <w:p>
            <w:pPr>
              <w:jc w:val="right"/>
              <w:ind w:right="157"/>
              <w:spacing w:after="0"/>
              <w:rPr>
                <w:sz w:val="20"/>
                <w:szCs w:val="20"/>
                <w:color w:val="auto"/>
              </w:rPr>
            </w:pPr>
            <w:r>
              <w:rPr>
                <w:rFonts w:ascii="Arial" w:cs="Arial" w:eastAsia="Arial" w:hAnsi="Arial"/>
                <w:sz w:val="13"/>
                <w:szCs w:val="13"/>
                <w:b w:val="1"/>
                <w:bCs w:val="1"/>
                <w:color w:val="auto"/>
              </w:rPr>
              <w:t>QoQ</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jc w:val="right"/>
              <w:ind w:right="157"/>
              <w:spacing w:after="0"/>
              <w:rPr>
                <w:sz w:val="20"/>
                <w:szCs w:val="20"/>
                <w:color w:val="auto"/>
              </w:rPr>
            </w:pPr>
            <w:r>
              <w:rPr>
                <w:rFonts w:ascii="Arial" w:cs="Arial" w:eastAsia="Arial" w:hAnsi="Arial"/>
                <w:sz w:val="13"/>
                <w:szCs w:val="13"/>
                <w:b w:val="1"/>
                <w:bCs w:val="1"/>
                <w:color w:val="auto"/>
                <w:w w:val="94"/>
              </w:rPr>
              <w:t>YoY</w:t>
            </w:r>
          </w:p>
        </w:tc>
        <w:tc>
          <w:tcPr>
            <w:tcW w:w="260" w:type="dxa"/>
            <w:vAlign w:val="bottom"/>
          </w:tcPr>
          <w:p>
            <w:pPr>
              <w:spacing w:after="0"/>
              <w:rPr>
                <w:sz w:val="13"/>
                <w:szCs w:val="13"/>
                <w:color w:val="auto"/>
              </w:rPr>
            </w:pPr>
          </w:p>
        </w:tc>
        <w:tc>
          <w:tcPr>
            <w:tcW w:w="660" w:type="dxa"/>
            <w:vAlign w:val="bottom"/>
          </w:tcPr>
          <w:p>
            <w:pPr>
              <w:jc w:val="right"/>
              <w:ind w:right="97"/>
              <w:spacing w:after="0"/>
              <w:rPr>
                <w:sz w:val="20"/>
                <w:szCs w:val="20"/>
                <w:color w:val="auto"/>
              </w:rPr>
            </w:pPr>
            <w:r>
              <w:rPr>
                <w:rFonts w:ascii="Arial" w:cs="Arial" w:eastAsia="Arial" w:hAnsi="Arial"/>
                <w:sz w:val="13"/>
                <w:szCs w:val="13"/>
                <w:b w:val="1"/>
                <w:bCs w:val="1"/>
                <w:color w:val="auto"/>
              </w:rPr>
              <w:t>Jun 13</w:t>
            </w:r>
          </w:p>
        </w:tc>
        <w:tc>
          <w:tcPr>
            <w:tcW w:w="220" w:type="dxa"/>
            <w:vAlign w:val="bottom"/>
          </w:tcPr>
          <w:p>
            <w:pPr>
              <w:spacing w:after="0"/>
              <w:rPr>
                <w:sz w:val="13"/>
                <w:szCs w:val="13"/>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b w:val="1"/>
                <w:bCs w:val="1"/>
                <w:color w:val="auto"/>
              </w:rPr>
              <w:t>Jun 12</w:t>
            </w:r>
          </w:p>
        </w:tc>
        <w:tc>
          <w:tcPr>
            <w:tcW w:w="220" w:type="dxa"/>
            <w:vAlign w:val="bottom"/>
          </w:tcPr>
          <w:p>
            <w:pPr>
              <w:spacing w:after="0"/>
              <w:rPr>
                <w:sz w:val="13"/>
                <w:szCs w:val="13"/>
                <w:color w:val="auto"/>
              </w:rPr>
            </w:pPr>
          </w:p>
        </w:tc>
        <w:tc>
          <w:tcPr>
            <w:tcW w:w="940" w:type="dxa"/>
            <w:vAlign w:val="bottom"/>
            <w:gridSpan w:val="2"/>
          </w:tcPr>
          <w:p>
            <w:pPr>
              <w:jc w:val="right"/>
              <w:ind w:right="57"/>
              <w:spacing w:after="0"/>
              <w:rPr>
                <w:sz w:val="20"/>
                <w:szCs w:val="20"/>
                <w:color w:val="auto"/>
              </w:rPr>
            </w:pPr>
            <w:r>
              <w:rPr>
                <w:rFonts w:ascii="Arial" w:cs="Arial" w:eastAsia="Arial" w:hAnsi="Arial"/>
                <w:sz w:val="13"/>
                <w:szCs w:val="13"/>
                <w:b w:val="1"/>
                <w:bCs w:val="1"/>
                <w:color w:val="auto"/>
                <w:w w:val="85"/>
              </w:rPr>
              <w:t>Jun 13 / Jun 12</w:t>
            </w:r>
          </w:p>
        </w:tc>
        <w:tc>
          <w:tcPr>
            <w:tcW w:w="0" w:type="dxa"/>
            <w:vAlign w:val="bottom"/>
          </w:tcPr>
          <w:p>
            <w:pPr>
              <w:spacing w:after="0"/>
              <w:rPr>
                <w:sz w:val="1"/>
                <w:szCs w:val="1"/>
                <w:color w:val="auto"/>
              </w:rPr>
            </w:pPr>
          </w:p>
        </w:tc>
      </w:tr>
      <w:tr>
        <w:trPr>
          <w:trHeight w:val="20"/>
        </w:trPr>
        <w:tc>
          <w:tcPr>
            <w:tcW w:w="40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80" w:type="dxa"/>
            <w:vAlign w:val="bottom"/>
            <w:shd w:val="clear" w:color="auto" w:fill="CCFFCC"/>
          </w:tcPr>
          <w:p>
            <w:pPr>
              <w:spacing w:after="0" w:line="129" w:lineRule="exact"/>
              <w:rPr>
                <w:sz w:val="20"/>
                <w:szCs w:val="20"/>
                <w:color w:val="auto"/>
              </w:rPr>
            </w:pPr>
            <w:r>
              <w:rPr>
                <w:rFonts w:ascii="Arial" w:cs="Arial" w:eastAsia="Arial" w:hAnsi="Arial"/>
                <w:sz w:val="13"/>
                <w:szCs w:val="13"/>
                <w:color w:val="auto"/>
              </w:rPr>
              <w:t>Fee income</w:t>
            </w:r>
          </w:p>
        </w:tc>
        <w:tc>
          <w:tcPr>
            <w:tcW w:w="100" w:type="dxa"/>
            <w:vAlign w:val="bottom"/>
            <w:vMerge w:val="continue"/>
            <w:shd w:val="clear" w:color="auto" w:fill="CCFFCC"/>
          </w:tcPr>
          <w:p>
            <w:pPr>
              <w:spacing w:after="0"/>
              <w:rPr>
                <w:sz w:val="11"/>
                <w:szCs w:val="11"/>
                <w:color w:val="auto"/>
              </w:rPr>
            </w:pPr>
          </w:p>
        </w:tc>
        <w:tc>
          <w:tcPr>
            <w:tcW w:w="6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163,155</w:t>
            </w: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151,912</w:t>
            </w:r>
          </w:p>
        </w:tc>
        <w:tc>
          <w:tcPr>
            <w:tcW w:w="220" w:type="dxa"/>
            <w:vAlign w:val="bottom"/>
            <w:vMerge w:val="continue"/>
            <w:shd w:val="clear" w:color="auto" w:fill="CCFFCC"/>
          </w:tcPr>
          <w:p>
            <w:pPr>
              <w:spacing w:after="0"/>
              <w:rPr>
                <w:sz w:val="11"/>
                <w:szCs w:val="11"/>
                <w:color w:val="auto"/>
              </w:rPr>
            </w:pPr>
          </w:p>
        </w:tc>
        <w:tc>
          <w:tcPr>
            <w:tcW w:w="6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145,823</w:t>
            </w:r>
          </w:p>
        </w:tc>
        <w:tc>
          <w:tcPr>
            <w:tcW w:w="220" w:type="dxa"/>
            <w:vAlign w:val="bottom"/>
            <w:vMerge w:val="continue"/>
            <w:shd w:val="clear" w:color="auto" w:fill="CCFFCC"/>
          </w:tcPr>
          <w:p>
            <w:pPr>
              <w:spacing w:after="0"/>
              <w:rPr>
                <w:sz w:val="11"/>
                <w:szCs w:val="11"/>
                <w:color w:val="auto"/>
              </w:rPr>
            </w:pPr>
          </w:p>
        </w:tc>
        <w:tc>
          <w:tcPr>
            <w:tcW w:w="920" w:type="dxa"/>
            <w:vAlign w:val="bottom"/>
            <w:gridSpan w:val="2"/>
            <w:shd w:val="clear" w:color="auto" w:fill="CCFFCC"/>
          </w:tcPr>
          <w:p>
            <w:pPr>
              <w:jc w:val="right"/>
              <w:ind w:right="77"/>
              <w:spacing w:after="0" w:line="129" w:lineRule="exact"/>
              <w:rPr>
                <w:sz w:val="20"/>
                <w:szCs w:val="20"/>
                <w:color w:val="auto"/>
              </w:rPr>
            </w:pPr>
            <w:r>
              <w:rPr>
                <w:rFonts w:ascii="Arial" w:cs="Arial" w:eastAsia="Arial" w:hAnsi="Arial"/>
                <w:sz w:val="13"/>
                <w:szCs w:val="13"/>
                <w:color w:val="auto"/>
              </w:rPr>
              <w:t>7.4%</w:t>
            </w:r>
          </w:p>
        </w:tc>
        <w:tc>
          <w:tcPr>
            <w:tcW w:w="1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77"/>
              <w:spacing w:after="0" w:line="129" w:lineRule="exact"/>
              <w:rPr>
                <w:sz w:val="20"/>
                <w:szCs w:val="20"/>
                <w:color w:val="auto"/>
              </w:rPr>
            </w:pPr>
            <w:r>
              <w:rPr>
                <w:rFonts w:ascii="Arial" w:cs="Arial" w:eastAsia="Arial" w:hAnsi="Arial"/>
                <w:sz w:val="13"/>
                <w:szCs w:val="13"/>
                <w:color w:val="auto"/>
              </w:rPr>
              <w:t>11.9%</w:t>
            </w:r>
          </w:p>
        </w:tc>
        <w:tc>
          <w:tcPr>
            <w:tcW w:w="66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315,067</w:t>
            </w:r>
          </w:p>
        </w:tc>
        <w:tc>
          <w:tcPr>
            <w:tcW w:w="220" w:type="dxa"/>
            <w:vAlign w:val="bottom"/>
            <w:vMerge w:val="continue"/>
            <w:shd w:val="clear" w:color="auto" w:fill="CCFFCC"/>
          </w:tcPr>
          <w:p>
            <w:pPr>
              <w:spacing w:after="0"/>
              <w:rPr>
                <w:sz w:val="11"/>
                <w:szCs w:val="11"/>
                <w:color w:val="auto"/>
              </w:rPr>
            </w:pPr>
          </w:p>
        </w:tc>
        <w:tc>
          <w:tcPr>
            <w:tcW w:w="6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287,808</w:t>
            </w:r>
          </w:p>
        </w:tc>
        <w:tc>
          <w:tcPr>
            <w:tcW w:w="220" w:type="dxa"/>
            <w:vAlign w:val="bottom"/>
            <w:vMerge w:val="continue"/>
            <w:shd w:val="clear" w:color="auto" w:fill="CCFFCC"/>
          </w:tcPr>
          <w:p>
            <w:pPr>
              <w:spacing w:after="0"/>
              <w:rPr>
                <w:sz w:val="11"/>
                <w:szCs w:val="11"/>
                <w:color w:val="auto"/>
              </w:rPr>
            </w:pPr>
          </w:p>
        </w:tc>
        <w:tc>
          <w:tcPr>
            <w:tcW w:w="940" w:type="dxa"/>
            <w:vAlign w:val="bottom"/>
            <w:gridSpan w:val="2"/>
            <w:shd w:val="clear" w:color="auto" w:fill="CCFFCC"/>
          </w:tcPr>
          <w:p>
            <w:pPr>
              <w:jc w:val="right"/>
              <w:spacing w:after="0" w:line="129" w:lineRule="exact"/>
              <w:rPr>
                <w:sz w:val="20"/>
                <w:szCs w:val="20"/>
                <w:color w:val="auto"/>
              </w:rPr>
            </w:pPr>
            <w:r>
              <w:rPr>
                <w:rFonts w:ascii="Arial" w:cs="Arial" w:eastAsia="Arial" w:hAnsi="Arial"/>
                <w:sz w:val="13"/>
                <w:szCs w:val="13"/>
                <w:color w:val="auto"/>
              </w:rPr>
              <w:t>9.5%</w:t>
            </w:r>
          </w:p>
        </w:tc>
        <w:tc>
          <w:tcPr>
            <w:tcW w:w="0" w:type="dxa"/>
            <w:vAlign w:val="bottom"/>
          </w:tcPr>
          <w:p>
            <w:pPr>
              <w:spacing w:after="0"/>
              <w:rPr>
                <w:sz w:val="1"/>
                <w:szCs w:val="1"/>
                <w:color w:val="auto"/>
              </w:rPr>
            </w:pPr>
          </w:p>
        </w:tc>
      </w:tr>
      <w:tr>
        <w:trPr>
          <w:trHeight w:val="135"/>
        </w:trPr>
        <w:tc>
          <w:tcPr>
            <w:tcW w:w="4180" w:type="dxa"/>
            <w:vAlign w:val="bottom"/>
            <w:gridSpan w:val="2"/>
          </w:tcPr>
          <w:p>
            <w:pPr>
              <w:spacing w:after="0" w:line="135" w:lineRule="exact"/>
              <w:rPr>
                <w:sz w:val="20"/>
                <w:szCs w:val="20"/>
                <w:color w:val="auto"/>
              </w:rPr>
            </w:pPr>
            <w:r>
              <w:rPr>
                <w:rFonts w:ascii="Arial" w:cs="Arial" w:eastAsia="Arial" w:hAnsi="Arial"/>
                <w:sz w:val="13"/>
                <w:szCs w:val="13"/>
                <w:color w:val="auto"/>
              </w:rPr>
              <w:t>Net gain on foreign exchange transactions</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52,216</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46,570</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42,660</w:t>
            </w:r>
          </w:p>
        </w:tc>
        <w:tc>
          <w:tcPr>
            <w:tcW w:w="9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12.1%</w:t>
            </w:r>
          </w:p>
        </w:tc>
        <w:tc>
          <w:tcPr>
            <w:tcW w:w="180" w:type="dxa"/>
            <w:vAlign w:val="bottom"/>
          </w:tcPr>
          <w:p>
            <w:pPr>
              <w:spacing w:after="0"/>
              <w:rPr>
                <w:sz w:val="11"/>
                <w:szCs w:val="11"/>
                <w:color w:val="auto"/>
              </w:rPr>
            </w:pPr>
          </w:p>
        </w:tc>
        <w:tc>
          <w:tcPr>
            <w:tcW w:w="74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22.4%</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98,786</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81,990</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20.5%</w:t>
            </w:r>
          </w:p>
        </w:tc>
        <w:tc>
          <w:tcPr>
            <w:tcW w:w="0" w:type="dxa"/>
            <w:vAlign w:val="bottom"/>
          </w:tcPr>
          <w:p>
            <w:pPr>
              <w:spacing w:after="0"/>
              <w:rPr>
                <w:sz w:val="1"/>
                <w:szCs w:val="1"/>
                <w:color w:val="auto"/>
              </w:rPr>
            </w:pPr>
          </w:p>
        </w:tc>
      </w:tr>
      <w:tr>
        <w:trPr>
          <w:trHeight w:val="135"/>
        </w:trPr>
        <w:tc>
          <w:tcPr>
            <w:tcW w:w="418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Net gain on sales of securities</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(26,988)</w:t>
            </w: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1,051</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7,041</w:t>
            </w:r>
          </w:p>
        </w:tc>
        <w:tc>
          <w:tcPr>
            <w:tcW w:w="92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-2667.8%</w:t>
            </w:r>
          </w:p>
        </w:tc>
        <w:tc>
          <w:tcPr>
            <w:tcW w:w="1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-483.3%</w:t>
            </w:r>
          </w:p>
        </w:tc>
        <w:tc>
          <w:tcPr>
            <w:tcW w:w="8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(25,937)</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20,688</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-225.4%</w:t>
            </w:r>
          </w:p>
        </w:tc>
        <w:tc>
          <w:tcPr>
            <w:tcW w:w="0" w:type="dxa"/>
            <w:vAlign w:val="bottom"/>
          </w:tcPr>
          <w:p>
            <w:pPr>
              <w:spacing w:after="0"/>
              <w:rPr>
                <w:sz w:val="1"/>
                <w:szCs w:val="1"/>
                <w:color w:val="auto"/>
              </w:rPr>
            </w:pPr>
          </w:p>
        </w:tc>
      </w:tr>
      <w:tr>
        <w:trPr>
          <w:trHeight w:val="149"/>
        </w:trPr>
        <w:tc>
          <w:tcPr>
            <w:tcW w:w="4180" w:type="dxa"/>
            <w:vAlign w:val="bottom"/>
            <w:gridSpan w:val="2"/>
          </w:tcPr>
          <w:p>
            <w:pPr>
              <w:spacing w:after="0"/>
              <w:rPr>
                <w:sz w:val="20"/>
                <w:szCs w:val="20"/>
                <w:color w:val="auto"/>
              </w:rPr>
            </w:pPr>
            <w:r>
              <w:rPr>
                <w:rFonts w:ascii="Arial" w:cs="Arial" w:eastAsia="Arial" w:hAnsi="Arial"/>
                <w:sz w:val="13"/>
                <w:szCs w:val="13"/>
                <w:color w:val="auto"/>
              </w:rPr>
              <w:t>Other income</w:t>
            </w:r>
          </w:p>
        </w:tc>
        <w:tc>
          <w:tcPr>
            <w:tcW w:w="680" w:type="dxa"/>
            <w:vAlign w:val="bottom"/>
          </w:tcPr>
          <w:p>
            <w:pPr>
              <w:jc w:val="right"/>
              <w:spacing w:after="0"/>
              <w:rPr>
                <w:sz w:val="20"/>
                <w:szCs w:val="20"/>
                <w:color w:val="auto"/>
              </w:rPr>
            </w:pPr>
            <w:r>
              <w:rPr>
                <w:rFonts w:ascii="Arial" w:cs="Arial" w:eastAsia="Arial" w:hAnsi="Arial"/>
                <w:sz w:val="13"/>
                <w:szCs w:val="13"/>
                <w:color w:val="auto"/>
              </w:rPr>
              <w:t>4,221</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11,577</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10,863</w:t>
            </w:r>
          </w:p>
        </w:tc>
        <w:tc>
          <w:tcPr>
            <w:tcW w:w="920" w:type="dxa"/>
            <w:vAlign w:val="bottom"/>
            <w:gridSpan w:val="2"/>
          </w:tcPr>
          <w:p>
            <w:pPr>
              <w:jc w:val="right"/>
              <w:ind w:right="77"/>
              <w:spacing w:after="0"/>
              <w:rPr>
                <w:sz w:val="20"/>
                <w:szCs w:val="20"/>
                <w:color w:val="auto"/>
              </w:rPr>
            </w:pPr>
            <w:r>
              <w:rPr>
                <w:rFonts w:ascii="Arial" w:cs="Arial" w:eastAsia="Arial" w:hAnsi="Arial"/>
                <w:sz w:val="13"/>
                <w:szCs w:val="13"/>
                <w:color w:val="auto"/>
              </w:rPr>
              <w:t>-63.5%</w:t>
            </w:r>
          </w:p>
        </w:tc>
        <w:tc>
          <w:tcPr>
            <w:tcW w:w="180" w:type="dxa"/>
            <w:vAlign w:val="bottom"/>
          </w:tcPr>
          <w:p>
            <w:pPr>
              <w:spacing w:after="0"/>
              <w:rPr>
                <w:sz w:val="12"/>
                <w:szCs w:val="12"/>
                <w:color w:val="auto"/>
              </w:rPr>
            </w:pPr>
          </w:p>
        </w:tc>
        <w:tc>
          <w:tcPr>
            <w:tcW w:w="740" w:type="dxa"/>
            <w:vAlign w:val="bottom"/>
            <w:gridSpan w:val="2"/>
          </w:tcPr>
          <w:p>
            <w:pPr>
              <w:jc w:val="right"/>
              <w:ind w:right="77"/>
              <w:spacing w:after="0"/>
              <w:rPr>
                <w:sz w:val="20"/>
                <w:szCs w:val="20"/>
                <w:color w:val="auto"/>
              </w:rPr>
            </w:pPr>
            <w:r>
              <w:rPr>
                <w:rFonts w:ascii="Arial" w:cs="Arial" w:eastAsia="Arial" w:hAnsi="Arial"/>
                <w:sz w:val="13"/>
                <w:szCs w:val="13"/>
                <w:color w:val="auto"/>
              </w:rPr>
              <w:t>-61.1%</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15,798</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14,600</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29"/>
        </w:trPr>
        <w:tc>
          <w:tcPr>
            <w:tcW w:w="4180" w:type="dxa"/>
            <w:vAlign w:val="bottom"/>
            <w:tcBorders>
              <w:top w:val="single" w:sz="8" w:color="CCFFCC"/>
            </w:tcBorders>
            <w:gridSpan w:val="2"/>
            <w:shd w:val="clear" w:color="auto" w:fill="CCFFCC"/>
          </w:tcPr>
          <w:p>
            <w:pPr>
              <w:spacing w:after="0" w:line="129" w:lineRule="exact"/>
              <w:rPr>
                <w:sz w:val="20"/>
                <w:szCs w:val="20"/>
                <w:color w:val="auto"/>
              </w:rPr>
            </w:pPr>
            <w:r>
              <w:rPr>
                <w:rFonts w:ascii="Arial" w:cs="Arial" w:eastAsia="Arial" w:hAnsi="Arial"/>
                <w:sz w:val="13"/>
                <w:szCs w:val="13"/>
                <w:b w:val="1"/>
                <w:bCs w:val="1"/>
                <w:color w:val="auto"/>
              </w:rPr>
              <w:t>Total non financial income</w:t>
            </w:r>
          </w:p>
        </w:tc>
        <w:tc>
          <w:tcPr>
            <w:tcW w:w="68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192,604</w:t>
            </w:r>
          </w:p>
        </w:tc>
        <w:tc>
          <w:tcPr>
            <w:tcW w:w="220" w:type="dxa"/>
            <w:vAlign w:val="bottom"/>
            <w:tcBorders>
              <w:top w:val="single" w:sz="8" w:color="CCFFCC"/>
            </w:tcBorders>
            <w:shd w:val="clear" w:color="auto" w:fill="CCFFCC"/>
          </w:tcPr>
          <w:p>
            <w:pPr>
              <w:spacing w:after="0"/>
              <w:rPr>
                <w:sz w:val="11"/>
                <w:szCs w:val="11"/>
                <w:color w:val="auto"/>
              </w:rPr>
            </w:pPr>
          </w:p>
        </w:tc>
        <w:tc>
          <w:tcPr>
            <w:tcW w:w="66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211,110</w:t>
            </w:r>
          </w:p>
        </w:tc>
        <w:tc>
          <w:tcPr>
            <w:tcW w:w="22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206,387</w:t>
            </w:r>
          </w:p>
        </w:tc>
        <w:tc>
          <w:tcPr>
            <w:tcW w:w="22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-8.8</w:t>
            </w:r>
          </w:p>
        </w:tc>
        <w:tc>
          <w:tcPr>
            <w:tcW w:w="240" w:type="dxa"/>
            <w:vAlign w:val="bottom"/>
            <w:tcBorders>
              <w:top w:val="single" w:sz="8" w:color="CCFFCC"/>
            </w:tcBorders>
            <w:shd w:val="clear" w:color="auto" w:fill="CCFFCC"/>
          </w:tcPr>
          <w:p>
            <w:pPr>
              <w:jc w:val="right"/>
              <w:ind w:right="57"/>
              <w:spacing w:after="0" w:line="129" w:lineRule="exact"/>
              <w:rPr>
                <w:sz w:val="20"/>
                <w:szCs w:val="20"/>
                <w:color w:val="auto"/>
              </w:rPr>
            </w:pPr>
            <w:r>
              <w:rPr>
                <w:rFonts w:ascii="Arial" w:cs="Arial" w:eastAsia="Arial" w:hAnsi="Arial"/>
                <w:sz w:val="13"/>
                <w:szCs w:val="13"/>
                <w:b w:val="1"/>
                <w:bCs w:val="1"/>
                <w:color w:val="auto"/>
                <w:w w:val="86"/>
              </w:rPr>
              <w:t>%</w:t>
            </w:r>
          </w:p>
        </w:tc>
        <w:tc>
          <w:tcPr>
            <w:tcW w:w="180" w:type="dxa"/>
            <w:vAlign w:val="bottom"/>
            <w:tcBorders>
              <w:top w:val="single" w:sz="8" w:color="auto"/>
              <w:bottom w:val="single" w:sz="8" w:color="auto"/>
            </w:tcBorders>
            <w:shd w:val="clear" w:color="auto" w:fill="CCFFCC"/>
          </w:tcPr>
          <w:p>
            <w:pPr>
              <w:spacing w:after="0"/>
              <w:rPr>
                <w:sz w:val="11"/>
                <w:szCs w:val="11"/>
                <w:color w:val="auto"/>
              </w:rPr>
            </w:pPr>
          </w:p>
        </w:tc>
        <w:tc>
          <w:tcPr>
            <w:tcW w:w="48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-6.7</w:t>
            </w:r>
          </w:p>
        </w:tc>
        <w:tc>
          <w:tcPr>
            <w:tcW w:w="260" w:type="dxa"/>
            <w:vAlign w:val="bottom"/>
            <w:tcBorders>
              <w:top w:val="single" w:sz="8" w:color="CCFFCC"/>
            </w:tcBorders>
            <w:shd w:val="clear" w:color="auto" w:fill="CCFFCC"/>
          </w:tcPr>
          <w:p>
            <w:pPr>
              <w:jc w:val="right"/>
              <w:ind w:right="57"/>
              <w:spacing w:after="0" w:line="129" w:lineRule="exact"/>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403,714</w:t>
            </w:r>
          </w:p>
        </w:tc>
        <w:tc>
          <w:tcPr>
            <w:tcW w:w="22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405,086</w:t>
            </w:r>
          </w:p>
        </w:tc>
        <w:tc>
          <w:tcPr>
            <w:tcW w:w="220" w:type="dxa"/>
            <w:vAlign w:val="bottom"/>
            <w:tcBorders>
              <w:top w:val="single" w:sz="8" w:color="CCFFCC"/>
            </w:tcBorders>
            <w:shd w:val="clear" w:color="auto" w:fill="CCFFCC"/>
          </w:tcPr>
          <w:p>
            <w:pPr>
              <w:spacing w:after="0"/>
              <w:rPr>
                <w:sz w:val="11"/>
                <w:szCs w:val="11"/>
                <w:color w:val="auto"/>
              </w:rPr>
            </w:pPr>
          </w:p>
        </w:tc>
        <w:tc>
          <w:tcPr>
            <w:tcW w:w="80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-0.3</w:t>
            </w:r>
          </w:p>
        </w:tc>
        <w:tc>
          <w:tcPr>
            <w:tcW w:w="140" w:type="dxa"/>
            <w:vAlign w:val="bottom"/>
            <w:tcBorders>
              <w:top w:val="single" w:sz="8" w:color="CCFFCC"/>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(1) See note 3 in BCP and Subsidiaries income statement.</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Banking service fees, which are considered core income, reported outstanding growth of +7.4% QoQ (+11.9% YoY). This expansion was due to growth in Other Commissions and the recovery of Credit Card fees. In Other Commissions, the increase in fees for commercial loans, associated with medium and long term financing, is particularly noteworthy. It is important to note that the majority of the improvement posted in the Credit Card fees is attributable to penalties for delayed payments. These fees were not applied in January and February given that the SBS published a provision at the end of 2012 that requires financial institutions to give clients 45 days advance notice of the existence of said fees.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excellent evolution of fees was accompanied by net gains on foreign exchange transactions, which grew +12.1% QoQ (+22.4% YoY). This dynamic was due to an increase in activity that was mainly attributable to exchange rate volatility.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aforementioned was offset by the result posted for sales of securities (- US$ 27.0 million), which was primarily due to the loss generated by BCP’s positions in sovereign bonds (Peru, Colombia and Brazil). This was in line with the evolution of sovereign bonds in Latin American countries (an increase in average rates and lower prices) and out of this loss 69% was attributable to the fluctuation in the MtM value (- US$ 19.7 million approximately) and 31% to the loss generated by the sale of a portion of this position (- US$ 8.8 million approximately).</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income fell 63.5% in 2Q13. This was due to the fact that in 1Q13 US$ 4.7 million was reported in extraordinary income after a reversal of excess provisions for employee profit sharing.</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3" w:name="page24"/>
    <w:bookmarkEnd w:id="23"/>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following table shows the breakdown of the main non-financial income item, banking service fees: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Banking Fee Income</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b w:val="1"/>
                <w:bCs w:val="1"/>
                <w:color w:val="auto"/>
              </w:rPr>
              <w:t>Quarter</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Change %</w:t>
            </w:r>
          </w:p>
        </w:tc>
      </w:tr>
      <w:tr>
        <w:trPr>
          <w:trHeight w:val="234"/>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00" w:type="dxa"/>
            <w:vAlign w:val="bottom"/>
            <w:tcBorders>
              <w:bottom w:val="single" w:sz="8" w:color="CCFFCC"/>
            </w:tcBorders>
          </w:tcPr>
          <w:p>
            <w:pPr>
              <w:spacing w:after="0"/>
              <w:rPr>
                <w:sz w:val="20"/>
                <w:szCs w:val="20"/>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2Q13</w:t>
            </w:r>
          </w:p>
        </w:tc>
        <w:tc>
          <w:tcPr>
            <w:tcW w:w="180" w:type="dxa"/>
            <w:vAlign w:val="bottom"/>
            <w:tcBorders>
              <w:bottom w:val="single" w:sz="8" w:color="CCFFCC"/>
            </w:tcBorders>
          </w:tcPr>
          <w:p>
            <w:pPr>
              <w:spacing w:after="0"/>
              <w:rPr>
                <w:sz w:val="20"/>
                <w:szCs w:val="20"/>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1Q13</w:t>
            </w:r>
          </w:p>
        </w:tc>
        <w:tc>
          <w:tcPr>
            <w:tcW w:w="180" w:type="dxa"/>
            <w:vAlign w:val="bottom"/>
            <w:tcBorders>
              <w:bottom w:val="single" w:sz="8" w:color="CCFFCC"/>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2Q12</w:t>
            </w:r>
          </w:p>
        </w:tc>
        <w:tc>
          <w:tcPr>
            <w:tcW w:w="200" w:type="dxa"/>
            <w:vAlign w:val="bottom"/>
            <w:tcBorders>
              <w:bottom w:val="single" w:sz="8" w:color="CCFFCC"/>
            </w:tcBorders>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FFCC"/>
            </w:tcBorders>
          </w:tcPr>
          <w:p>
            <w:pPr>
              <w:spacing w:after="0"/>
              <w:rPr>
                <w:sz w:val="20"/>
                <w:szCs w:val="20"/>
                <w:color w:val="auto"/>
              </w:rPr>
            </w:pPr>
          </w:p>
        </w:tc>
      </w:tr>
      <w:tr>
        <w:trPr>
          <w:trHeight w:val="210"/>
        </w:trPr>
        <w:tc>
          <w:tcPr>
            <w:tcW w:w="5080" w:type="dxa"/>
            <w:vAlign w:val="bottom"/>
            <w:shd w:val="clear" w:color="auto" w:fill="CCFFCC"/>
          </w:tcPr>
          <w:p>
            <w:pPr>
              <w:spacing w:after="0"/>
              <w:rPr>
                <w:sz w:val="20"/>
                <w:szCs w:val="20"/>
                <w:color w:val="auto"/>
              </w:rPr>
            </w:pPr>
            <w:r>
              <w:rPr>
                <w:rFonts w:ascii="Arial" w:cs="Arial" w:eastAsia="Arial" w:hAnsi="Arial"/>
                <w:sz w:val="18"/>
                <w:szCs w:val="18"/>
                <w:color w:val="auto"/>
              </w:rPr>
              <w:t>Miscellaneous Accounts (1)</w:t>
            </w: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45,474</w:t>
            </w:r>
          </w:p>
        </w:tc>
        <w:tc>
          <w:tcPr>
            <w:tcW w:w="18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45,911</w:t>
            </w:r>
          </w:p>
        </w:tc>
        <w:tc>
          <w:tcPr>
            <w:tcW w:w="18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42,371</w:t>
            </w:r>
          </w:p>
        </w:tc>
        <w:tc>
          <w:tcPr>
            <w:tcW w:w="2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-1.0%</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Off-balance sheet</w:t>
            </w:r>
          </w:p>
        </w:tc>
        <w:tc>
          <w:tcPr>
            <w:tcW w:w="820" w:type="dxa"/>
            <w:vAlign w:val="bottom"/>
          </w:tcPr>
          <w:p>
            <w:pPr>
              <w:jc w:val="right"/>
              <w:spacing w:after="0"/>
              <w:rPr>
                <w:sz w:val="20"/>
                <w:szCs w:val="20"/>
                <w:color w:val="auto"/>
              </w:rPr>
            </w:pPr>
            <w:r>
              <w:rPr>
                <w:rFonts w:ascii="Arial" w:cs="Arial" w:eastAsia="Arial" w:hAnsi="Arial"/>
                <w:sz w:val="18"/>
                <w:szCs w:val="18"/>
                <w:color w:val="auto"/>
              </w:rPr>
              <w:t>11,446</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11,230</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9,607</w:t>
            </w:r>
          </w:p>
        </w:tc>
        <w:tc>
          <w:tcPr>
            <w:tcW w:w="200" w:type="dxa"/>
            <w:vAlign w:val="bottom"/>
          </w:tcPr>
          <w:p>
            <w:pPr>
              <w:spacing w:after="0"/>
              <w:rPr>
                <w:sz w:val="18"/>
                <w:szCs w:val="18"/>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1.9%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19.1%</w:t>
            </w:r>
          </w:p>
        </w:tc>
      </w:tr>
      <w:tr>
        <w:trPr>
          <w:trHeight w:val="216"/>
        </w:trPr>
        <w:tc>
          <w:tcPr>
            <w:tcW w:w="51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Payments and Collections</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24,910</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23,832</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20,683</w:t>
            </w:r>
          </w:p>
        </w:tc>
        <w:tc>
          <w:tcPr>
            <w:tcW w:w="11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4.5%</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20.4%</w:t>
            </w: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Drafts and Transfers</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9,303</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9,456</w:t>
            </w:r>
          </w:p>
        </w:tc>
        <w:tc>
          <w:tcPr>
            <w:tcW w:w="800" w:type="dxa"/>
            <w:vAlign w:val="bottom"/>
          </w:tcPr>
          <w:p>
            <w:pPr>
              <w:jc w:val="right"/>
              <w:spacing w:after="0"/>
              <w:rPr>
                <w:sz w:val="20"/>
                <w:szCs w:val="20"/>
                <w:color w:val="auto"/>
              </w:rPr>
            </w:pPr>
            <w:r>
              <w:rPr>
                <w:rFonts w:ascii="Arial" w:cs="Arial" w:eastAsia="Arial" w:hAnsi="Arial"/>
                <w:sz w:val="18"/>
                <w:szCs w:val="18"/>
                <w:color w:val="auto"/>
              </w:rPr>
              <w:t>8,727</w:t>
            </w:r>
          </w:p>
        </w:tc>
        <w:tc>
          <w:tcPr>
            <w:tcW w:w="200" w:type="dxa"/>
            <w:vAlign w:val="bottom"/>
          </w:tcPr>
          <w:p>
            <w:pPr>
              <w:spacing w:after="0"/>
              <w:rPr>
                <w:sz w:val="18"/>
                <w:szCs w:val="18"/>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-1.6%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51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Credit Cards</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24,404</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20,556</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19,959</w:t>
            </w:r>
          </w:p>
        </w:tc>
        <w:tc>
          <w:tcPr>
            <w:tcW w:w="11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18.7%</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22.3%</w:t>
            </w: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Others fees</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47,617</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40,928</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44,476</w:t>
            </w: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16.3%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518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Personal loans (2)</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5,810</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5,806</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4,976</w:t>
            </w:r>
          </w:p>
        </w:tc>
        <w:tc>
          <w:tcPr>
            <w:tcW w:w="2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0.1%</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16.8%</w:t>
            </w:r>
          </w:p>
        </w:tc>
      </w:tr>
      <w:tr>
        <w:trPr>
          <w:trHeight w:val="216"/>
        </w:trPr>
        <w:tc>
          <w:tcPr>
            <w:tcW w:w="5180" w:type="dxa"/>
            <w:vAlign w:val="bottom"/>
            <w:gridSpan w:val="2"/>
          </w:tcPr>
          <w:p>
            <w:pPr>
              <w:ind w:left="140"/>
              <w:spacing w:after="0"/>
              <w:rPr>
                <w:sz w:val="20"/>
                <w:szCs w:val="20"/>
                <w:color w:val="auto"/>
              </w:rPr>
            </w:pPr>
            <w:r>
              <w:rPr>
                <w:rFonts w:ascii="Arial" w:cs="Arial" w:eastAsia="Arial" w:hAnsi="Arial"/>
                <w:sz w:val="18"/>
                <w:szCs w:val="18"/>
                <w:color w:val="auto"/>
              </w:rPr>
              <w:t>SME loans (2)</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5,458</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4,057</w:t>
            </w:r>
          </w:p>
        </w:tc>
        <w:tc>
          <w:tcPr>
            <w:tcW w:w="800" w:type="dxa"/>
            <w:vAlign w:val="bottom"/>
          </w:tcPr>
          <w:p>
            <w:pPr>
              <w:jc w:val="right"/>
              <w:spacing w:after="0"/>
              <w:rPr>
                <w:sz w:val="20"/>
                <w:szCs w:val="20"/>
                <w:color w:val="auto"/>
              </w:rPr>
            </w:pPr>
            <w:r>
              <w:rPr>
                <w:rFonts w:ascii="Arial" w:cs="Arial" w:eastAsia="Arial" w:hAnsi="Arial"/>
                <w:sz w:val="18"/>
                <w:szCs w:val="18"/>
                <w:color w:val="auto"/>
              </w:rPr>
              <w:t>3,455</w:t>
            </w:r>
          </w:p>
        </w:tc>
        <w:tc>
          <w:tcPr>
            <w:tcW w:w="200" w:type="dxa"/>
            <w:vAlign w:val="bottom"/>
          </w:tcPr>
          <w:p>
            <w:pPr>
              <w:spacing w:after="0"/>
              <w:rPr>
                <w:sz w:val="18"/>
                <w:szCs w:val="18"/>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34.5%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58.0%</w:t>
            </w:r>
          </w:p>
        </w:tc>
      </w:tr>
      <w:tr>
        <w:trPr>
          <w:trHeight w:val="216"/>
        </w:trPr>
        <w:tc>
          <w:tcPr>
            <w:tcW w:w="518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Insurance (2)</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4,768</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4,349</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3,918</w:t>
            </w:r>
          </w:p>
        </w:tc>
        <w:tc>
          <w:tcPr>
            <w:tcW w:w="2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9.6%</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21.7%</w:t>
            </w:r>
          </w:p>
        </w:tc>
      </w:tr>
      <w:tr>
        <w:trPr>
          <w:trHeight w:val="216"/>
        </w:trPr>
        <w:tc>
          <w:tcPr>
            <w:tcW w:w="5180" w:type="dxa"/>
            <w:vAlign w:val="bottom"/>
            <w:gridSpan w:val="2"/>
          </w:tcPr>
          <w:p>
            <w:pPr>
              <w:ind w:left="140"/>
              <w:spacing w:after="0"/>
              <w:rPr>
                <w:sz w:val="20"/>
                <w:szCs w:val="20"/>
                <w:color w:val="auto"/>
              </w:rPr>
            </w:pPr>
            <w:r>
              <w:rPr>
                <w:rFonts w:ascii="Arial" w:cs="Arial" w:eastAsia="Arial" w:hAnsi="Arial"/>
                <w:sz w:val="18"/>
                <w:szCs w:val="18"/>
                <w:color w:val="auto"/>
              </w:rPr>
              <w:t>Mortgage loans (2)</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3,932</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3,821</w:t>
            </w:r>
          </w:p>
        </w:tc>
        <w:tc>
          <w:tcPr>
            <w:tcW w:w="800" w:type="dxa"/>
            <w:vAlign w:val="bottom"/>
          </w:tcPr>
          <w:p>
            <w:pPr>
              <w:jc w:val="right"/>
              <w:spacing w:after="0"/>
              <w:rPr>
                <w:sz w:val="20"/>
                <w:szCs w:val="20"/>
                <w:color w:val="auto"/>
              </w:rPr>
            </w:pPr>
            <w:r>
              <w:rPr>
                <w:rFonts w:ascii="Arial" w:cs="Arial" w:eastAsia="Arial" w:hAnsi="Arial"/>
                <w:sz w:val="18"/>
                <w:szCs w:val="18"/>
                <w:color w:val="auto"/>
              </w:rPr>
              <w:t>3,044</w:t>
            </w:r>
          </w:p>
        </w:tc>
        <w:tc>
          <w:tcPr>
            <w:tcW w:w="200" w:type="dxa"/>
            <w:vAlign w:val="bottom"/>
          </w:tcPr>
          <w:p>
            <w:pPr>
              <w:spacing w:after="0"/>
              <w:rPr>
                <w:sz w:val="18"/>
                <w:szCs w:val="18"/>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2.9%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29.2%</w:t>
            </w:r>
          </w:p>
        </w:tc>
      </w:tr>
      <w:tr>
        <w:trPr>
          <w:trHeight w:val="216"/>
        </w:trPr>
        <w:tc>
          <w:tcPr>
            <w:tcW w:w="518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Commercial loans (3)</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5,851</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2,400</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3,455</w:t>
            </w:r>
          </w:p>
        </w:tc>
        <w:tc>
          <w:tcPr>
            <w:tcW w:w="2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143.8%</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69.3%</w:t>
            </w:r>
          </w:p>
        </w:tc>
      </w:tr>
      <w:tr>
        <w:trPr>
          <w:trHeight w:val="216"/>
        </w:trPr>
        <w:tc>
          <w:tcPr>
            <w:tcW w:w="5180" w:type="dxa"/>
            <w:vAlign w:val="bottom"/>
            <w:gridSpan w:val="2"/>
          </w:tcPr>
          <w:p>
            <w:pPr>
              <w:ind w:left="140"/>
              <w:spacing w:after="0"/>
              <w:rPr>
                <w:sz w:val="20"/>
                <w:szCs w:val="20"/>
                <w:color w:val="auto"/>
              </w:rPr>
            </w:pPr>
            <w:r>
              <w:rPr>
                <w:rFonts w:ascii="Arial" w:cs="Arial" w:eastAsia="Arial" w:hAnsi="Arial"/>
                <w:sz w:val="18"/>
                <w:szCs w:val="18"/>
                <w:color w:val="auto"/>
              </w:rPr>
              <w:t>Foreign trade (3)</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3,831</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3,693</w:t>
            </w:r>
          </w:p>
        </w:tc>
        <w:tc>
          <w:tcPr>
            <w:tcW w:w="800" w:type="dxa"/>
            <w:vAlign w:val="bottom"/>
          </w:tcPr>
          <w:p>
            <w:pPr>
              <w:jc w:val="right"/>
              <w:spacing w:after="0"/>
              <w:rPr>
                <w:sz w:val="20"/>
                <w:szCs w:val="20"/>
                <w:color w:val="auto"/>
              </w:rPr>
            </w:pPr>
            <w:r>
              <w:rPr>
                <w:rFonts w:ascii="Arial" w:cs="Arial" w:eastAsia="Arial" w:hAnsi="Arial"/>
                <w:sz w:val="18"/>
                <w:szCs w:val="18"/>
                <w:color w:val="auto"/>
              </w:rPr>
              <w:t>4,016</w:t>
            </w:r>
          </w:p>
        </w:tc>
        <w:tc>
          <w:tcPr>
            <w:tcW w:w="200" w:type="dxa"/>
            <w:vAlign w:val="bottom"/>
          </w:tcPr>
          <w:p>
            <w:pPr>
              <w:spacing w:after="0"/>
              <w:rPr>
                <w:sz w:val="18"/>
                <w:szCs w:val="18"/>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3.8%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518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Credicorp Capital</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7,373</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6,774</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10,604</w:t>
            </w:r>
          </w:p>
        </w:tc>
        <w:tc>
          <w:tcPr>
            <w:tcW w:w="11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8.9%</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-30.5%</w:t>
            </w:r>
          </w:p>
        </w:tc>
      </w:tr>
      <w:tr>
        <w:trPr>
          <w:trHeight w:val="230"/>
        </w:trPr>
        <w:tc>
          <w:tcPr>
            <w:tcW w:w="5180" w:type="dxa"/>
            <w:vAlign w:val="bottom"/>
            <w:gridSpan w:val="2"/>
          </w:tcPr>
          <w:p>
            <w:pPr>
              <w:ind w:left="140"/>
              <w:spacing w:after="0"/>
              <w:rPr>
                <w:sz w:val="20"/>
                <w:szCs w:val="20"/>
                <w:color w:val="auto"/>
              </w:rPr>
            </w:pPr>
            <w:r>
              <w:rPr>
                <w:rFonts w:ascii="Arial" w:cs="Arial" w:eastAsia="Arial" w:hAnsi="Arial"/>
                <w:sz w:val="18"/>
                <w:szCs w:val="18"/>
                <w:color w:val="auto"/>
              </w:rPr>
              <w:t>Others (4)</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10,593</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10,029</w:t>
            </w:r>
          </w:p>
        </w:tc>
        <w:tc>
          <w:tcPr>
            <w:tcW w:w="800" w:type="dxa"/>
            <w:vAlign w:val="bottom"/>
          </w:tcPr>
          <w:p>
            <w:pPr>
              <w:jc w:val="right"/>
              <w:spacing w:after="0"/>
              <w:rPr>
                <w:sz w:val="20"/>
                <w:szCs w:val="20"/>
                <w:color w:val="auto"/>
              </w:rPr>
            </w:pPr>
            <w:r>
              <w:rPr>
                <w:rFonts w:ascii="Arial" w:cs="Arial" w:eastAsia="Arial" w:hAnsi="Arial"/>
                <w:sz w:val="18"/>
                <w:szCs w:val="18"/>
                <w:color w:val="auto"/>
              </w:rPr>
              <w:t>11,009</w:t>
            </w:r>
          </w:p>
        </w:tc>
        <w:tc>
          <w:tcPr>
            <w:tcW w:w="200" w:type="dxa"/>
            <w:vAlign w:val="bottom"/>
          </w:tcPr>
          <w:p>
            <w:pPr>
              <w:spacing w:after="0"/>
              <w:rPr>
                <w:sz w:val="19"/>
                <w:szCs w:val="19"/>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5.6%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10"/>
        </w:trPr>
        <w:tc>
          <w:tcPr>
            <w:tcW w:w="518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Comisiones</w:t>
            </w:r>
          </w:p>
        </w:tc>
        <w:tc>
          <w:tcPr>
            <w:tcW w:w="8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163,155</w:t>
            </w:r>
          </w:p>
        </w:tc>
        <w:tc>
          <w:tcPr>
            <w:tcW w:w="180" w:type="dxa"/>
            <w:vAlign w:val="bottom"/>
            <w:tcBorders>
              <w:top w:val="single" w:sz="8" w:color="CCFFCC"/>
            </w:tcBorders>
            <w:shd w:val="clear" w:color="auto" w:fill="CCFFCC"/>
          </w:tcPr>
          <w:p>
            <w:pPr>
              <w:spacing w:after="0"/>
              <w:rPr>
                <w:sz w:val="18"/>
                <w:szCs w:val="18"/>
                <w:color w:val="auto"/>
              </w:rPr>
            </w:pPr>
          </w:p>
        </w:tc>
        <w:tc>
          <w:tcPr>
            <w:tcW w:w="8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151,912</w:t>
            </w:r>
          </w:p>
        </w:tc>
        <w:tc>
          <w:tcPr>
            <w:tcW w:w="180" w:type="dxa"/>
            <w:vAlign w:val="bottom"/>
            <w:tcBorders>
              <w:top w:val="single" w:sz="8" w:color="CCFFCC"/>
            </w:tcBorders>
            <w:shd w:val="clear" w:color="auto" w:fill="CCFFCC"/>
          </w:tcPr>
          <w:p>
            <w:pPr>
              <w:spacing w:after="0"/>
              <w:rPr>
                <w:sz w:val="18"/>
                <w:szCs w:val="18"/>
                <w:color w:val="auto"/>
              </w:rPr>
            </w:pPr>
          </w:p>
        </w:tc>
        <w:tc>
          <w:tcPr>
            <w:tcW w:w="8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145,823</w:t>
            </w:r>
          </w:p>
        </w:tc>
        <w:tc>
          <w:tcPr>
            <w:tcW w:w="200" w:type="dxa"/>
            <w:vAlign w:val="bottom"/>
            <w:tcBorders>
              <w:top w:val="single" w:sz="8" w:color="CCFFCC"/>
            </w:tcBorders>
            <w:shd w:val="clear" w:color="auto" w:fill="CCFFCC"/>
          </w:tcPr>
          <w:p>
            <w:pPr>
              <w:spacing w:after="0"/>
              <w:rPr>
                <w:sz w:val="18"/>
                <w:szCs w:val="18"/>
                <w:color w:val="auto"/>
              </w:rPr>
            </w:pPr>
          </w:p>
        </w:tc>
        <w:tc>
          <w:tcPr>
            <w:tcW w:w="8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7.4</w:t>
            </w:r>
          </w:p>
        </w:tc>
        <w:tc>
          <w:tcPr>
            <w:tcW w:w="300" w:type="dxa"/>
            <w:vAlign w:val="bottom"/>
            <w:tcBorders>
              <w:top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11.9</w:t>
            </w:r>
          </w:p>
        </w:tc>
        <w:tc>
          <w:tcPr>
            <w:tcW w:w="2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r>
    </w:tbl>
    <w:p>
      <w:pPr>
        <w:ind w:left="260" w:hanging="252"/>
        <w:spacing w:after="0"/>
        <w:tabs>
          <w:tab w:leader="none" w:pos="2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Saving accounts, current accounts and debit card.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Mainly Retail fees.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Mainly Wholesale fees.</w:t>
      </w:r>
    </w:p>
    <w:p>
      <w:pPr>
        <w:spacing w:after="0" w:line="9" w:lineRule="exact"/>
        <w:rPr>
          <w:rFonts w:ascii="Arial" w:cs="Arial" w:eastAsia="Arial" w:hAnsi="Arial"/>
          <w:sz w:val="18"/>
          <w:szCs w:val="18"/>
          <w:i w:val="1"/>
          <w:iCs w:val="1"/>
          <w:color w:val="auto"/>
        </w:rPr>
      </w:pPr>
    </w:p>
    <w:p>
      <w:pPr>
        <w:ind w:right="3460" w:firstLine="8"/>
        <w:spacing w:after="0" w:line="261" w:lineRule="auto"/>
        <w:tabs>
          <w:tab w:leader="none" w:pos="255"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fees from BCP Bolivia, Edyficar, network usage and other services to third parties, among others. Source: BCP</w:t>
      </w:r>
    </w:p>
    <w:p>
      <w:pPr>
        <w:spacing w:after="0" w:line="18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Finally, it is important to mention that the performance explained above reflects the negative impact of the devaluation of the Nuevo Sol. As such, it is necessary to analyze the evolution of non-financial income according to the currency in which it was generated. If we use this approach, banking service fees (71.9% of which are in local currency) reported growth of +10.6% QoQ for income generated in LC and +9.7% for income produced in US Dollars.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8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Local Currency</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80" w:type="dxa"/>
            <w:vAlign w:val="bottom"/>
            <w:gridSpan w:val="4"/>
          </w:tcPr>
          <w:p>
            <w:pPr>
              <w:jc w:val="right"/>
              <w:spacing w:after="0"/>
              <w:rPr>
                <w:sz w:val="20"/>
                <w:szCs w:val="20"/>
                <w:color w:val="auto"/>
              </w:rPr>
            </w:pPr>
            <w:r>
              <w:rPr>
                <w:rFonts w:ascii="Arial" w:cs="Arial" w:eastAsia="Arial" w:hAnsi="Arial"/>
                <w:sz w:val="18"/>
                <w:szCs w:val="18"/>
                <w:b w:val="1"/>
                <w:bCs w:val="1"/>
                <w:color w:val="auto"/>
                <w:w w:val="93"/>
              </w:rPr>
              <w:t>Foreign Currency</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Change in non financial income</w:t>
            </w:r>
          </w:p>
        </w:tc>
        <w:tc>
          <w:tcPr>
            <w:tcW w:w="1440" w:type="dxa"/>
            <w:vAlign w:val="bottom"/>
            <w:gridSpan w:val="3"/>
          </w:tcPr>
          <w:p>
            <w:pPr>
              <w:ind w:left="620"/>
              <w:spacing w:after="0"/>
              <w:rPr>
                <w:sz w:val="20"/>
                <w:szCs w:val="20"/>
                <w:color w:val="auto"/>
              </w:rPr>
            </w:pPr>
            <w:r>
              <w:rPr>
                <w:rFonts w:ascii="Arial" w:cs="Arial" w:eastAsia="Arial" w:hAnsi="Arial"/>
                <w:sz w:val="18"/>
                <w:szCs w:val="18"/>
                <w:b w:val="1"/>
                <w:bCs w:val="1"/>
                <w:color w:val="auto"/>
                <w:w w:val="91"/>
              </w:rPr>
              <w:t>Change %</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Part. %</w:t>
            </w:r>
          </w:p>
        </w:tc>
        <w:tc>
          <w:tcPr>
            <w:tcW w:w="1460" w:type="dxa"/>
            <w:vAlign w:val="bottom"/>
            <w:gridSpan w:val="3"/>
          </w:tcPr>
          <w:p>
            <w:pPr>
              <w:ind w:left="640"/>
              <w:spacing w:after="0"/>
              <w:rPr>
                <w:sz w:val="20"/>
                <w:szCs w:val="20"/>
                <w:color w:val="auto"/>
              </w:rPr>
            </w:pPr>
            <w:r>
              <w:rPr>
                <w:rFonts w:ascii="Arial" w:cs="Arial" w:eastAsia="Arial" w:hAnsi="Arial"/>
                <w:sz w:val="18"/>
                <w:szCs w:val="18"/>
                <w:b w:val="1"/>
                <w:bCs w:val="1"/>
                <w:color w:val="auto"/>
                <w:w w:val="91"/>
              </w:rPr>
              <w:t>Change %</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Part. %</w:t>
            </w:r>
          </w:p>
        </w:tc>
      </w:tr>
      <w:tr>
        <w:trPr>
          <w:trHeight w:val="243"/>
        </w:trPr>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by the currency in which they were generated</w:t>
            </w:r>
          </w:p>
        </w:tc>
        <w:tc>
          <w:tcPr>
            <w:tcW w:w="120" w:type="dxa"/>
            <w:vAlign w:val="bottom"/>
            <w:tcBorders>
              <w:bottom w:val="single" w:sz="8" w:color="CCFFCC"/>
            </w:tcBorders>
          </w:tcPr>
          <w:p>
            <w:pPr>
              <w:spacing w:after="0"/>
              <w:rPr>
                <w:sz w:val="21"/>
                <w:szCs w:val="21"/>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1"/>
              </w:rPr>
              <w:t>YoY</w:t>
            </w:r>
          </w:p>
        </w:tc>
        <w:tc>
          <w:tcPr>
            <w:tcW w:w="300" w:type="dxa"/>
            <w:vAlign w:val="bottom"/>
            <w:tcBorders>
              <w:bottom w:val="single" w:sz="8" w:color="CCFFCC"/>
            </w:tcBorders>
          </w:tcPr>
          <w:p>
            <w:pPr>
              <w:spacing w:after="0"/>
              <w:rPr>
                <w:sz w:val="21"/>
                <w:szCs w:val="21"/>
                <w:color w:val="auto"/>
              </w:rPr>
            </w:pPr>
          </w:p>
        </w:tc>
        <w:tc>
          <w:tcPr>
            <w:tcW w:w="8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2Q13</w:t>
            </w:r>
          </w:p>
        </w:tc>
        <w:tc>
          <w:tcPr>
            <w:tcW w:w="300" w:type="dxa"/>
            <w:vAlign w:val="bottom"/>
            <w:tcBorders>
              <w:bottom w:val="single" w:sz="8" w:color="CCFFCC"/>
            </w:tcBorders>
          </w:tcPr>
          <w:p>
            <w:pPr>
              <w:spacing w:after="0"/>
              <w:rPr>
                <w:sz w:val="21"/>
                <w:szCs w:val="21"/>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1"/>
              </w:rPr>
              <w:t>YoY</w:t>
            </w:r>
          </w:p>
        </w:tc>
        <w:tc>
          <w:tcPr>
            <w:tcW w:w="300" w:type="dxa"/>
            <w:vAlign w:val="bottom"/>
            <w:tcBorders>
              <w:bottom w:val="single" w:sz="8" w:color="CCFFCC"/>
            </w:tcBorders>
          </w:tcPr>
          <w:p>
            <w:pPr>
              <w:spacing w:after="0"/>
              <w:rPr>
                <w:sz w:val="21"/>
                <w:szCs w:val="21"/>
                <w:color w:val="auto"/>
              </w:rPr>
            </w:pPr>
          </w:p>
        </w:tc>
        <w:tc>
          <w:tcPr>
            <w:tcW w:w="9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2Q13</w:t>
            </w:r>
          </w:p>
        </w:tc>
        <w:tc>
          <w:tcPr>
            <w:tcW w:w="180" w:type="dxa"/>
            <w:vAlign w:val="bottom"/>
            <w:tcBorders>
              <w:bottom w:val="single" w:sz="8" w:color="CCFFCC"/>
            </w:tcBorders>
          </w:tcPr>
          <w:p>
            <w:pPr>
              <w:spacing w:after="0"/>
              <w:rPr>
                <w:sz w:val="21"/>
                <w:szCs w:val="21"/>
                <w:color w:val="auto"/>
              </w:rPr>
            </w:pPr>
          </w:p>
        </w:tc>
      </w:tr>
      <w:tr>
        <w:trPr>
          <w:trHeight w:val="210"/>
        </w:trPr>
        <w:tc>
          <w:tcPr>
            <w:tcW w:w="4300" w:type="dxa"/>
            <w:vAlign w:val="bottom"/>
            <w:shd w:val="clear" w:color="auto" w:fill="CCFFCC"/>
          </w:tcPr>
          <w:p>
            <w:pPr>
              <w:spacing w:after="0"/>
              <w:rPr>
                <w:sz w:val="20"/>
                <w:szCs w:val="20"/>
                <w:color w:val="auto"/>
              </w:rPr>
            </w:pPr>
            <w:r>
              <w:rPr>
                <w:rFonts w:ascii="Arial" w:cs="Arial" w:eastAsia="Arial" w:hAnsi="Arial"/>
                <w:sz w:val="18"/>
                <w:szCs w:val="18"/>
                <w:color w:val="auto"/>
              </w:rPr>
              <w:t>Fee income</w:t>
            </w:r>
          </w:p>
        </w:tc>
        <w:tc>
          <w:tcPr>
            <w:tcW w:w="12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10.6%</w:t>
            </w:r>
          </w:p>
        </w:tc>
        <w:tc>
          <w:tcPr>
            <w:tcW w:w="26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16.0%</w:t>
            </w:r>
          </w:p>
        </w:tc>
        <w:tc>
          <w:tcPr>
            <w:tcW w:w="1180" w:type="dxa"/>
            <w:vAlign w:val="bottom"/>
            <w:gridSpan w:val="2"/>
            <w:shd w:val="clear" w:color="auto" w:fill="CCFFCC"/>
          </w:tcPr>
          <w:p>
            <w:pPr>
              <w:ind w:left="580"/>
              <w:spacing w:after="0"/>
              <w:rPr>
                <w:sz w:val="20"/>
                <w:szCs w:val="20"/>
                <w:color w:val="auto"/>
              </w:rPr>
            </w:pPr>
            <w:r>
              <w:rPr>
                <w:rFonts w:ascii="Arial" w:cs="Arial" w:eastAsia="Arial" w:hAnsi="Arial"/>
                <w:sz w:val="18"/>
                <w:szCs w:val="18"/>
                <w:color w:val="auto"/>
              </w:rPr>
              <w:t>71.9%</w:t>
            </w:r>
          </w:p>
        </w:tc>
        <w:tc>
          <w:tcPr>
            <w:tcW w:w="12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9.7%</w:t>
            </w:r>
          </w:p>
        </w:tc>
        <w:tc>
          <w:tcPr>
            <w:tcW w:w="26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1.3%</w:t>
            </w:r>
          </w:p>
        </w:tc>
        <w:tc>
          <w:tcPr>
            <w:tcW w:w="1080" w:type="dxa"/>
            <w:vAlign w:val="bottom"/>
            <w:gridSpan w:val="2"/>
            <w:shd w:val="clear" w:color="auto" w:fill="CCFFCC"/>
          </w:tcPr>
          <w:p>
            <w:pPr>
              <w:ind w:left="580"/>
              <w:spacing w:after="0"/>
              <w:rPr>
                <w:sz w:val="20"/>
                <w:szCs w:val="20"/>
                <w:color w:val="auto"/>
              </w:rPr>
            </w:pPr>
            <w:r>
              <w:rPr>
                <w:rFonts w:ascii="Arial" w:cs="Arial" w:eastAsia="Arial" w:hAnsi="Arial"/>
                <w:sz w:val="18"/>
                <w:szCs w:val="18"/>
                <w:color w:val="auto"/>
                <w:w w:val="93"/>
              </w:rPr>
              <w:t>28.1%</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Net gain on foreign exchange transactions</w:t>
            </w: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18.2%</w:t>
            </w:r>
          </w:p>
        </w:tc>
        <w:tc>
          <w:tcPr>
            <w:tcW w:w="260" w:type="dxa"/>
            <w:vAlign w:val="bottom"/>
          </w:tcPr>
          <w:p>
            <w:pPr>
              <w:spacing w:after="0"/>
              <w:rPr>
                <w:sz w:val="18"/>
                <w:szCs w:val="18"/>
                <w:color w:val="auto"/>
              </w:rPr>
            </w:pPr>
          </w:p>
        </w:tc>
        <w:tc>
          <w:tcPr>
            <w:tcW w:w="920" w:type="dxa"/>
            <w:vAlign w:val="bottom"/>
            <w:gridSpan w:val="2"/>
          </w:tcPr>
          <w:p>
            <w:pPr>
              <w:jc w:val="right"/>
              <w:ind w:right="70"/>
              <w:spacing w:after="0"/>
              <w:rPr>
                <w:sz w:val="20"/>
                <w:szCs w:val="20"/>
                <w:color w:val="auto"/>
              </w:rPr>
            </w:pPr>
            <w:r>
              <w:rPr>
                <w:rFonts w:ascii="Arial" w:cs="Arial" w:eastAsia="Arial" w:hAnsi="Arial"/>
                <w:sz w:val="18"/>
                <w:szCs w:val="18"/>
                <w:color w:val="auto"/>
              </w:rPr>
              <w:t>27.0%</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86.2%</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0.9%</w:t>
            </w:r>
          </w:p>
        </w:tc>
        <w:tc>
          <w:tcPr>
            <w:tcW w:w="260" w:type="dxa"/>
            <w:vAlign w:val="bottom"/>
          </w:tcPr>
          <w:p>
            <w:pPr>
              <w:spacing w:after="0"/>
              <w:rPr>
                <w:sz w:val="18"/>
                <w:szCs w:val="18"/>
                <w:color w:val="auto"/>
              </w:rPr>
            </w:pP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rPr>
              <w:t>-0.3%</w:t>
            </w:r>
          </w:p>
        </w:tc>
        <w:tc>
          <w:tcPr>
            <w:tcW w:w="1080" w:type="dxa"/>
            <w:vAlign w:val="bottom"/>
            <w:gridSpan w:val="2"/>
          </w:tcPr>
          <w:p>
            <w:pPr>
              <w:ind w:left="580"/>
              <w:spacing w:after="0"/>
              <w:rPr>
                <w:sz w:val="20"/>
                <w:szCs w:val="20"/>
                <w:color w:val="auto"/>
              </w:rPr>
            </w:pPr>
            <w:r>
              <w:rPr>
                <w:rFonts w:ascii="Arial" w:cs="Arial" w:eastAsia="Arial" w:hAnsi="Arial"/>
                <w:sz w:val="18"/>
                <w:szCs w:val="18"/>
                <w:color w:val="auto"/>
                <w:w w:val="93"/>
              </w:rPr>
              <w:t>13.8%</w:t>
            </w:r>
          </w:p>
        </w:tc>
      </w:tr>
      <w:tr>
        <w:trPr>
          <w:trHeight w:val="216"/>
        </w:trPr>
        <w:tc>
          <w:tcPr>
            <w:tcW w:w="44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gain on sales of securities</w:t>
            </w:r>
          </w:p>
        </w:tc>
        <w:tc>
          <w:tcPr>
            <w:tcW w:w="118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443.9%</w:t>
            </w:r>
          </w:p>
        </w:tc>
        <w:tc>
          <w:tcPr>
            <w:tcW w:w="26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13.4%</w:t>
            </w:r>
          </w:p>
        </w:tc>
        <w:tc>
          <w:tcPr>
            <w:tcW w:w="1180" w:type="dxa"/>
            <w:vAlign w:val="bottom"/>
            <w:gridSpan w:val="2"/>
            <w:shd w:val="clear" w:color="auto" w:fill="CCFFCC"/>
          </w:tcPr>
          <w:p>
            <w:pPr>
              <w:ind w:left="580"/>
              <w:spacing w:after="0"/>
              <w:rPr>
                <w:sz w:val="20"/>
                <w:szCs w:val="20"/>
                <w:color w:val="auto"/>
              </w:rPr>
            </w:pPr>
            <w:r>
              <w:rPr>
                <w:rFonts w:ascii="Arial" w:cs="Arial" w:eastAsia="Arial" w:hAnsi="Arial"/>
                <w:sz w:val="18"/>
                <w:szCs w:val="18"/>
                <w:color w:val="auto"/>
              </w:rPr>
              <w:t>83.0%</w:t>
            </w:r>
          </w:p>
        </w:tc>
        <w:tc>
          <w:tcPr>
            <w:tcW w:w="12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159.1%</w:t>
            </w:r>
          </w:p>
        </w:tc>
        <w:tc>
          <w:tcPr>
            <w:tcW w:w="26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-42.2%</w:t>
            </w:r>
          </w:p>
        </w:tc>
        <w:tc>
          <w:tcPr>
            <w:tcW w:w="1080" w:type="dxa"/>
            <w:vAlign w:val="bottom"/>
            <w:gridSpan w:val="2"/>
            <w:shd w:val="clear" w:color="auto" w:fill="CCFFCC"/>
          </w:tcPr>
          <w:p>
            <w:pPr>
              <w:ind w:left="580"/>
              <w:spacing w:after="0"/>
              <w:rPr>
                <w:sz w:val="20"/>
                <w:szCs w:val="20"/>
                <w:color w:val="auto"/>
              </w:rPr>
            </w:pPr>
            <w:r>
              <w:rPr>
                <w:rFonts w:ascii="Arial" w:cs="Arial" w:eastAsia="Arial" w:hAnsi="Arial"/>
                <w:sz w:val="18"/>
                <w:szCs w:val="18"/>
                <w:color w:val="auto"/>
                <w:w w:val="93"/>
              </w:rPr>
              <w:t>17.0%</w:t>
            </w: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-71.9%</w:t>
            </w:r>
          </w:p>
        </w:tc>
        <w:tc>
          <w:tcPr>
            <w:tcW w:w="260" w:type="dxa"/>
            <w:vAlign w:val="bottom"/>
          </w:tcPr>
          <w:p>
            <w:pPr>
              <w:spacing w:after="0"/>
              <w:rPr>
                <w:sz w:val="19"/>
                <w:szCs w:val="19"/>
                <w:color w:val="auto"/>
              </w:rPr>
            </w:pPr>
          </w:p>
        </w:tc>
        <w:tc>
          <w:tcPr>
            <w:tcW w:w="920" w:type="dxa"/>
            <w:vAlign w:val="bottom"/>
            <w:gridSpan w:val="2"/>
          </w:tcPr>
          <w:p>
            <w:pPr>
              <w:jc w:val="right"/>
              <w:ind w:right="70"/>
              <w:spacing w:after="0"/>
              <w:rPr>
                <w:sz w:val="20"/>
                <w:szCs w:val="20"/>
                <w:color w:val="auto"/>
              </w:rPr>
            </w:pPr>
            <w:r>
              <w:rPr>
                <w:rFonts w:ascii="Arial" w:cs="Arial" w:eastAsia="Arial" w:hAnsi="Arial"/>
                <w:sz w:val="18"/>
                <w:szCs w:val="18"/>
                <w:color w:val="auto"/>
              </w:rPr>
              <w:t>-12.6%</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54.4%</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-44.1%</w:t>
            </w:r>
          </w:p>
        </w:tc>
        <w:tc>
          <w:tcPr>
            <w:tcW w:w="260" w:type="dxa"/>
            <w:vAlign w:val="bottom"/>
          </w:tcPr>
          <w:p>
            <w:pPr>
              <w:spacing w:after="0"/>
              <w:rPr>
                <w:sz w:val="19"/>
                <w:szCs w:val="19"/>
                <w:color w:val="auto"/>
              </w:rPr>
            </w:pP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rPr>
              <w:t>-81.4%</w:t>
            </w:r>
          </w:p>
        </w:tc>
        <w:tc>
          <w:tcPr>
            <w:tcW w:w="1080" w:type="dxa"/>
            <w:vAlign w:val="bottom"/>
            <w:gridSpan w:val="2"/>
          </w:tcPr>
          <w:p>
            <w:pPr>
              <w:ind w:left="580"/>
              <w:spacing w:after="0"/>
              <w:rPr>
                <w:sz w:val="20"/>
                <w:szCs w:val="20"/>
                <w:color w:val="auto"/>
              </w:rPr>
            </w:pPr>
            <w:r>
              <w:rPr>
                <w:rFonts w:ascii="Arial" w:cs="Arial" w:eastAsia="Arial" w:hAnsi="Arial"/>
                <w:sz w:val="18"/>
                <w:szCs w:val="18"/>
                <w:color w:val="auto"/>
                <w:w w:val="93"/>
              </w:rPr>
              <w:t>45.6%</w:t>
            </w:r>
          </w:p>
        </w:tc>
      </w:tr>
      <w:tr>
        <w:trPr>
          <w:trHeight w:val="210"/>
        </w:trPr>
        <w:tc>
          <w:tcPr>
            <w:tcW w:w="442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non financial income</w:t>
            </w: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17.5</w:t>
            </w:r>
          </w:p>
        </w:tc>
        <w:tc>
          <w:tcPr>
            <w:tcW w:w="300" w:type="dxa"/>
            <w:vAlign w:val="bottom"/>
            <w:tcBorders>
              <w:top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bottom w:val="single" w:sz="8" w:color="auto"/>
            </w:tcBorders>
            <w:shd w:val="clear" w:color="auto" w:fill="CCFFCC"/>
          </w:tcPr>
          <w:p>
            <w:pPr>
              <w:spacing w:after="0"/>
              <w:rPr>
                <w:sz w:val="18"/>
                <w:szCs w:val="18"/>
                <w:color w:val="auto"/>
              </w:rPr>
            </w:pPr>
          </w:p>
        </w:tc>
        <w:tc>
          <w:tcPr>
            <w:tcW w:w="6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17.8</w:t>
            </w:r>
          </w:p>
        </w:tc>
        <w:tc>
          <w:tcPr>
            <w:tcW w:w="300" w:type="dxa"/>
            <w:vAlign w:val="bottom"/>
            <w:tcBorders>
              <w:top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shd w:val="clear" w:color="auto" w:fill="CCFFCC"/>
          </w:tcPr>
          <w:p>
            <w:pPr>
              <w:ind w:left="580"/>
              <w:spacing w:after="0"/>
              <w:rPr>
                <w:sz w:val="20"/>
                <w:szCs w:val="20"/>
                <w:color w:val="auto"/>
              </w:rPr>
            </w:pPr>
            <w:r>
              <w:rPr>
                <w:rFonts w:ascii="Arial" w:cs="Arial" w:eastAsia="Arial" w:hAnsi="Arial"/>
                <w:sz w:val="18"/>
                <w:szCs w:val="18"/>
                <w:b w:val="1"/>
                <w:bCs w:val="1"/>
                <w:color w:val="auto"/>
                <w:w w:val="79"/>
              </w:rPr>
              <w:t>73.8</w:t>
            </w:r>
          </w:p>
        </w:tc>
        <w:tc>
          <w:tcPr>
            <w:tcW w:w="300" w:type="dxa"/>
            <w:vAlign w:val="bottom"/>
            <w:tcBorders>
              <w:top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-0.7</w:t>
            </w:r>
          </w:p>
        </w:tc>
        <w:tc>
          <w:tcPr>
            <w:tcW w:w="300" w:type="dxa"/>
            <w:vAlign w:val="bottom"/>
            <w:tcBorders>
              <w:top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bottom w:val="single" w:sz="8" w:color="auto"/>
            </w:tcBorders>
            <w:shd w:val="clear" w:color="auto" w:fill="CCFFCC"/>
          </w:tcPr>
          <w:p>
            <w:pPr>
              <w:spacing w:after="0"/>
              <w:rPr>
                <w:sz w:val="18"/>
                <w:szCs w:val="18"/>
                <w:color w:val="auto"/>
              </w:rPr>
            </w:pPr>
          </w:p>
        </w:tc>
        <w:tc>
          <w:tcPr>
            <w:tcW w:w="6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-8.1</w:t>
            </w:r>
          </w:p>
        </w:tc>
        <w:tc>
          <w:tcPr>
            <w:tcW w:w="300" w:type="dxa"/>
            <w:vAlign w:val="bottom"/>
            <w:tcBorders>
              <w:top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shd w:val="clear" w:color="auto" w:fill="CCFFCC"/>
          </w:tcPr>
          <w:p>
            <w:pPr>
              <w:ind w:left="580"/>
              <w:spacing w:after="0"/>
              <w:rPr>
                <w:sz w:val="20"/>
                <w:szCs w:val="20"/>
                <w:color w:val="auto"/>
              </w:rPr>
            </w:pPr>
            <w:r>
              <w:rPr>
                <w:rFonts w:ascii="Arial" w:cs="Arial" w:eastAsia="Arial" w:hAnsi="Arial"/>
                <w:sz w:val="18"/>
                <w:szCs w:val="18"/>
                <w:b w:val="1"/>
                <w:bCs w:val="1"/>
                <w:color w:val="auto"/>
                <w:w w:val="85"/>
              </w:rPr>
              <w:t>26.2</w:t>
            </w:r>
          </w:p>
        </w:tc>
        <w:tc>
          <w:tcPr>
            <w:tcW w:w="18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Channels of Distribution and Transactions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average number of transactions in 2Q13 was 5.6% higher than the level reported in 1Q13. This coincides with an increase in banking penetration. This growth is due primarily to transactions conducted through cost-efficient channels such as Agentes BCP (+4.9% QoQ), ATMs ViaBCP (+5.8% QoQ) and Internet banking ViaBCP (+8.1% QoQ), which represented 58% of total transactions. It is also important to mention the growth reported in other cost-efficient channels such as Points of Sale P.O.S (+14.9% QoQ) and Telecredito (+8.9% QoQ), which is in line with the bank’s strategy to increase the efficient use of the network of channels.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YoY analysis, it is important to note that although the average volume of transactions grew 20.0% YoY, cost-efficient channels reported significantly higher growth including +25.6% in Internet Banking, +25.3% in Agentes BCP as well as +19.1% in ATMs.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4" w:name="page25"/>
    <w:bookmarkEnd w:id="24"/>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80" w:type="dxa"/>
            <w:vAlign w:val="bottom"/>
            <w:gridSpan w:val="5"/>
          </w:tcPr>
          <w:p>
            <w:pPr>
              <w:jc w:val="right"/>
              <w:ind w:right="48"/>
              <w:spacing w:after="0"/>
              <w:rPr>
                <w:sz w:val="20"/>
                <w:szCs w:val="20"/>
                <w:color w:val="auto"/>
              </w:rPr>
            </w:pPr>
            <w:r>
              <w:rPr>
                <w:rFonts w:ascii="Arial" w:cs="Arial" w:eastAsia="Arial" w:hAnsi="Arial"/>
                <w:sz w:val="14"/>
                <w:szCs w:val="14"/>
                <w:b w:val="1"/>
                <w:bCs w:val="1"/>
                <w:color w:val="auto"/>
                <w:w w:val="99"/>
              </w:rPr>
              <w:t>Monthly average in each quarter</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3"/>
          </w:tcPr>
          <w:p>
            <w:pPr>
              <w:ind w:left="600"/>
              <w:spacing w:after="0"/>
              <w:rPr>
                <w:sz w:val="20"/>
                <w:szCs w:val="20"/>
                <w:color w:val="auto"/>
              </w:rPr>
            </w:pPr>
            <w:r>
              <w:rPr>
                <w:rFonts w:ascii="Arial" w:cs="Arial" w:eastAsia="Arial" w:hAnsi="Arial"/>
                <w:sz w:val="14"/>
                <w:szCs w:val="14"/>
                <w:b w:val="1"/>
                <w:bCs w:val="1"/>
                <w:color w:val="auto"/>
                <w:w w:val="97"/>
              </w:rPr>
              <w:t>Change %</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1"/>
        </w:trPr>
        <w:tc>
          <w:tcPr>
            <w:tcW w:w="3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 of Transactions per channel</w:t>
            </w:r>
          </w:p>
        </w:tc>
        <w:tc>
          <w:tcPr>
            <w:tcW w:w="14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2Q13</w:t>
            </w:r>
          </w:p>
        </w:tc>
        <w:tc>
          <w:tcPr>
            <w:tcW w:w="20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1Q13</w:t>
            </w:r>
          </w:p>
        </w:tc>
        <w:tc>
          <w:tcPr>
            <w:tcW w:w="20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2Q12</w:t>
            </w:r>
          </w:p>
        </w:tc>
        <w:tc>
          <w:tcPr>
            <w:tcW w:w="20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FFC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YoY</w:t>
            </w:r>
          </w:p>
        </w:tc>
        <w:tc>
          <w:tcPr>
            <w:tcW w:w="140" w:type="dxa"/>
            <w:vAlign w:val="bottom"/>
            <w:tcBorders>
              <w:bottom w:val="single" w:sz="8" w:color="CCFFCC"/>
            </w:tcBorders>
          </w:tcPr>
          <w:p>
            <w:pPr>
              <w:spacing w:after="0"/>
              <w:rPr>
                <w:sz w:val="14"/>
                <w:szCs w:val="14"/>
                <w:color w:val="auto"/>
              </w:rPr>
            </w:pPr>
          </w:p>
        </w:tc>
      </w:tr>
      <w:tr>
        <w:trPr>
          <w:trHeight w:val="142"/>
        </w:trPr>
        <w:tc>
          <w:tcPr>
            <w:tcW w:w="320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Teller</w:t>
            </w:r>
          </w:p>
        </w:tc>
        <w:tc>
          <w:tcPr>
            <w:tcW w:w="14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10,334,170</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12.4%</w:t>
            </w: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10,808,150</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14.1%</w:t>
            </w: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9,767,978</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14.8%</w:t>
            </w:r>
          </w:p>
        </w:tc>
        <w:tc>
          <w:tcPr>
            <w:tcW w:w="104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-4.4%</w:t>
            </w:r>
          </w:p>
        </w:tc>
        <w:tc>
          <w:tcPr>
            <w:tcW w:w="24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5.8%</w:t>
            </w: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ATMs Via BCP</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14,935,718</w:t>
            </w:r>
          </w:p>
        </w:tc>
        <w:tc>
          <w:tcPr>
            <w:tcW w:w="200" w:type="dxa"/>
            <w:vAlign w:val="bottom"/>
          </w:tcPr>
          <w:p>
            <w:pPr>
              <w:spacing w:after="0"/>
              <w:rPr>
                <w:sz w:val="12"/>
                <w:szCs w:val="12"/>
                <w:color w:val="auto"/>
              </w:rPr>
            </w:pP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18.0%</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14,121,501</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18.2%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12,540,120</w:t>
            </w:r>
          </w:p>
        </w:tc>
        <w:tc>
          <w:tcPr>
            <w:tcW w:w="200" w:type="dxa"/>
            <w:vAlign w:val="bottom"/>
          </w:tcPr>
          <w:p>
            <w:pPr>
              <w:spacing w:after="0"/>
              <w:rPr>
                <w:sz w:val="12"/>
                <w:szCs w:val="12"/>
                <w:color w:val="auto"/>
              </w:rPr>
            </w:pP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18.2%</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5.8%</w:t>
            </w: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19.1%</w:t>
            </w: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Balance Inquiries</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4,779,041</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5.7%</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4,163,204</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4.8%</w:t>
            </w: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3,565,533</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5.4%</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14.8%</w:t>
            </w:r>
          </w:p>
        </w:tc>
        <w:tc>
          <w:tcPr>
            <w:tcW w:w="24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34.0%</w:t>
            </w: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Telephone Banking</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2,872,801</w:t>
            </w:r>
          </w:p>
        </w:tc>
        <w:tc>
          <w:tcPr>
            <w:tcW w:w="200" w:type="dxa"/>
            <w:vAlign w:val="bottom"/>
          </w:tcPr>
          <w:p>
            <w:pPr>
              <w:spacing w:after="0"/>
              <w:rPr>
                <w:sz w:val="12"/>
                <w:szCs w:val="12"/>
                <w:color w:val="auto"/>
              </w:rPr>
            </w:pP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3.5%</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2,774,165</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3.9%</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2,794,464</w:t>
            </w:r>
          </w:p>
        </w:tc>
        <w:tc>
          <w:tcPr>
            <w:tcW w:w="200" w:type="dxa"/>
            <w:vAlign w:val="bottom"/>
          </w:tcPr>
          <w:p>
            <w:pPr>
              <w:spacing w:after="0"/>
              <w:rPr>
                <w:sz w:val="12"/>
                <w:szCs w:val="12"/>
                <w:color w:val="auto"/>
              </w:rPr>
            </w:pP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3.6%</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3.6%</w:t>
            </w: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w:t>
            </w: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Internet Banking Via BCP</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17,922,367</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21.6%</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16,878,034</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20.5%</w:t>
            </w: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14,527,815</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21.2%</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6.2%</w:t>
            </w:r>
          </w:p>
        </w:tc>
        <w:tc>
          <w:tcPr>
            <w:tcW w:w="24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23.4%</w:t>
            </w: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Agente BCP</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15,454,927</w:t>
            </w:r>
          </w:p>
        </w:tc>
        <w:tc>
          <w:tcPr>
            <w:tcW w:w="200" w:type="dxa"/>
            <w:vAlign w:val="bottom"/>
          </w:tcPr>
          <w:p>
            <w:pPr>
              <w:spacing w:after="0"/>
              <w:rPr>
                <w:sz w:val="12"/>
                <w:szCs w:val="12"/>
                <w:color w:val="auto"/>
              </w:rPr>
            </w:pP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18.6%</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14,730,204</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18.2%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12,329,809</w:t>
            </w:r>
          </w:p>
        </w:tc>
        <w:tc>
          <w:tcPr>
            <w:tcW w:w="200" w:type="dxa"/>
            <w:vAlign w:val="bottom"/>
          </w:tcPr>
          <w:p>
            <w:pPr>
              <w:spacing w:after="0"/>
              <w:rPr>
                <w:sz w:val="12"/>
                <w:szCs w:val="12"/>
                <w:color w:val="auto"/>
              </w:rPr>
            </w:pP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17.0%</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4.9%</w:t>
            </w: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25.3%</w:t>
            </w: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Telecrédito</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7,216,271</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8.7%</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6,630,577</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9.0%</w:t>
            </w: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6,175,632</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8.9%</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8.8%</w:t>
            </w:r>
          </w:p>
        </w:tc>
        <w:tc>
          <w:tcPr>
            <w:tcW w:w="24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16.9%</w:t>
            </w: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Mobile banking</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1,303,456</w:t>
            </w:r>
          </w:p>
        </w:tc>
        <w:tc>
          <w:tcPr>
            <w:tcW w:w="200" w:type="dxa"/>
            <w:vAlign w:val="bottom"/>
          </w:tcPr>
          <w:p>
            <w:pPr>
              <w:spacing w:after="0"/>
              <w:rPr>
                <w:sz w:val="12"/>
                <w:szCs w:val="12"/>
                <w:color w:val="auto"/>
              </w:rPr>
            </w:pP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1.6%</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1,323,790</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1.6%</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767,914</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1.2%</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-1.5%</w:t>
            </w: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69.7%</w:t>
            </w: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Direct Debit</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672,811</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0.8%</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600,039</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0.7%</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517,168</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0.8%</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12.1%</w:t>
            </w:r>
          </w:p>
        </w:tc>
        <w:tc>
          <w:tcPr>
            <w:tcW w:w="24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30.1%</w:t>
            </w: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Points of Sale P.O.S.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7,354,841</w:t>
            </w:r>
          </w:p>
        </w:tc>
        <w:tc>
          <w:tcPr>
            <w:tcW w:w="200" w:type="dxa"/>
            <w:vAlign w:val="bottom"/>
          </w:tcPr>
          <w:p>
            <w:pPr>
              <w:spacing w:after="0"/>
              <w:rPr>
                <w:sz w:val="12"/>
                <w:szCs w:val="12"/>
                <w:color w:val="auto"/>
              </w:rPr>
            </w:pP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8.8%</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6,402,388</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8.6%</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5,950,415</w:t>
            </w:r>
          </w:p>
        </w:tc>
        <w:tc>
          <w:tcPr>
            <w:tcW w:w="200" w:type="dxa"/>
            <w:vAlign w:val="bottom"/>
          </w:tcPr>
          <w:p>
            <w:pPr>
              <w:spacing w:after="0"/>
              <w:rPr>
                <w:sz w:val="12"/>
                <w:szCs w:val="12"/>
                <w:color w:val="auto"/>
              </w:rPr>
            </w:pP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8.5%</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14.9%</w:t>
            </w: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23.6%</w:t>
            </w:r>
          </w:p>
        </w:tc>
      </w:tr>
      <w:tr>
        <w:trPr>
          <w:trHeight w:val="162"/>
        </w:trPr>
        <w:tc>
          <w:tcPr>
            <w:tcW w:w="33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Other ATMs network</w:t>
            </w: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289,304</w:t>
            </w:r>
          </w:p>
        </w:tc>
        <w:tc>
          <w:tcPr>
            <w:tcW w:w="104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0.3%</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324,117</w:t>
            </w:r>
          </w:p>
        </w:tc>
        <w:tc>
          <w:tcPr>
            <w:tcW w:w="104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0.4%</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343,874</w:t>
            </w:r>
          </w:p>
        </w:tc>
        <w:tc>
          <w:tcPr>
            <w:tcW w:w="104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0.5%</w:t>
            </w:r>
          </w:p>
        </w:tc>
        <w:tc>
          <w:tcPr>
            <w:tcW w:w="104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-10.7%</w:t>
            </w:r>
          </w:p>
        </w:tc>
        <w:tc>
          <w:tcPr>
            <w:tcW w:w="240" w:type="dxa"/>
            <w:vAlign w:val="bottom"/>
            <w:shd w:val="clear" w:color="auto" w:fill="CCFFCC"/>
          </w:tcPr>
          <w:p>
            <w:pPr>
              <w:spacing w:after="0"/>
              <w:rPr>
                <w:sz w:val="14"/>
                <w:szCs w:val="14"/>
                <w:color w:val="auto"/>
              </w:rPr>
            </w:pPr>
          </w:p>
        </w:tc>
        <w:tc>
          <w:tcPr>
            <w:tcW w:w="7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-15.9%</w:t>
            </w: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Total transactions</w:t>
            </w:r>
          </w:p>
        </w:tc>
        <w:tc>
          <w:tcPr>
            <w:tcW w:w="7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83,135,707</w:t>
            </w:r>
          </w:p>
        </w:tc>
        <w:tc>
          <w:tcPr>
            <w:tcW w:w="200" w:type="dxa"/>
            <w:vAlign w:val="bottom"/>
          </w:tcPr>
          <w:p>
            <w:pPr>
              <w:spacing w:after="0"/>
              <w:rPr>
                <w:sz w:val="12"/>
                <w:szCs w:val="12"/>
                <w:color w:val="auto"/>
              </w:rPr>
            </w:pPr>
          </w:p>
        </w:tc>
        <w:tc>
          <w:tcPr>
            <w:tcW w:w="8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100.0</w:t>
            </w:r>
          </w:p>
        </w:tc>
        <w:tc>
          <w:tcPr>
            <w:tcW w:w="24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w w:val="96"/>
              </w:rPr>
              <w:t>%</w:t>
            </w:r>
          </w:p>
        </w:tc>
        <w:tc>
          <w:tcPr>
            <w:tcW w:w="8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78,756,168</w:t>
            </w:r>
          </w:p>
        </w:tc>
        <w:tc>
          <w:tcPr>
            <w:tcW w:w="200" w:type="dxa"/>
            <w:vAlign w:val="bottom"/>
          </w:tcPr>
          <w:p>
            <w:pPr>
              <w:spacing w:after="0"/>
              <w:rPr>
                <w:sz w:val="12"/>
                <w:szCs w:val="12"/>
                <w:color w:val="auto"/>
              </w:rPr>
            </w:pPr>
          </w:p>
        </w:tc>
        <w:tc>
          <w:tcPr>
            <w:tcW w:w="8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100.0</w:t>
            </w:r>
          </w:p>
        </w:tc>
        <w:tc>
          <w:tcPr>
            <w:tcW w:w="24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w w:val="96"/>
              </w:rPr>
              <w:t>%</w:t>
            </w:r>
          </w:p>
        </w:tc>
        <w:tc>
          <w:tcPr>
            <w:tcW w:w="8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69,280,722</w:t>
            </w:r>
          </w:p>
        </w:tc>
        <w:tc>
          <w:tcPr>
            <w:tcW w:w="200" w:type="dxa"/>
            <w:vAlign w:val="bottom"/>
          </w:tcPr>
          <w:p>
            <w:pPr>
              <w:spacing w:after="0"/>
              <w:rPr>
                <w:sz w:val="12"/>
                <w:szCs w:val="12"/>
                <w:color w:val="auto"/>
              </w:rPr>
            </w:pPr>
          </w:p>
        </w:tc>
        <w:tc>
          <w:tcPr>
            <w:tcW w:w="8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100.0</w:t>
            </w:r>
          </w:p>
        </w:tc>
        <w:tc>
          <w:tcPr>
            <w:tcW w:w="24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w w:val="96"/>
              </w:rPr>
              <w:t>%</w:t>
            </w:r>
          </w:p>
        </w:tc>
        <w:tc>
          <w:tcPr>
            <w:tcW w:w="8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5.6</w:t>
            </w:r>
          </w:p>
        </w:tc>
        <w:tc>
          <w:tcPr>
            <w:tcW w:w="24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w w:val="96"/>
              </w:rPr>
              <w:t>%</w:t>
            </w: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20.0</w:t>
            </w:r>
          </w:p>
        </w:tc>
        <w:tc>
          <w:tcPr>
            <w:tcW w:w="1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2057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Source: BCP</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BCP’s distribution channels continued to expand at a sustained rate. The bank had 8,051 points of access at the end of 2Q13, which is in line with BCP’s strategy to increase banking penetration in the country and represents an increase of +1.5% QoQ and +8.5% YoY. This expansion was led, in absolute terms, by Agentes BCP (+1.4% QoQ and +5.3% YoY) and to a lesser extent by Branches (+0.3% QoQ and 8% YoY). It is important to note that in net terms, only one office was opened in 2Q given that 6 new offices were opened and 5 closed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gridSpan w:val="3"/>
          </w:tcPr>
          <w:p>
            <w:pPr>
              <w:ind w:left="40"/>
              <w:spacing w:after="0"/>
              <w:rPr>
                <w:sz w:val="20"/>
                <w:szCs w:val="20"/>
                <w:color w:val="auto"/>
              </w:rPr>
            </w:pPr>
            <w:r>
              <w:rPr>
                <w:rFonts w:ascii="Arial" w:cs="Arial" w:eastAsia="Arial" w:hAnsi="Arial"/>
                <w:sz w:val="18"/>
                <w:szCs w:val="18"/>
                <w:b w:val="1"/>
                <w:bCs w:val="1"/>
                <w:color w:val="auto"/>
                <w:w w:val="93"/>
              </w:rPr>
              <w:t>Balance as of</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gridSpan w:val="4"/>
          </w:tcPr>
          <w:p>
            <w:pPr>
              <w:ind w:left="540"/>
              <w:spacing w:after="0"/>
              <w:rPr>
                <w:sz w:val="20"/>
                <w:szCs w:val="20"/>
                <w:color w:val="auto"/>
              </w:rPr>
            </w:pPr>
            <w:r>
              <w:rPr>
                <w:rFonts w:ascii="Arial" w:cs="Arial" w:eastAsia="Arial" w:hAnsi="Arial"/>
                <w:sz w:val="18"/>
                <w:szCs w:val="18"/>
                <w:b w:val="1"/>
                <w:bCs w:val="1"/>
                <w:color w:val="auto"/>
              </w:rPr>
              <w:t>Change %</w:t>
            </w:r>
          </w:p>
        </w:tc>
      </w:tr>
      <w:tr>
        <w:trPr>
          <w:trHeight w:val="234"/>
        </w:trPr>
        <w:tc>
          <w:tcPr>
            <w:tcW w:w="5180" w:type="dxa"/>
            <w:vAlign w:val="bottom"/>
            <w:tcBorders>
              <w:bottom w:val="single" w:sz="8" w:color="CCFFCC"/>
            </w:tcBorders>
          </w:tcPr>
          <w:p>
            <w:pPr>
              <w:spacing w:after="0"/>
              <w:rPr>
                <w:sz w:val="20"/>
                <w:szCs w:val="20"/>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2Q13</w:t>
            </w:r>
          </w:p>
        </w:tc>
        <w:tc>
          <w:tcPr>
            <w:tcW w:w="40" w:type="dxa"/>
            <w:vAlign w:val="bottom"/>
            <w:tcBorders>
              <w:bottom w:val="single" w:sz="8" w:color="CCFFCC"/>
            </w:tcBorders>
          </w:tcPr>
          <w:p>
            <w:pPr>
              <w:spacing w:after="0"/>
              <w:rPr>
                <w:sz w:val="20"/>
                <w:szCs w:val="20"/>
                <w:color w:val="auto"/>
              </w:rPr>
            </w:pPr>
          </w:p>
        </w:tc>
        <w:tc>
          <w:tcPr>
            <w:tcW w:w="140" w:type="dxa"/>
            <w:vAlign w:val="bottom"/>
            <w:tcBorders>
              <w:bottom w:val="single" w:sz="8" w:color="CCFFCC"/>
            </w:tcBorders>
          </w:tcPr>
          <w:p>
            <w:pPr>
              <w:spacing w:after="0"/>
              <w:rPr>
                <w:sz w:val="20"/>
                <w:szCs w:val="20"/>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1Q13</w:t>
            </w:r>
          </w:p>
        </w:tc>
        <w:tc>
          <w:tcPr>
            <w:tcW w:w="180" w:type="dxa"/>
            <w:vAlign w:val="bottom"/>
            <w:tcBorders>
              <w:bottom w:val="single" w:sz="8" w:color="CCFFCC"/>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2Q12</w:t>
            </w:r>
          </w:p>
        </w:tc>
        <w:tc>
          <w:tcPr>
            <w:tcW w:w="200" w:type="dxa"/>
            <w:vAlign w:val="bottom"/>
            <w:tcBorders>
              <w:bottom w:val="single" w:sz="8" w:color="CCFFCC"/>
            </w:tcBorders>
          </w:tcPr>
          <w:p>
            <w:pPr>
              <w:spacing w:after="0"/>
              <w:rPr>
                <w:sz w:val="20"/>
                <w:szCs w:val="20"/>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FFCC"/>
            </w:tcBorders>
          </w:tcPr>
          <w:p>
            <w:pPr>
              <w:spacing w:after="0"/>
              <w:rPr>
                <w:sz w:val="20"/>
                <w:szCs w:val="20"/>
                <w:color w:val="auto"/>
              </w:rPr>
            </w:pPr>
          </w:p>
        </w:tc>
      </w:tr>
      <w:tr>
        <w:trPr>
          <w:trHeight w:val="210"/>
        </w:trPr>
        <w:tc>
          <w:tcPr>
            <w:tcW w:w="5180" w:type="dxa"/>
            <w:vAlign w:val="bottom"/>
            <w:shd w:val="clear" w:color="auto" w:fill="CCFFCC"/>
          </w:tcPr>
          <w:p>
            <w:pPr>
              <w:spacing w:after="0"/>
              <w:rPr>
                <w:sz w:val="20"/>
                <w:szCs w:val="20"/>
                <w:color w:val="auto"/>
              </w:rPr>
            </w:pPr>
            <w:r>
              <w:rPr>
                <w:rFonts w:ascii="Arial" w:cs="Arial" w:eastAsia="Arial" w:hAnsi="Arial"/>
                <w:sz w:val="18"/>
                <w:szCs w:val="18"/>
                <w:color w:val="auto"/>
              </w:rPr>
              <w:t>Branches</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380</w:t>
            </w:r>
          </w:p>
        </w:tc>
        <w:tc>
          <w:tcPr>
            <w:tcW w:w="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379</w:t>
            </w:r>
          </w:p>
        </w:tc>
        <w:tc>
          <w:tcPr>
            <w:tcW w:w="18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352</w:t>
            </w:r>
          </w:p>
        </w:tc>
        <w:tc>
          <w:tcPr>
            <w:tcW w:w="2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ind w:left="580"/>
              <w:spacing w:after="0"/>
              <w:rPr>
                <w:sz w:val="20"/>
                <w:szCs w:val="20"/>
                <w:color w:val="auto"/>
              </w:rPr>
            </w:pPr>
            <w:r>
              <w:rPr>
                <w:rFonts w:ascii="Arial" w:cs="Arial" w:eastAsia="Arial" w:hAnsi="Arial"/>
                <w:sz w:val="18"/>
                <w:szCs w:val="18"/>
                <w:color w:val="auto"/>
              </w:rPr>
              <w:t>0.3%</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ATMs</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1,966</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1,925</w:t>
            </w:r>
          </w:p>
        </w:tc>
        <w:tc>
          <w:tcPr>
            <w:tcW w:w="800" w:type="dxa"/>
            <w:vAlign w:val="bottom"/>
          </w:tcPr>
          <w:p>
            <w:pPr>
              <w:jc w:val="right"/>
              <w:spacing w:after="0"/>
              <w:rPr>
                <w:sz w:val="20"/>
                <w:szCs w:val="20"/>
                <w:color w:val="auto"/>
              </w:rPr>
            </w:pPr>
            <w:r>
              <w:rPr>
                <w:rFonts w:ascii="Arial" w:cs="Arial" w:eastAsia="Arial" w:hAnsi="Arial"/>
                <w:sz w:val="18"/>
                <w:szCs w:val="18"/>
                <w:color w:val="auto"/>
              </w:rPr>
              <w:t>1,647</w:t>
            </w:r>
          </w:p>
        </w:tc>
        <w:tc>
          <w:tcPr>
            <w:tcW w:w="200" w:type="dxa"/>
            <w:vAlign w:val="bottom"/>
          </w:tcPr>
          <w:p>
            <w:pPr>
              <w:spacing w:after="0"/>
              <w:rPr>
                <w:sz w:val="18"/>
                <w:szCs w:val="18"/>
                <w:color w:val="auto"/>
              </w:rPr>
            </w:pP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2.1%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19.4%</w:t>
            </w:r>
          </w:p>
        </w:tc>
      </w:tr>
      <w:tr>
        <w:trPr>
          <w:trHeight w:val="230"/>
        </w:trPr>
        <w:tc>
          <w:tcPr>
            <w:tcW w:w="5180" w:type="dxa"/>
            <w:vAlign w:val="bottom"/>
            <w:shd w:val="clear" w:color="auto" w:fill="CCFFCC"/>
          </w:tcPr>
          <w:p>
            <w:pPr>
              <w:spacing w:after="0"/>
              <w:rPr>
                <w:sz w:val="20"/>
                <w:szCs w:val="20"/>
                <w:color w:val="auto"/>
              </w:rPr>
            </w:pPr>
            <w:r>
              <w:rPr>
                <w:rFonts w:ascii="Arial" w:cs="Arial" w:eastAsia="Arial" w:hAnsi="Arial"/>
                <w:sz w:val="18"/>
                <w:szCs w:val="18"/>
                <w:color w:val="auto"/>
              </w:rPr>
              <w:t>Agentes BCP</w:t>
            </w: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5,705</w:t>
            </w:r>
          </w:p>
        </w:tc>
        <w:tc>
          <w:tcPr>
            <w:tcW w:w="114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5,627</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5,419</w:t>
            </w:r>
          </w:p>
        </w:tc>
        <w:tc>
          <w:tcPr>
            <w:tcW w:w="200" w:type="dxa"/>
            <w:vAlign w:val="bottom"/>
            <w:shd w:val="clear" w:color="auto" w:fill="CCFFCC"/>
          </w:tcPr>
          <w:p>
            <w:pPr>
              <w:spacing w:after="0"/>
              <w:rPr>
                <w:sz w:val="19"/>
                <w:szCs w:val="19"/>
                <w:color w:val="auto"/>
              </w:rPr>
            </w:pPr>
          </w:p>
        </w:tc>
        <w:tc>
          <w:tcPr>
            <w:tcW w:w="1100" w:type="dxa"/>
            <w:vAlign w:val="bottom"/>
            <w:gridSpan w:val="2"/>
            <w:shd w:val="clear" w:color="auto" w:fill="CCFFCC"/>
          </w:tcPr>
          <w:p>
            <w:pPr>
              <w:ind w:left="580"/>
              <w:spacing w:after="0"/>
              <w:rPr>
                <w:sz w:val="20"/>
                <w:szCs w:val="20"/>
                <w:color w:val="auto"/>
              </w:rPr>
            </w:pPr>
            <w:r>
              <w:rPr>
                <w:rFonts w:ascii="Arial" w:cs="Arial" w:eastAsia="Arial" w:hAnsi="Arial"/>
                <w:sz w:val="18"/>
                <w:szCs w:val="18"/>
                <w:color w:val="auto"/>
              </w:rPr>
              <w:t>1.4%</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5.3%</w:t>
            </w:r>
          </w:p>
        </w:tc>
      </w:tr>
      <w:tr>
        <w:trPr>
          <w:trHeight w:val="225"/>
        </w:trPr>
        <w:tc>
          <w:tcPr>
            <w:tcW w:w="51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8,051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7,931</w:t>
            </w:r>
          </w:p>
        </w:tc>
        <w:tc>
          <w:tcPr>
            <w:tcW w:w="1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7,418</w:t>
            </w:r>
          </w:p>
        </w:tc>
        <w:tc>
          <w:tcPr>
            <w:tcW w:w="200" w:type="dxa"/>
            <w:vAlign w:val="bottom"/>
          </w:tcPr>
          <w:p>
            <w:pPr>
              <w:spacing w:after="0"/>
              <w:rPr>
                <w:sz w:val="19"/>
                <w:szCs w:val="19"/>
                <w:color w:val="auto"/>
              </w:rPr>
            </w:pPr>
          </w:p>
        </w:tc>
        <w:tc>
          <w:tcPr>
            <w:tcW w:w="800" w:type="dxa"/>
            <w:vAlign w:val="bottom"/>
            <w:tcBorders>
              <w:top w:val="single" w:sz="8" w:color="auto"/>
            </w:tcBorders>
          </w:tcPr>
          <w:p>
            <w:pPr>
              <w:ind w:left="580"/>
              <w:spacing w:after="0"/>
              <w:rPr>
                <w:sz w:val="20"/>
                <w:szCs w:val="20"/>
                <w:color w:val="auto"/>
              </w:rPr>
            </w:pPr>
            <w:r>
              <w:rPr>
                <w:rFonts w:ascii="Arial" w:cs="Arial" w:eastAsia="Arial" w:hAnsi="Arial"/>
                <w:sz w:val="18"/>
                <w:szCs w:val="18"/>
                <w:b w:val="1"/>
                <w:bCs w:val="1"/>
                <w:color w:val="auto"/>
                <w:w w:val="79"/>
              </w:rPr>
              <w:t>1.5</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8.5</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6517640" cy="291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517640" cy="29146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Source: BCP</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II.6 Operating Expenses and Efficiency</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Operating expenses increased +7.0% QoQ due to higher administrative expenses and other expenses. The efficiency ratio was situated at 49.3%, which was slightly higher than the 48.7% reported in 1Q13.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40" w:type="dxa"/>
            <w:vAlign w:val="bottom"/>
            <w:gridSpan w:val="2"/>
          </w:tcPr>
          <w:p>
            <w:pPr>
              <w:spacing w:after="0"/>
              <w:rPr>
                <w:sz w:val="20"/>
                <w:szCs w:val="20"/>
                <w:color w:val="auto"/>
              </w:rPr>
            </w:pPr>
            <w:r>
              <w:rPr>
                <w:rFonts w:ascii="Arial" w:cs="Arial" w:eastAsia="Arial" w:hAnsi="Arial"/>
                <w:sz w:val="13"/>
                <w:szCs w:val="13"/>
                <w:b w:val="1"/>
                <w:bCs w:val="1"/>
                <w:color w:val="auto"/>
              </w:rPr>
              <w:t>Operating expenses (1)</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297"/>
              <w:spacing w:after="0"/>
              <w:rPr>
                <w:sz w:val="20"/>
                <w:szCs w:val="20"/>
                <w:color w:val="auto"/>
              </w:rPr>
            </w:pPr>
            <w:r>
              <w:rPr>
                <w:rFonts w:ascii="Arial" w:cs="Arial" w:eastAsia="Arial" w:hAnsi="Arial"/>
                <w:sz w:val="13"/>
                <w:szCs w:val="13"/>
                <w:b w:val="1"/>
                <w:bCs w:val="1"/>
                <w:color w:val="auto"/>
              </w:rPr>
              <w:t>Quarter</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3"/>
          </w:tcPr>
          <w:p>
            <w:pPr>
              <w:ind w:left="520"/>
              <w:spacing w:after="0"/>
              <w:rPr>
                <w:sz w:val="20"/>
                <w:szCs w:val="20"/>
                <w:color w:val="auto"/>
              </w:rPr>
            </w:pPr>
            <w:r>
              <w:rPr>
                <w:rFonts w:ascii="Arial" w:cs="Arial" w:eastAsia="Arial" w:hAnsi="Arial"/>
                <w:sz w:val="13"/>
                <w:szCs w:val="13"/>
                <w:b w:val="1"/>
                <w:bCs w:val="1"/>
                <w:color w:val="auto"/>
                <w:w w:val="92"/>
              </w:rPr>
              <w:t>Change %</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gridSpan w:val="4"/>
          </w:tcPr>
          <w:p>
            <w:pPr>
              <w:jc w:val="right"/>
              <w:ind w:right="657"/>
              <w:spacing w:after="0"/>
              <w:rPr>
                <w:sz w:val="20"/>
                <w:szCs w:val="20"/>
                <w:color w:val="auto"/>
              </w:rPr>
            </w:pPr>
            <w:r>
              <w:rPr>
                <w:rFonts w:ascii="Arial" w:cs="Arial" w:eastAsia="Arial" w:hAnsi="Arial"/>
                <w:sz w:val="13"/>
                <w:szCs w:val="13"/>
                <w:b w:val="1"/>
                <w:bCs w:val="1"/>
                <w:color w:val="auto"/>
              </w:rPr>
              <w:t>Year to date</w:t>
            </w:r>
          </w:p>
        </w:tc>
        <w:tc>
          <w:tcPr>
            <w:tcW w:w="940" w:type="dxa"/>
            <w:vAlign w:val="bottom"/>
            <w:gridSpan w:val="2"/>
          </w:tcPr>
          <w:p>
            <w:pPr>
              <w:jc w:val="right"/>
              <w:ind w:right="197"/>
              <w:spacing w:after="0"/>
              <w:rPr>
                <w:sz w:val="20"/>
                <w:szCs w:val="20"/>
                <w:color w:val="auto"/>
              </w:rPr>
            </w:pPr>
            <w:r>
              <w:rPr>
                <w:rFonts w:ascii="Arial" w:cs="Arial" w:eastAsia="Arial" w:hAnsi="Arial"/>
                <w:sz w:val="13"/>
                <w:szCs w:val="13"/>
                <w:b w:val="1"/>
                <w:bCs w:val="1"/>
                <w:color w:val="auto"/>
              </w:rPr>
              <w:t>Change %</w:t>
            </w:r>
          </w:p>
        </w:tc>
        <w:tc>
          <w:tcPr>
            <w:tcW w:w="0" w:type="dxa"/>
            <w:vAlign w:val="bottom"/>
          </w:tcPr>
          <w:p>
            <w:pPr>
              <w:spacing w:after="0"/>
              <w:rPr>
                <w:sz w:val="1"/>
                <w:szCs w:val="1"/>
                <w:color w:val="auto"/>
              </w:rPr>
            </w:pPr>
          </w:p>
        </w:tc>
      </w:tr>
      <w:tr>
        <w:trPr>
          <w:trHeight w:val="153"/>
        </w:trPr>
        <w:tc>
          <w:tcPr>
            <w:tcW w:w="3940" w:type="dxa"/>
            <w:vAlign w:val="bottom"/>
          </w:tcPr>
          <w:p>
            <w:pPr>
              <w:spacing w:after="0"/>
              <w:rPr>
                <w:sz w:val="20"/>
                <w:szCs w:val="20"/>
                <w:color w:val="auto"/>
              </w:rPr>
            </w:pPr>
            <w:r>
              <w:rPr>
                <w:rFonts w:ascii="Arial" w:cs="Arial" w:eastAsia="Arial" w:hAnsi="Arial"/>
                <w:sz w:val="13"/>
                <w:szCs w:val="13"/>
                <w:color w:val="auto"/>
              </w:rPr>
              <w:t>US$ 000</w:t>
            </w:r>
          </w:p>
        </w:tc>
        <w:tc>
          <w:tcPr>
            <w:tcW w:w="100" w:type="dxa"/>
            <w:vAlign w:val="bottom"/>
          </w:tcPr>
          <w:p>
            <w:pPr>
              <w:spacing w:after="0"/>
              <w:rPr>
                <w:sz w:val="13"/>
                <w:szCs w:val="13"/>
                <w:color w:val="auto"/>
              </w:rPr>
            </w:pPr>
          </w:p>
        </w:tc>
        <w:tc>
          <w:tcPr>
            <w:tcW w:w="680" w:type="dxa"/>
            <w:vAlign w:val="bottom"/>
          </w:tcPr>
          <w:p>
            <w:pPr>
              <w:jc w:val="right"/>
              <w:ind w:right="137"/>
              <w:spacing w:after="0"/>
              <w:rPr>
                <w:sz w:val="20"/>
                <w:szCs w:val="20"/>
                <w:color w:val="auto"/>
              </w:rPr>
            </w:pPr>
            <w:r>
              <w:rPr>
                <w:rFonts w:ascii="Arial" w:cs="Arial" w:eastAsia="Arial" w:hAnsi="Arial"/>
                <w:sz w:val="13"/>
                <w:szCs w:val="13"/>
                <w:b w:val="1"/>
                <w:bCs w:val="1"/>
                <w:color w:val="auto"/>
              </w:rPr>
              <w:t>2Q13</w:t>
            </w:r>
          </w:p>
        </w:tc>
        <w:tc>
          <w:tcPr>
            <w:tcW w:w="240" w:type="dxa"/>
            <w:vAlign w:val="bottom"/>
          </w:tcPr>
          <w:p>
            <w:pPr>
              <w:spacing w:after="0"/>
              <w:rPr>
                <w:sz w:val="13"/>
                <w:szCs w:val="13"/>
                <w:color w:val="auto"/>
              </w:rPr>
            </w:pPr>
          </w:p>
        </w:tc>
        <w:tc>
          <w:tcPr>
            <w:tcW w:w="680" w:type="dxa"/>
            <w:vAlign w:val="bottom"/>
          </w:tcPr>
          <w:p>
            <w:pPr>
              <w:jc w:val="right"/>
              <w:ind w:right="137"/>
              <w:spacing w:after="0"/>
              <w:rPr>
                <w:sz w:val="20"/>
                <w:szCs w:val="20"/>
                <w:color w:val="auto"/>
              </w:rPr>
            </w:pPr>
            <w:r>
              <w:rPr>
                <w:rFonts w:ascii="Arial" w:cs="Arial" w:eastAsia="Arial" w:hAnsi="Arial"/>
                <w:sz w:val="13"/>
                <w:szCs w:val="13"/>
                <w:b w:val="1"/>
                <w:bCs w:val="1"/>
                <w:color w:val="auto"/>
              </w:rPr>
              <w:t>1Q13</w:t>
            </w:r>
          </w:p>
        </w:tc>
        <w:tc>
          <w:tcPr>
            <w:tcW w:w="240" w:type="dxa"/>
            <w:vAlign w:val="bottom"/>
          </w:tcPr>
          <w:p>
            <w:pPr>
              <w:spacing w:after="0"/>
              <w:rPr>
                <w:sz w:val="13"/>
                <w:szCs w:val="13"/>
                <w:color w:val="auto"/>
              </w:rPr>
            </w:pPr>
          </w:p>
        </w:tc>
        <w:tc>
          <w:tcPr>
            <w:tcW w:w="680" w:type="dxa"/>
            <w:vAlign w:val="bottom"/>
          </w:tcPr>
          <w:p>
            <w:pPr>
              <w:jc w:val="right"/>
              <w:ind w:right="137"/>
              <w:spacing w:after="0"/>
              <w:rPr>
                <w:sz w:val="20"/>
                <w:szCs w:val="20"/>
                <w:color w:val="auto"/>
              </w:rPr>
            </w:pPr>
            <w:r>
              <w:rPr>
                <w:rFonts w:ascii="Arial" w:cs="Arial" w:eastAsia="Arial" w:hAnsi="Arial"/>
                <w:sz w:val="13"/>
                <w:szCs w:val="13"/>
                <w:b w:val="1"/>
                <w:bCs w:val="1"/>
                <w:color w:val="auto"/>
              </w:rPr>
              <w:t>2Q12</w:t>
            </w:r>
          </w:p>
        </w:tc>
        <w:tc>
          <w:tcPr>
            <w:tcW w:w="240" w:type="dxa"/>
            <w:vAlign w:val="bottom"/>
          </w:tcPr>
          <w:p>
            <w:pPr>
              <w:spacing w:after="0"/>
              <w:rPr>
                <w:sz w:val="13"/>
                <w:szCs w:val="13"/>
                <w:color w:val="auto"/>
              </w:rPr>
            </w:pPr>
          </w:p>
        </w:tc>
        <w:tc>
          <w:tcPr>
            <w:tcW w:w="680" w:type="dxa"/>
            <w:vAlign w:val="bottom"/>
          </w:tcPr>
          <w:p>
            <w:pPr>
              <w:jc w:val="right"/>
              <w:ind w:right="157"/>
              <w:spacing w:after="0"/>
              <w:rPr>
                <w:sz w:val="20"/>
                <w:szCs w:val="20"/>
                <w:color w:val="auto"/>
              </w:rPr>
            </w:pPr>
            <w:r>
              <w:rPr>
                <w:rFonts w:ascii="Arial" w:cs="Arial" w:eastAsia="Arial" w:hAnsi="Arial"/>
                <w:sz w:val="13"/>
                <w:szCs w:val="13"/>
                <w:b w:val="1"/>
                <w:bCs w:val="1"/>
                <w:color w:val="auto"/>
              </w:rPr>
              <w:t>QoQ</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jc w:val="right"/>
              <w:ind w:right="157"/>
              <w:spacing w:after="0"/>
              <w:rPr>
                <w:sz w:val="20"/>
                <w:szCs w:val="20"/>
                <w:color w:val="auto"/>
              </w:rPr>
            </w:pPr>
            <w:r>
              <w:rPr>
                <w:rFonts w:ascii="Arial" w:cs="Arial" w:eastAsia="Arial" w:hAnsi="Arial"/>
                <w:sz w:val="13"/>
                <w:szCs w:val="13"/>
                <w:b w:val="1"/>
                <w:bCs w:val="1"/>
                <w:color w:val="auto"/>
                <w:w w:val="94"/>
              </w:rPr>
              <w:t>YoY</w:t>
            </w:r>
          </w:p>
        </w:tc>
        <w:tc>
          <w:tcPr>
            <w:tcW w:w="240" w:type="dxa"/>
            <w:vAlign w:val="bottom"/>
          </w:tcPr>
          <w:p>
            <w:pPr>
              <w:spacing w:after="0"/>
              <w:rPr>
                <w:sz w:val="13"/>
                <w:szCs w:val="13"/>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b w:val="1"/>
                <w:bCs w:val="1"/>
                <w:color w:val="auto"/>
              </w:rPr>
              <w:t>Jun 13</w:t>
            </w:r>
          </w:p>
        </w:tc>
        <w:tc>
          <w:tcPr>
            <w:tcW w:w="240" w:type="dxa"/>
            <w:vAlign w:val="bottom"/>
          </w:tcPr>
          <w:p>
            <w:pPr>
              <w:spacing w:after="0"/>
              <w:rPr>
                <w:sz w:val="13"/>
                <w:szCs w:val="13"/>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b w:val="1"/>
                <w:bCs w:val="1"/>
                <w:color w:val="auto"/>
              </w:rPr>
              <w:t>Jun 12</w:t>
            </w:r>
          </w:p>
        </w:tc>
        <w:tc>
          <w:tcPr>
            <w:tcW w:w="240" w:type="dxa"/>
            <w:vAlign w:val="bottom"/>
          </w:tcPr>
          <w:p>
            <w:pPr>
              <w:spacing w:after="0"/>
              <w:rPr>
                <w:sz w:val="13"/>
                <w:szCs w:val="13"/>
                <w:color w:val="auto"/>
              </w:rPr>
            </w:pPr>
          </w:p>
        </w:tc>
        <w:tc>
          <w:tcPr>
            <w:tcW w:w="940" w:type="dxa"/>
            <w:vAlign w:val="bottom"/>
            <w:gridSpan w:val="2"/>
          </w:tcPr>
          <w:p>
            <w:pPr>
              <w:jc w:val="right"/>
              <w:ind w:right="57"/>
              <w:spacing w:after="0"/>
              <w:rPr>
                <w:sz w:val="20"/>
                <w:szCs w:val="20"/>
                <w:color w:val="auto"/>
              </w:rPr>
            </w:pPr>
            <w:r>
              <w:rPr>
                <w:rFonts w:ascii="Arial" w:cs="Arial" w:eastAsia="Arial" w:hAnsi="Arial"/>
                <w:sz w:val="13"/>
                <w:szCs w:val="13"/>
                <w:b w:val="1"/>
                <w:bCs w:val="1"/>
                <w:color w:val="auto"/>
                <w:w w:val="85"/>
              </w:rPr>
              <w:t>Jun 13 / Jun 12</w:t>
            </w:r>
          </w:p>
        </w:tc>
        <w:tc>
          <w:tcPr>
            <w:tcW w:w="0" w:type="dxa"/>
            <w:vAlign w:val="bottom"/>
          </w:tcPr>
          <w:p>
            <w:pPr>
              <w:spacing w:after="0"/>
              <w:rPr>
                <w:sz w:val="1"/>
                <w:szCs w:val="1"/>
                <w:color w:val="auto"/>
              </w:rPr>
            </w:pPr>
          </w:p>
        </w:tc>
      </w:tr>
      <w:tr>
        <w:trPr>
          <w:trHeight w:val="20"/>
        </w:trPr>
        <w:tc>
          <w:tcPr>
            <w:tcW w:w="39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940" w:type="dxa"/>
            <w:vAlign w:val="bottom"/>
            <w:shd w:val="clear" w:color="auto" w:fill="CCFFCC"/>
          </w:tcPr>
          <w:p>
            <w:pPr>
              <w:spacing w:after="0" w:line="129" w:lineRule="exact"/>
              <w:rPr>
                <w:sz w:val="20"/>
                <w:szCs w:val="20"/>
                <w:color w:val="auto"/>
              </w:rPr>
            </w:pPr>
            <w:r>
              <w:rPr>
                <w:rFonts w:ascii="Arial" w:cs="Arial" w:eastAsia="Arial" w:hAnsi="Arial"/>
                <w:sz w:val="13"/>
                <w:szCs w:val="13"/>
                <w:color w:val="auto"/>
              </w:rPr>
              <w:t>Salaries and employees benefits</w:t>
            </w:r>
          </w:p>
        </w:tc>
        <w:tc>
          <w:tcPr>
            <w:tcW w:w="100" w:type="dxa"/>
            <w:vAlign w:val="bottom"/>
            <w:vMerge w:val="continue"/>
            <w:shd w:val="clear" w:color="auto" w:fill="CCFFCC"/>
          </w:tcPr>
          <w:p>
            <w:pPr>
              <w:spacing w:after="0"/>
              <w:rPr>
                <w:sz w:val="11"/>
                <w:szCs w:val="11"/>
                <w:color w:val="auto"/>
              </w:rPr>
            </w:pPr>
          </w:p>
        </w:tc>
        <w:tc>
          <w:tcPr>
            <w:tcW w:w="6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159,823</w:t>
            </w:r>
          </w:p>
        </w:tc>
        <w:tc>
          <w:tcPr>
            <w:tcW w:w="240" w:type="dxa"/>
            <w:vAlign w:val="bottom"/>
            <w:vMerge w:val="continue"/>
            <w:shd w:val="clear" w:color="auto" w:fill="CCFFCC"/>
          </w:tcPr>
          <w:p>
            <w:pPr>
              <w:spacing w:after="0"/>
              <w:rPr>
                <w:sz w:val="11"/>
                <w:szCs w:val="11"/>
                <w:color w:val="auto"/>
              </w:rPr>
            </w:pPr>
          </w:p>
        </w:tc>
        <w:tc>
          <w:tcPr>
            <w:tcW w:w="6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162,321</w:t>
            </w:r>
          </w:p>
        </w:tc>
        <w:tc>
          <w:tcPr>
            <w:tcW w:w="240" w:type="dxa"/>
            <w:vAlign w:val="bottom"/>
            <w:vMerge w:val="continue"/>
            <w:shd w:val="clear" w:color="auto" w:fill="CCFFCC"/>
          </w:tcPr>
          <w:p>
            <w:pPr>
              <w:spacing w:after="0"/>
              <w:rPr>
                <w:sz w:val="11"/>
                <w:szCs w:val="11"/>
                <w:color w:val="auto"/>
              </w:rPr>
            </w:pPr>
          </w:p>
        </w:tc>
        <w:tc>
          <w:tcPr>
            <w:tcW w:w="6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140,494</w:t>
            </w:r>
          </w:p>
        </w:tc>
        <w:tc>
          <w:tcPr>
            <w:tcW w:w="240" w:type="dxa"/>
            <w:vAlign w:val="bottom"/>
            <w:vMerge w:val="continue"/>
            <w:shd w:val="clear" w:color="auto" w:fill="CCFFCC"/>
          </w:tcPr>
          <w:p>
            <w:pPr>
              <w:spacing w:after="0"/>
              <w:rPr>
                <w:sz w:val="11"/>
                <w:szCs w:val="11"/>
                <w:color w:val="auto"/>
              </w:rPr>
            </w:pPr>
          </w:p>
        </w:tc>
        <w:tc>
          <w:tcPr>
            <w:tcW w:w="920" w:type="dxa"/>
            <w:vAlign w:val="bottom"/>
            <w:gridSpan w:val="2"/>
            <w:shd w:val="clear" w:color="auto" w:fill="CCFFCC"/>
          </w:tcPr>
          <w:p>
            <w:pPr>
              <w:jc w:val="right"/>
              <w:ind w:right="77"/>
              <w:spacing w:after="0" w:line="129" w:lineRule="exact"/>
              <w:rPr>
                <w:sz w:val="20"/>
                <w:szCs w:val="20"/>
                <w:color w:val="auto"/>
              </w:rPr>
            </w:pPr>
            <w:r>
              <w:rPr>
                <w:rFonts w:ascii="Arial" w:cs="Arial" w:eastAsia="Arial" w:hAnsi="Arial"/>
                <w:sz w:val="13"/>
                <w:szCs w:val="13"/>
                <w:color w:val="auto"/>
              </w:rPr>
              <w:t>-1.5%</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77"/>
              <w:spacing w:after="0" w:line="129" w:lineRule="exact"/>
              <w:rPr>
                <w:sz w:val="20"/>
                <w:szCs w:val="20"/>
                <w:color w:val="auto"/>
              </w:rPr>
            </w:pPr>
            <w:r>
              <w:rPr>
                <w:rFonts w:ascii="Arial" w:cs="Arial" w:eastAsia="Arial" w:hAnsi="Arial"/>
                <w:sz w:val="13"/>
                <w:szCs w:val="13"/>
                <w:color w:val="auto"/>
              </w:rPr>
              <w:t>13.8%</w:t>
            </w:r>
          </w:p>
        </w:tc>
        <w:tc>
          <w:tcPr>
            <w:tcW w:w="6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322,144</w:t>
            </w:r>
          </w:p>
        </w:tc>
        <w:tc>
          <w:tcPr>
            <w:tcW w:w="240" w:type="dxa"/>
            <w:vAlign w:val="bottom"/>
            <w:vMerge w:val="continue"/>
            <w:shd w:val="clear" w:color="auto" w:fill="CCFFCC"/>
          </w:tcPr>
          <w:p>
            <w:pPr>
              <w:spacing w:after="0"/>
              <w:rPr>
                <w:sz w:val="11"/>
                <w:szCs w:val="11"/>
                <w:color w:val="auto"/>
              </w:rPr>
            </w:pPr>
          </w:p>
        </w:tc>
        <w:tc>
          <w:tcPr>
            <w:tcW w:w="6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279,536</w:t>
            </w:r>
          </w:p>
        </w:tc>
        <w:tc>
          <w:tcPr>
            <w:tcW w:w="240" w:type="dxa"/>
            <w:vAlign w:val="bottom"/>
            <w:vMerge w:val="continue"/>
            <w:shd w:val="clear" w:color="auto" w:fill="CCFFCC"/>
          </w:tcPr>
          <w:p>
            <w:pPr>
              <w:spacing w:after="0"/>
              <w:rPr>
                <w:sz w:val="11"/>
                <w:szCs w:val="11"/>
                <w:color w:val="auto"/>
              </w:rPr>
            </w:pPr>
          </w:p>
        </w:tc>
        <w:tc>
          <w:tcPr>
            <w:tcW w:w="940" w:type="dxa"/>
            <w:vAlign w:val="bottom"/>
            <w:gridSpan w:val="2"/>
            <w:shd w:val="clear" w:color="auto" w:fill="CCFFCC"/>
          </w:tcPr>
          <w:p>
            <w:pPr>
              <w:jc w:val="right"/>
              <w:spacing w:after="0" w:line="129" w:lineRule="exact"/>
              <w:rPr>
                <w:sz w:val="20"/>
                <w:szCs w:val="20"/>
                <w:color w:val="auto"/>
              </w:rPr>
            </w:pPr>
            <w:r>
              <w:rPr>
                <w:rFonts w:ascii="Arial" w:cs="Arial" w:eastAsia="Arial" w:hAnsi="Arial"/>
                <w:sz w:val="13"/>
                <w:szCs w:val="13"/>
                <w:color w:val="auto"/>
              </w:rPr>
              <w:t>15.2%</w:t>
            </w:r>
          </w:p>
        </w:tc>
        <w:tc>
          <w:tcPr>
            <w:tcW w:w="0" w:type="dxa"/>
            <w:vAlign w:val="bottom"/>
          </w:tcPr>
          <w:p>
            <w:pPr>
              <w:spacing w:after="0"/>
              <w:rPr>
                <w:sz w:val="1"/>
                <w:szCs w:val="1"/>
                <w:color w:val="auto"/>
              </w:rPr>
            </w:pPr>
          </w:p>
        </w:tc>
      </w:tr>
      <w:tr>
        <w:trPr>
          <w:trHeight w:val="135"/>
        </w:trPr>
        <w:tc>
          <w:tcPr>
            <w:tcW w:w="4040" w:type="dxa"/>
            <w:vAlign w:val="bottom"/>
            <w:gridSpan w:val="2"/>
          </w:tcPr>
          <w:p>
            <w:pPr>
              <w:spacing w:after="0" w:line="135" w:lineRule="exact"/>
              <w:rPr>
                <w:sz w:val="20"/>
                <w:szCs w:val="20"/>
                <w:color w:val="auto"/>
              </w:rPr>
            </w:pPr>
            <w:r>
              <w:rPr>
                <w:rFonts w:ascii="Arial" w:cs="Arial" w:eastAsia="Arial" w:hAnsi="Arial"/>
                <w:sz w:val="13"/>
                <w:szCs w:val="13"/>
                <w:color w:val="auto"/>
              </w:rPr>
              <w:t>Administrative and general expenses</w:t>
            </w:r>
          </w:p>
        </w:tc>
        <w:tc>
          <w:tcPr>
            <w:tcW w:w="9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122,057</w:t>
            </w:r>
          </w:p>
        </w:tc>
        <w:tc>
          <w:tcPr>
            <w:tcW w:w="9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111,028</w:t>
            </w:r>
          </w:p>
        </w:tc>
        <w:tc>
          <w:tcPr>
            <w:tcW w:w="9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99,466</w:t>
            </w:r>
          </w:p>
        </w:tc>
        <w:tc>
          <w:tcPr>
            <w:tcW w:w="9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9.9%</w:t>
            </w:r>
          </w:p>
        </w:tc>
        <w:tc>
          <w:tcPr>
            <w:tcW w:w="200" w:type="dxa"/>
            <w:vAlign w:val="bottom"/>
          </w:tcPr>
          <w:p>
            <w:pPr>
              <w:spacing w:after="0"/>
              <w:rPr>
                <w:sz w:val="11"/>
                <w:szCs w:val="11"/>
                <w:color w:val="auto"/>
              </w:rPr>
            </w:pPr>
          </w:p>
        </w:tc>
        <w:tc>
          <w:tcPr>
            <w:tcW w:w="7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22.7%</w:t>
            </w:r>
          </w:p>
        </w:tc>
        <w:tc>
          <w:tcPr>
            <w:tcW w:w="9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233,085</w:t>
            </w:r>
          </w:p>
        </w:tc>
        <w:tc>
          <w:tcPr>
            <w:tcW w:w="9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184,721</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26.2%</w:t>
            </w:r>
          </w:p>
        </w:tc>
        <w:tc>
          <w:tcPr>
            <w:tcW w:w="0" w:type="dxa"/>
            <w:vAlign w:val="bottom"/>
          </w:tcPr>
          <w:p>
            <w:pPr>
              <w:spacing w:after="0"/>
              <w:rPr>
                <w:sz w:val="1"/>
                <w:szCs w:val="1"/>
                <w:color w:val="auto"/>
              </w:rPr>
            </w:pPr>
          </w:p>
        </w:tc>
      </w:tr>
      <w:tr>
        <w:trPr>
          <w:trHeight w:val="135"/>
        </w:trPr>
        <w:tc>
          <w:tcPr>
            <w:tcW w:w="40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Depreciation and amortization</w:t>
            </w:r>
          </w:p>
        </w:tc>
        <w:tc>
          <w:tcPr>
            <w:tcW w:w="92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color w:val="auto"/>
              </w:rPr>
              <w:t>24,177</w:t>
            </w:r>
          </w:p>
        </w:tc>
        <w:tc>
          <w:tcPr>
            <w:tcW w:w="92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color w:val="auto"/>
              </w:rPr>
              <w:t>24,113</w:t>
            </w:r>
          </w:p>
        </w:tc>
        <w:tc>
          <w:tcPr>
            <w:tcW w:w="92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color w:val="auto"/>
              </w:rPr>
              <w:t>23,029</w:t>
            </w:r>
          </w:p>
        </w:tc>
        <w:tc>
          <w:tcPr>
            <w:tcW w:w="92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0.3%</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5.0%</w:t>
            </w:r>
          </w:p>
        </w:tc>
        <w:tc>
          <w:tcPr>
            <w:tcW w:w="92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color w:val="auto"/>
              </w:rPr>
              <w:t>48,290</w:t>
            </w:r>
          </w:p>
        </w:tc>
        <w:tc>
          <w:tcPr>
            <w:tcW w:w="92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color w:val="auto"/>
              </w:rPr>
              <w:t>46,682</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49"/>
        </w:trPr>
        <w:tc>
          <w:tcPr>
            <w:tcW w:w="4040" w:type="dxa"/>
            <w:vAlign w:val="bottom"/>
            <w:gridSpan w:val="2"/>
          </w:tcPr>
          <w:p>
            <w:pPr>
              <w:spacing w:after="0"/>
              <w:rPr>
                <w:sz w:val="20"/>
                <w:szCs w:val="20"/>
                <w:color w:val="auto"/>
              </w:rPr>
            </w:pPr>
            <w:r>
              <w:rPr>
                <w:rFonts w:ascii="Arial" w:cs="Arial" w:eastAsia="Arial" w:hAnsi="Arial"/>
                <w:sz w:val="13"/>
                <w:szCs w:val="13"/>
                <w:color w:val="auto"/>
              </w:rPr>
              <w:t>Other expenses</w:t>
            </w:r>
          </w:p>
        </w:tc>
        <w:tc>
          <w:tcPr>
            <w:tcW w:w="920" w:type="dxa"/>
            <w:vAlign w:val="bottom"/>
            <w:gridSpan w:val="2"/>
          </w:tcPr>
          <w:p>
            <w:pPr>
              <w:jc w:val="right"/>
              <w:ind w:right="177"/>
              <w:spacing w:after="0"/>
              <w:rPr>
                <w:sz w:val="20"/>
                <w:szCs w:val="20"/>
                <w:color w:val="auto"/>
              </w:rPr>
            </w:pPr>
            <w:r>
              <w:rPr>
                <w:rFonts w:ascii="Arial" w:cs="Arial" w:eastAsia="Arial" w:hAnsi="Arial"/>
                <w:sz w:val="13"/>
                <w:szCs w:val="13"/>
                <w:color w:val="auto"/>
              </w:rPr>
              <w:t>23,824</w:t>
            </w:r>
          </w:p>
        </w:tc>
        <w:tc>
          <w:tcPr>
            <w:tcW w:w="920" w:type="dxa"/>
            <w:vAlign w:val="bottom"/>
            <w:gridSpan w:val="2"/>
          </w:tcPr>
          <w:p>
            <w:pPr>
              <w:jc w:val="right"/>
              <w:ind w:right="177"/>
              <w:spacing w:after="0"/>
              <w:rPr>
                <w:sz w:val="20"/>
                <w:szCs w:val="20"/>
                <w:color w:val="auto"/>
              </w:rPr>
            </w:pPr>
            <w:r>
              <w:rPr>
                <w:rFonts w:ascii="Arial" w:cs="Arial" w:eastAsia="Arial" w:hAnsi="Arial"/>
                <w:sz w:val="13"/>
                <w:szCs w:val="13"/>
                <w:color w:val="auto"/>
              </w:rPr>
              <w:t>10,930</w:t>
            </w:r>
          </w:p>
        </w:tc>
        <w:tc>
          <w:tcPr>
            <w:tcW w:w="920" w:type="dxa"/>
            <w:vAlign w:val="bottom"/>
            <w:gridSpan w:val="2"/>
          </w:tcPr>
          <w:p>
            <w:pPr>
              <w:jc w:val="right"/>
              <w:ind w:right="177"/>
              <w:spacing w:after="0"/>
              <w:rPr>
                <w:sz w:val="20"/>
                <w:szCs w:val="20"/>
                <w:color w:val="auto"/>
              </w:rPr>
            </w:pPr>
            <w:r>
              <w:rPr>
                <w:rFonts w:ascii="Arial" w:cs="Arial" w:eastAsia="Arial" w:hAnsi="Arial"/>
                <w:sz w:val="13"/>
                <w:szCs w:val="13"/>
                <w:color w:val="auto"/>
              </w:rPr>
              <w:t>8,661</w:t>
            </w:r>
          </w:p>
        </w:tc>
        <w:tc>
          <w:tcPr>
            <w:tcW w:w="920" w:type="dxa"/>
            <w:vAlign w:val="bottom"/>
            <w:gridSpan w:val="2"/>
          </w:tcPr>
          <w:p>
            <w:pPr>
              <w:jc w:val="right"/>
              <w:ind w:right="77"/>
              <w:spacing w:after="0"/>
              <w:rPr>
                <w:sz w:val="20"/>
                <w:szCs w:val="20"/>
                <w:color w:val="auto"/>
              </w:rPr>
            </w:pPr>
            <w:r>
              <w:rPr>
                <w:rFonts w:ascii="Arial" w:cs="Arial" w:eastAsia="Arial" w:hAnsi="Arial"/>
                <w:sz w:val="13"/>
                <w:szCs w:val="13"/>
                <w:color w:val="auto"/>
              </w:rPr>
              <w:t>118.0%</w:t>
            </w:r>
          </w:p>
        </w:tc>
        <w:tc>
          <w:tcPr>
            <w:tcW w:w="200" w:type="dxa"/>
            <w:vAlign w:val="bottom"/>
          </w:tcPr>
          <w:p>
            <w:pPr>
              <w:spacing w:after="0"/>
              <w:rPr>
                <w:sz w:val="12"/>
                <w:szCs w:val="12"/>
                <w:color w:val="auto"/>
              </w:rPr>
            </w:pPr>
          </w:p>
        </w:tc>
        <w:tc>
          <w:tcPr>
            <w:tcW w:w="720" w:type="dxa"/>
            <w:vAlign w:val="bottom"/>
            <w:gridSpan w:val="2"/>
          </w:tcPr>
          <w:p>
            <w:pPr>
              <w:jc w:val="right"/>
              <w:ind w:right="77"/>
              <w:spacing w:after="0"/>
              <w:rPr>
                <w:sz w:val="20"/>
                <w:szCs w:val="20"/>
                <w:color w:val="auto"/>
              </w:rPr>
            </w:pPr>
            <w:r>
              <w:rPr>
                <w:rFonts w:ascii="Arial" w:cs="Arial" w:eastAsia="Arial" w:hAnsi="Arial"/>
                <w:sz w:val="13"/>
                <w:szCs w:val="13"/>
                <w:color w:val="auto"/>
              </w:rPr>
              <w:t>175.1%</w:t>
            </w:r>
          </w:p>
        </w:tc>
        <w:tc>
          <w:tcPr>
            <w:tcW w:w="920" w:type="dxa"/>
            <w:vAlign w:val="bottom"/>
            <w:gridSpan w:val="2"/>
          </w:tcPr>
          <w:p>
            <w:pPr>
              <w:jc w:val="right"/>
              <w:ind w:right="177"/>
              <w:spacing w:after="0"/>
              <w:rPr>
                <w:sz w:val="20"/>
                <w:szCs w:val="20"/>
                <w:color w:val="auto"/>
              </w:rPr>
            </w:pPr>
            <w:r>
              <w:rPr>
                <w:rFonts w:ascii="Arial" w:cs="Arial" w:eastAsia="Arial" w:hAnsi="Arial"/>
                <w:sz w:val="13"/>
                <w:szCs w:val="13"/>
                <w:color w:val="auto"/>
              </w:rPr>
              <w:t>34,754</w:t>
            </w:r>
          </w:p>
        </w:tc>
        <w:tc>
          <w:tcPr>
            <w:tcW w:w="920" w:type="dxa"/>
            <w:vAlign w:val="bottom"/>
            <w:gridSpan w:val="2"/>
          </w:tcPr>
          <w:p>
            <w:pPr>
              <w:jc w:val="right"/>
              <w:ind w:right="177"/>
              <w:spacing w:after="0"/>
              <w:rPr>
                <w:sz w:val="20"/>
                <w:szCs w:val="20"/>
                <w:color w:val="auto"/>
              </w:rPr>
            </w:pPr>
            <w:r>
              <w:rPr>
                <w:rFonts w:ascii="Arial" w:cs="Arial" w:eastAsia="Arial" w:hAnsi="Arial"/>
                <w:sz w:val="13"/>
                <w:szCs w:val="13"/>
                <w:color w:val="auto"/>
              </w:rPr>
              <w:t>17,960</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93.5%</w:t>
            </w:r>
          </w:p>
        </w:tc>
        <w:tc>
          <w:tcPr>
            <w:tcW w:w="0" w:type="dxa"/>
            <w:vAlign w:val="bottom"/>
          </w:tcPr>
          <w:p>
            <w:pPr>
              <w:spacing w:after="0"/>
              <w:rPr>
                <w:sz w:val="1"/>
                <w:szCs w:val="1"/>
                <w:color w:val="auto"/>
              </w:rPr>
            </w:pPr>
          </w:p>
        </w:tc>
      </w:tr>
      <w:tr>
        <w:trPr>
          <w:trHeight w:val="129"/>
        </w:trPr>
        <w:tc>
          <w:tcPr>
            <w:tcW w:w="4040" w:type="dxa"/>
            <w:vAlign w:val="bottom"/>
            <w:tcBorders>
              <w:top w:val="single" w:sz="8" w:color="CCFFCC"/>
            </w:tcBorders>
            <w:gridSpan w:val="2"/>
            <w:shd w:val="clear" w:color="auto" w:fill="CCFFCC"/>
          </w:tcPr>
          <w:p>
            <w:pPr>
              <w:spacing w:after="0" w:line="129" w:lineRule="exact"/>
              <w:rPr>
                <w:sz w:val="20"/>
                <w:szCs w:val="20"/>
                <w:color w:val="auto"/>
              </w:rPr>
            </w:pPr>
            <w:r>
              <w:rPr>
                <w:rFonts w:ascii="Arial" w:cs="Arial" w:eastAsia="Arial" w:hAnsi="Arial"/>
                <w:sz w:val="13"/>
                <w:szCs w:val="13"/>
                <w:b w:val="1"/>
                <w:bCs w:val="1"/>
                <w:color w:val="auto"/>
              </w:rPr>
              <w:t>Total operating expenses</w:t>
            </w:r>
          </w:p>
        </w:tc>
        <w:tc>
          <w:tcPr>
            <w:tcW w:w="68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329,881</w:t>
            </w:r>
          </w:p>
        </w:tc>
        <w:tc>
          <w:tcPr>
            <w:tcW w:w="24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308,392</w:t>
            </w:r>
          </w:p>
        </w:tc>
        <w:tc>
          <w:tcPr>
            <w:tcW w:w="24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271,650</w:t>
            </w:r>
          </w:p>
        </w:tc>
        <w:tc>
          <w:tcPr>
            <w:tcW w:w="24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7.0</w:t>
            </w:r>
          </w:p>
        </w:tc>
        <w:tc>
          <w:tcPr>
            <w:tcW w:w="240" w:type="dxa"/>
            <w:vAlign w:val="bottom"/>
            <w:tcBorders>
              <w:top w:val="single" w:sz="8" w:color="CCFFCC"/>
            </w:tcBorders>
            <w:shd w:val="clear" w:color="auto" w:fill="CCFFCC"/>
          </w:tcPr>
          <w:p>
            <w:pPr>
              <w:jc w:val="right"/>
              <w:ind w:right="57"/>
              <w:spacing w:after="0" w:line="129" w:lineRule="exact"/>
              <w:rPr>
                <w:sz w:val="20"/>
                <w:szCs w:val="20"/>
                <w:color w:val="auto"/>
              </w:rPr>
            </w:pPr>
            <w:r>
              <w:rPr>
                <w:rFonts w:ascii="Arial" w:cs="Arial" w:eastAsia="Arial" w:hAnsi="Arial"/>
                <w:sz w:val="13"/>
                <w:szCs w:val="13"/>
                <w:b w:val="1"/>
                <w:bCs w:val="1"/>
                <w:color w:val="auto"/>
                <w:w w:val="86"/>
              </w:rPr>
              <w:t>%</w:t>
            </w:r>
          </w:p>
        </w:tc>
        <w:tc>
          <w:tcPr>
            <w:tcW w:w="200" w:type="dxa"/>
            <w:vAlign w:val="bottom"/>
            <w:tcBorders>
              <w:top w:val="single" w:sz="8" w:color="auto"/>
              <w:bottom w:val="single" w:sz="8" w:color="auto"/>
            </w:tcBorders>
            <w:shd w:val="clear" w:color="auto" w:fill="CCFFCC"/>
          </w:tcPr>
          <w:p>
            <w:pPr>
              <w:spacing w:after="0"/>
              <w:rPr>
                <w:sz w:val="11"/>
                <w:szCs w:val="11"/>
                <w:color w:val="auto"/>
              </w:rPr>
            </w:pPr>
          </w:p>
        </w:tc>
        <w:tc>
          <w:tcPr>
            <w:tcW w:w="48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21.4</w:t>
            </w:r>
          </w:p>
        </w:tc>
        <w:tc>
          <w:tcPr>
            <w:tcW w:w="240" w:type="dxa"/>
            <w:vAlign w:val="bottom"/>
            <w:tcBorders>
              <w:top w:val="single" w:sz="8" w:color="CCFFCC"/>
            </w:tcBorders>
            <w:shd w:val="clear" w:color="auto" w:fill="CCFFCC"/>
          </w:tcPr>
          <w:p>
            <w:pPr>
              <w:jc w:val="right"/>
              <w:ind w:right="57"/>
              <w:spacing w:after="0" w:line="129" w:lineRule="exact"/>
              <w:rPr>
                <w:sz w:val="20"/>
                <w:szCs w:val="20"/>
                <w:color w:val="auto"/>
              </w:rPr>
            </w:pPr>
            <w:r>
              <w:rPr>
                <w:rFonts w:ascii="Arial" w:cs="Arial" w:eastAsia="Arial" w:hAnsi="Arial"/>
                <w:sz w:val="13"/>
                <w:szCs w:val="13"/>
                <w:b w:val="1"/>
                <w:bCs w:val="1"/>
                <w:color w:val="auto"/>
                <w:w w:val="86"/>
              </w:rPr>
              <w:t>%</w:t>
            </w:r>
          </w:p>
        </w:tc>
        <w:tc>
          <w:tcPr>
            <w:tcW w:w="68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638,273</w:t>
            </w:r>
          </w:p>
        </w:tc>
        <w:tc>
          <w:tcPr>
            <w:tcW w:w="24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528,899</w:t>
            </w:r>
          </w:p>
        </w:tc>
        <w:tc>
          <w:tcPr>
            <w:tcW w:w="240" w:type="dxa"/>
            <w:vAlign w:val="bottom"/>
            <w:tcBorders>
              <w:top w:val="single" w:sz="8" w:color="CCFFCC"/>
            </w:tcBorders>
            <w:shd w:val="clear" w:color="auto" w:fill="CCFFCC"/>
          </w:tcPr>
          <w:p>
            <w:pPr>
              <w:spacing w:after="0"/>
              <w:rPr>
                <w:sz w:val="11"/>
                <w:szCs w:val="11"/>
                <w:color w:val="auto"/>
              </w:rPr>
            </w:pPr>
          </w:p>
        </w:tc>
        <w:tc>
          <w:tcPr>
            <w:tcW w:w="80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20.7</w:t>
            </w:r>
          </w:p>
        </w:tc>
        <w:tc>
          <w:tcPr>
            <w:tcW w:w="140" w:type="dxa"/>
            <w:vAlign w:val="bottom"/>
            <w:tcBorders>
              <w:top w:val="single" w:sz="8" w:color="CCFFCC"/>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57"/>
        </w:trPr>
        <w:tc>
          <w:tcPr>
            <w:tcW w:w="404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Efficiency ratio</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49.3</w:t>
            </w:r>
          </w:p>
        </w:tc>
        <w:tc>
          <w:tcPr>
            <w:tcW w:w="240" w:type="dxa"/>
            <w:vAlign w:val="bottom"/>
          </w:tcPr>
          <w:p>
            <w:pPr>
              <w:jc w:val="right"/>
              <w:ind w:right="57"/>
              <w:spacing w:after="0" w:line="144" w:lineRule="exact"/>
              <w:rPr>
                <w:sz w:val="20"/>
                <w:szCs w:val="20"/>
                <w:color w:val="auto"/>
              </w:rPr>
            </w:pPr>
            <w:r>
              <w:rPr>
                <w:rFonts w:ascii="Arial" w:cs="Arial" w:eastAsia="Arial" w:hAnsi="Arial"/>
                <w:sz w:val="13"/>
                <w:szCs w:val="13"/>
                <w:b w:val="1"/>
                <w:bCs w:val="1"/>
                <w:color w:val="auto"/>
                <w:w w:val="86"/>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48.7</w:t>
            </w:r>
          </w:p>
        </w:tc>
        <w:tc>
          <w:tcPr>
            <w:tcW w:w="240" w:type="dxa"/>
            <w:vAlign w:val="bottom"/>
          </w:tcPr>
          <w:p>
            <w:pPr>
              <w:jc w:val="right"/>
              <w:ind w:right="57"/>
              <w:spacing w:after="0" w:line="144" w:lineRule="exact"/>
              <w:rPr>
                <w:sz w:val="20"/>
                <w:szCs w:val="20"/>
                <w:color w:val="auto"/>
              </w:rPr>
            </w:pPr>
            <w:r>
              <w:rPr>
                <w:rFonts w:ascii="Arial" w:cs="Arial" w:eastAsia="Arial" w:hAnsi="Arial"/>
                <w:sz w:val="13"/>
                <w:szCs w:val="13"/>
                <w:b w:val="1"/>
                <w:bCs w:val="1"/>
                <w:color w:val="auto"/>
                <w:w w:val="86"/>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48.4</w:t>
            </w:r>
          </w:p>
        </w:tc>
        <w:tc>
          <w:tcPr>
            <w:tcW w:w="240" w:type="dxa"/>
            <w:vAlign w:val="bottom"/>
          </w:tcPr>
          <w:p>
            <w:pPr>
              <w:jc w:val="right"/>
              <w:ind w:right="57"/>
              <w:spacing w:after="0" w:line="144" w:lineRule="exact"/>
              <w:rPr>
                <w:sz w:val="20"/>
                <w:szCs w:val="20"/>
                <w:color w:val="auto"/>
              </w:rPr>
            </w:pPr>
            <w:r>
              <w:rPr>
                <w:rFonts w:ascii="Arial" w:cs="Arial" w:eastAsia="Arial" w:hAnsi="Arial"/>
                <w:sz w:val="13"/>
                <w:szCs w:val="13"/>
                <w:b w:val="1"/>
                <w:bCs w:val="1"/>
                <w:color w:val="auto"/>
                <w:w w:val="86"/>
              </w:rPr>
              <w:t>%</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49.0</w:t>
            </w:r>
          </w:p>
        </w:tc>
        <w:tc>
          <w:tcPr>
            <w:tcW w:w="240" w:type="dxa"/>
            <w:vAlign w:val="bottom"/>
          </w:tcPr>
          <w:p>
            <w:pPr>
              <w:jc w:val="right"/>
              <w:ind w:right="57"/>
              <w:spacing w:after="0" w:line="144" w:lineRule="exact"/>
              <w:rPr>
                <w:sz w:val="20"/>
                <w:szCs w:val="20"/>
                <w:color w:val="auto"/>
              </w:rPr>
            </w:pPr>
            <w:r>
              <w:rPr>
                <w:rFonts w:ascii="Arial" w:cs="Arial" w:eastAsia="Arial" w:hAnsi="Arial"/>
                <w:sz w:val="13"/>
                <w:szCs w:val="13"/>
                <w:b w:val="1"/>
                <w:bCs w:val="1"/>
                <w:color w:val="auto"/>
                <w:w w:val="86"/>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47.9</w:t>
            </w:r>
          </w:p>
        </w:tc>
        <w:tc>
          <w:tcPr>
            <w:tcW w:w="240" w:type="dxa"/>
            <w:vAlign w:val="bottom"/>
          </w:tcPr>
          <w:p>
            <w:pPr>
              <w:jc w:val="right"/>
              <w:ind w:right="57"/>
              <w:spacing w:after="0" w:line="144" w:lineRule="exact"/>
              <w:rPr>
                <w:sz w:val="20"/>
                <w:szCs w:val="20"/>
                <w:color w:val="auto"/>
              </w:rPr>
            </w:pPr>
            <w:r>
              <w:rPr>
                <w:rFonts w:ascii="Arial" w:cs="Arial" w:eastAsia="Arial" w:hAnsi="Arial"/>
                <w:sz w:val="13"/>
                <w:szCs w:val="13"/>
                <w:b w:val="1"/>
                <w:bCs w:val="1"/>
                <w:color w:val="auto"/>
                <w:w w:val="86"/>
              </w:rPr>
              <w:t>%</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5485130</wp:posOffset>
            </wp:positionH>
            <wp:positionV relativeFrom="paragraph">
              <wp:posOffset>-8890</wp:posOffset>
            </wp:positionV>
            <wp:extent cx="10121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12190" cy="8890"/>
                    </a:xfrm>
                    <a:prstGeom prst="rect">
                      <a:avLst/>
                    </a:prstGeom>
                    <a:noFill/>
                  </pic:spPr>
                </pic:pic>
              </a:graphicData>
            </a:graphic>
          </wp:anchor>
        </w:drawing>
        <w:drawing>
          <wp:anchor simplePos="0" relativeHeight="251657728" behindDoc="1" locked="0" layoutInCell="0" allowOverlap="1">
            <wp:simplePos x="0" y="0"/>
            <wp:positionH relativeFrom="column">
              <wp:posOffset>2569210</wp:posOffset>
            </wp:positionH>
            <wp:positionV relativeFrom="paragraph">
              <wp:posOffset>-8890</wp:posOffset>
            </wp:positionV>
            <wp:extent cx="15951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(1) See note 4 in BCP and Subsidiaries income statement.</w:t>
      </w:r>
    </w:p>
    <w:p>
      <w:pPr>
        <w:spacing w:after="0" w:line="20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Operating expenses increased 7% due to an increase in Other expenses (+118% QoQ) and in Administrative and General expenses (+9.9% QoQ). It is important to note that the increase in Other expenses was primarily attributable to: i) a non-recurring loss that was registered in 2Q13 following the sale of Correval to Credicorp Capital, which is neutral in the consolidation of Credicorp subsidiaries’ results; and ii) an expense associated with the valuation of the hedge for the management compensation program (stock options, in line with the decrease in Credicorp’s share price). If we exclude the aforementioned non-recurring loss, which is neutral when consolidated at the level of Credicorp, the operating expenses would increase only +5.0% QoQ.</w:t>
      </w:r>
    </w:p>
    <w:p>
      <w:pPr>
        <w:spacing w:after="0" w:line="15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Administrative and general expenses expanded +9.9% QoQ due primarily to increases in the following items: Other minor expenses (+17.9% QoQ) due to an increase in fees paid to third parties, and rent payment; expenses in other subsidiaries (+32.2% QoQ); Consulting (+54.5% QoQ) mainly related to a project for strategic support with Mckinsey; Systems (+19.7% QoQ), which was primarily attributable to the service and maintenance on the Oracle-Data warehouse system; and Marketing (+9.1% QoQ), which was related to the Lan Pass program. The aforementioned was attenuated by a slight 1.5% QoQ decline in salaries and employee benefits (this expense is mainly incurred in Nuevos Soles) and to a lesser extent by a reduction in additional employee profit sharing.</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5" w:name="page26"/>
    <w:bookmarkEnd w:id="25"/>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It is important to note that at the end of June 2013, approximately 67% of all operating expenses were denominated in Nuevos Soles. As such, the devaluation of the Nuevo Sol against the US Dollar had a relatively positive impact on this item. The expenses denominated in Nuevos Soles increased +3.2% QoQ but when they are expressed in US Dollars the expenses decreased -0.7% QoQ.</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the other hand, the expenses denominated in US Dollars grew +24.5% QoQ, which is mainly explained by the non-recurring loss associated with the sale of Correval. In fact, if we exclude the aforementioned non-recurring loss, the expenses denominated in US Dollars increase only +18.4% QoQ.</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annual terms, operating expenses increased +21.4% YoY. This was due primarily to growth in administrative and general expenses (+22.7% YoY), which was in turn mainly attributable to an expense for systems outsourcing for US$ 9.5 million (an expense that was not incurred prior to this Q); expenses in other subsidiaries (+57.6% YoY); the Other minor expenses (+12.6% YoY) due to the aforementioned loss generated by Credicorp Capital’ purchase of Correval; and Consulting expenses (+54.5% YoY).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contains the details on administrative expenses and their respective quarterly variations: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40" w:type="dxa"/>
            <w:vAlign w:val="bottom"/>
            <w:gridSpan w:val="2"/>
          </w:tcPr>
          <w:p>
            <w:pPr>
              <w:spacing w:after="0"/>
              <w:rPr>
                <w:sz w:val="20"/>
                <w:szCs w:val="20"/>
                <w:color w:val="auto"/>
              </w:rPr>
            </w:pPr>
            <w:r>
              <w:rPr>
                <w:rFonts w:ascii="Arial" w:cs="Arial" w:eastAsia="Arial" w:hAnsi="Arial"/>
                <w:sz w:val="13"/>
                <w:szCs w:val="13"/>
                <w:b w:val="1"/>
                <w:bCs w:val="1"/>
                <w:color w:val="auto"/>
              </w:rPr>
              <w:t>Administrative Expenses</w:t>
            </w: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3"/>
          </w:tcPr>
          <w:p>
            <w:pPr>
              <w:ind w:left="640"/>
              <w:spacing w:after="0"/>
              <w:rPr>
                <w:sz w:val="20"/>
                <w:szCs w:val="20"/>
                <w:color w:val="auto"/>
              </w:rPr>
            </w:pPr>
            <w:r>
              <w:rPr>
                <w:rFonts w:ascii="Arial" w:cs="Arial" w:eastAsia="Arial" w:hAnsi="Arial"/>
                <w:sz w:val="13"/>
                <w:szCs w:val="13"/>
                <w:b w:val="1"/>
                <w:bCs w:val="1"/>
                <w:color w:val="auto"/>
              </w:rPr>
              <w:t>Quarter</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3"/>
          </w:tcPr>
          <w:p>
            <w:pPr>
              <w:ind w:left="620"/>
              <w:spacing w:after="0"/>
              <w:rPr>
                <w:sz w:val="20"/>
                <w:szCs w:val="20"/>
                <w:color w:val="auto"/>
              </w:rPr>
            </w:pPr>
            <w:r>
              <w:rPr>
                <w:rFonts w:ascii="Arial" w:cs="Arial" w:eastAsia="Arial" w:hAnsi="Arial"/>
                <w:sz w:val="13"/>
                <w:szCs w:val="13"/>
                <w:b w:val="1"/>
                <w:bCs w:val="1"/>
                <w:color w:val="auto"/>
                <w:w w:val="95"/>
              </w:rPr>
              <w:t>Change %</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3"/>
        </w:trPr>
        <w:tc>
          <w:tcPr>
            <w:tcW w:w="32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US$ (000)</w:t>
            </w:r>
          </w:p>
        </w:tc>
        <w:tc>
          <w:tcPr>
            <w:tcW w:w="140" w:type="dxa"/>
            <w:vAlign w:val="bottom"/>
            <w:tcBorders>
              <w:bottom w:val="single" w:sz="8" w:color="CCFFCC"/>
            </w:tcBorders>
          </w:tcPr>
          <w:p>
            <w:pPr>
              <w:spacing w:after="0"/>
              <w:rPr>
                <w:sz w:val="13"/>
                <w:szCs w:val="13"/>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2Q13</w:t>
            </w:r>
          </w:p>
        </w:tc>
        <w:tc>
          <w:tcPr>
            <w:tcW w:w="240" w:type="dxa"/>
            <w:vAlign w:val="bottom"/>
            <w:tcBorders>
              <w:bottom w:val="single" w:sz="8" w:color="CCFFCC"/>
            </w:tcBorders>
          </w:tcPr>
          <w:p>
            <w:pPr>
              <w:spacing w:after="0"/>
              <w:rPr>
                <w:sz w:val="13"/>
                <w:szCs w:val="13"/>
                <w:color w:val="auto"/>
              </w:rPr>
            </w:pPr>
          </w:p>
        </w:tc>
        <w:tc>
          <w:tcPr>
            <w:tcW w:w="8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w:t>
            </w:r>
          </w:p>
        </w:tc>
        <w:tc>
          <w:tcPr>
            <w:tcW w:w="240" w:type="dxa"/>
            <w:vAlign w:val="bottom"/>
            <w:tcBorders>
              <w:bottom w:val="single" w:sz="8" w:color="CCFFCC"/>
            </w:tcBorders>
          </w:tcPr>
          <w:p>
            <w:pPr>
              <w:spacing w:after="0"/>
              <w:rPr>
                <w:sz w:val="13"/>
                <w:szCs w:val="13"/>
                <w:color w:val="auto"/>
              </w:rPr>
            </w:pPr>
          </w:p>
        </w:tc>
        <w:tc>
          <w:tcPr>
            <w:tcW w:w="7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1Q13</w:t>
            </w:r>
          </w:p>
        </w:tc>
        <w:tc>
          <w:tcPr>
            <w:tcW w:w="220" w:type="dxa"/>
            <w:vAlign w:val="bottom"/>
            <w:tcBorders>
              <w:bottom w:val="single" w:sz="8" w:color="CCFFC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w:t>
            </w:r>
          </w:p>
        </w:tc>
        <w:tc>
          <w:tcPr>
            <w:tcW w:w="240" w:type="dxa"/>
            <w:vAlign w:val="bottom"/>
            <w:tcBorders>
              <w:bottom w:val="single" w:sz="8" w:color="CCFFCC"/>
            </w:tcBorders>
          </w:tcPr>
          <w:p>
            <w:pPr>
              <w:spacing w:after="0"/>
              <w:rPr>
                <w:sz w:val="13"/>
                <w:szCs w:val="13"/>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2Q12</w:t>
            </w:r>
          </w:p>
        </w:tc>
        <w:tc>
          <w:tcPr>
            <w:tcW w:w="200" w:type="dxa"/>
            <w:vAlign w:val="bottom"/>
            <w:tcBorders>
              <w:bottom w:val="single" w:sz="8" w:color="CCFFCC"/>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320" w:type="dxa"/>
            <w:vAlign w:val="bottom"/>
            <w:tcBorders>
              <w:bottom w:val="single" w:sz="8" w:color="auto"/>
            </w:tcBorders>
          </w:tcPr>
          <w:p>
            <w:pPr>
              <w:spacing w:after="0"/>
              <w:rPr>
                <w:sz w:val="13"/>
                <w:szCs w:val="13"/>
                <w:color w:val="auto"/>
              </w:rPr>
            </w:pPr>
          </w:p>
        </w:tc>
        <w:tc>
          <w:tcPr>
            <w:tcW w:w="240" w:type="dxa"/>
            <w:vAlign w:val="bottom"/>
            <w:tcBorders>
              <w:bottom w:val="single" w:sz="8" w:color="CCFFCC"/>
            </w:tcBorders>
          </w:tcPr>
          <w:p>
            <w:pPr>
              <w:spacing w:after="0"/>
              <w:rPr>
                <w:sz w:val="13"/>
                <w:szCs w:val="13"/>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QoQ</w:t>
            </w:r>
          </w:p>
        </w:tc>
        <w:tc>
          <w:tcPr>
            <w:tcW w:w="240" w:type="dxa"/>
            <w:vAlign w:val="bottom"/>
            <w:tcBorders>
              <w:bottom w:val="single" w:sz="8" w:color="CCFFC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YoY</w:t>
            </w:r>
          </w:p>
        </w:tc>
        <w:tc>
          <w:tcPr>
            <w:tcW w:w="140" w:type="dxa"/>
            <w:vAlign w:val="bottom"/>
            <w:tcBorders>
              <w:bottom w:val="single" w:sz="8" w:color="CCFFCC"/>
            </w:tcBorders>
          </w:tcPr>
          <w:p>
            <w:pPr>
              <w:spacing w:after="0"/>
              <w:rPr>
                <w:sz w:val="13"/>
                <w:szCs w:val="13"/>
                <w:color w:val="auto"/>
              </w:rPr>
            </w:pPr>
          </w:p>
        </w:tc>
      </w:tr>
      <w:tr>
        <w:trPr>
          <w:trHeight w:val="129"/>
        </w:trPr>
        <w:tc>
          <w:tcPr>
            <w:tcW w:w="3200" w:type="dxa"/>
            <w:vAlign w:val="bottom"/>
            <w:shd w:val="clear" w:color="auto" w:fill="CCFFCC"/>
          </w:tcPr>
          <w:p>
            <w:pPr>
              <w:spacing w:after="0" w:line="129" w:lineRule="exact"/>
              <w:rPr>
                <w:sz w:val="20"/>
                <w:szCs w:val="20"/>
                <w:color w:val="auto"/>
              </w:rPr>
            </w:pPr>
            <w:r>
              <w:rPr>
                <w:rFonts w:ascii="Arial" w:cs="Arial" w:eastAsia="Arial" w:hAnsi="Arial"/>
                <w:sz w:val="13"/>
                <w:szCs w:val="13"/>
                <w:color w:val="auto"/>
              </w:rPr>
              <w:t>Marketing</w:t>
            </w:r>
          </w:p>
        </w:tc>
        <w:tc>
          <w:tcPr>
            <w:tcW w:w="140" w:type="dxa"/>
            <w:vAlign w:val="bottom"/>
            <w:shd w:val="clear" w:color="auto" w:fill="CCFFCC"/>
          </w:tcPr>
          <w:p>
            <w:pPr>
              <w:spacing w:after="0"/>
              <w:rPr>
                <w:sz w:val="11"/>
                <w:szCs w:val="11"/>
                <w:color w:val="auto"/>
              </w:rPr>
            </w:pPr>
          </w:p>
        </w:tc>
        <w:tc>
          <w:tcPr>
            <w:tcW w:w="80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15,271</w:t>
            </w:r>
          </w:p>
        </w:tc>
        <w:tc>
          <w:tcPr>
            <w:tcW w:w="24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77"/>
              <w:spacing w:after="0" w:line="129" w:lineRule="exact"/>
              <w:rPr>
                <w:sz w:val="20"/>
                <w:szCs w:val="20"/>
                <w:color w:val="auto"/>
              </w:rPr>
            </w:pPr>
            <w:r>
              <w:rPr>
                <w:rFonts w:ascii="Arial" w:cs="Arial" w:eastAsia="Arial" w:hAnsi="Arial"/>
                <w:sz w:val="13"/>
                <w:szCs w:val="13"/>
                <w:color w:val="auto"/>
              </w:rPr>
              <w:t>12.5%</w:t>
            </w:r>
          </w:p>
        </w:tc>
        <w:tc>
          <w:tcPr>
            <w:tcW w:w="7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14,000</w:t>
            </w:r>
          </w:p>
        </w:tc>
        <w:tc>
          <w:tcPr>
            <w:tcW w:w="2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57"/>
              <w:spacing w:after="0" w:line="129" w:lineRule="exact"/>
              <w:rPr>
                <w:sz w:val="20"/>
                <w:szCs w:val="20"/>
                <w:color w:val="auto"/>
              </w:rPr>
            </w:pPr>
            <w:r>
              <w:rPr>
                <w:rFonts w:ascii="Arial" w:cs="Arial" w:eastAsia="Arial" w:hAnsi="Arial"/>
                <w:sz w:val="13"/>
                <w:szCs w:val="13"/>
                <w:color w:val="auto"/>
              </w:rPr>
              <w:t>12.6%</w:t>
            </w:r>
          </w:p>
        </w:tc>
        <w:tc>
          <w:tcPr>
            <w:tcW w:w="80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14,134</w:t>
            </w:r>
          </w:p>
        </w:tc>
        <w:tc>
          <w:tcPr>
            <w:tcW w:w="20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560" w:type="dxa"/>
            <w:vAlign w:val="bottom"/>
            <w:gridSpan w:val="2"/>
            <w:shd w:val="clear" w:color="auto" w:fill="CCFFCC"/>
          </w:tcPr>
          <w:p>
            <w:pPr>
              <w:jc w:val="right"/>
              <w:ind w:right="77"/>
              <w:spacing w:after="0" w:line="129" w:lineRule="exact"/>
              <w:rPr>
                <w:sz w:val="20"/>
                <w:szCs w:val="20"/>
                <w:color w:val="auto"/>
              </w:rPr>
            </w:pPr>
            <w:r>
              <w:rPr>
                <w:rFonts w:ascii="Arial" w:cs="Arial" w:eastAsia="Arial" w:hAnsi="Arial"/>
                <w:sz w:val="13"/>
                <w:szCs w:val="13"/>
                <w:color w:val="auto"/>
              </w:rPr>
              <w:t>14.2%</w:t>
            </w:r>
          </w:p>
        </w:tc>
        <w:tc>
          <w:tcPr>
            <w:tcW w:w="1020" w:type="dxa"/>
            <w:vAlign w:val="bottom"/>
            <w:gridSpan w:val="2"/>
            <w:shd w:val="clear" w:color="auto" w:fill="CCFFCC"/>
          </w:tcPr>
          <w:p>
            <w:pPr>
              <w:jc w:val="right"/>
              <w:ind w:right="77"/>
              <w:spacing w:after="0" w:line="129" w:lineRule="exact"/>
              <w:rPr>
                <w:sz w:val="20"/>
                <w:szCs w:val="20"/>
                <w:color w:val="auto"/>
              </w:rPr>
            </w:pPr>
            <w:r>
              <w:rPr>
                <w:rFonts w:ascii="Arial" w:cs="Arial" w:eastAsia="Arial" w:hAnsi="Arial"/>
                <w:sz w:val="13"/>
                <w:szCs w:val="13"/>
                <w:color w:val="auto"/>
              </w:rPr>
              <w:t>9.1%</w:t>
            </w:r>
          </w:p>
        </w:tc>
        <w:tc>
          <w:tcPr>
            <w:tcW w:w="22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spacing w:after="0" w:line="129" w:lineRule="exact"/>
              <w:rPr>
                <w:sz w:val="20"/>
                <w:szCs w:val="20"/>
                <w:color w:val="auto"/>
              </w:rPr>
            </w:pPr>
            <w:r>
              <w:rPr>
                <w:rFonts w:ascii="Arial" w:cs="Arial" w:eastAsia="Arial" w:hAnsi="Arial"/>
                <w:sz w:val="13"/>
                <w:szCs w:val="13"/>
                <w:color w:val="auto"/>
              </w:rPr>
              <w:t>8.0%</w:t>
            </w:r>
          </w:p>
        </w:tc>
      </w:tr>
      <w:tr>
        <w:trPr>
          <w:trHeight w:val="135"/>
        </w:trPr>
        <w:tc>
          <w:tcPr>
            <w:tcW w:w="3340" w:type="dxa"/>
            <w:vAlign w:val="bottom"/>
            <w:gridSpan w:val="2"/>
          </w:tcPr>
          <w:p>
            <w:pPr>
              <w:spacing w:after="0" w:line="135" w:lineRule="exact"/>
              <w:rPr>
                <w:sz w:val="20"/>
                <w:szCs w:val="20"/>
                <w:color w:val="auto"/>
              </w:rPr>
            </w:pPr>
            <w:r>
              <w:rPr>
                <w:rFonts w:ascii="Arial" w:cs="Arial" w:eastAsia="Arial" w:hAnsi="Arial"/>
                <w:sz w:val="13"/>
                <w:szCs w:val="13"/>
                <w:color w:val="auto"/>
              </w:rPr>
              <w:t>Systems</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10,675</w:t>
            </w:r>
          </w:p>
        </w:tc>
        <w:tc>
          <w:tcPr>
            <w:tcW w:w="104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8.7%</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8,920</w:t>
            </w:r>
          </w:p>
        </w:tc>
        <w:tc>
          <w:tcPr>
            <w:tcW w:w="200" w:type="dxa"/>
            <w:vAlign w:val="bottom"/>
          </w:tcPr>
          <w:p>
            <w:pPr>
              <w:spacing w:after="0"/>
              <w:rPr>
                <w:sz w:val="11"/>
                <w:szCs w:val="11"/>
                <w:color w:val="auto"/>
              </w:rPr>
            </w:pPr>
          </w:p>
        </w:tc>
        <w:tc>
          <w:tcPr>
            <w:tcW w:w="82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8.0%</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10,813</w:t>
            </w:r>
          </w:p>
        </w:tc>
        <w:tc>
          <w:tcPr>
            <w:tcW w:w="480" w:type="dxa"/>
            <w:vAlign w:val="bottom"/>
          </w:tcPr>
          <w:p>
            <w:pPr>
              <w:spacing w:after="0"/>
              <w:rPr>
                <w:sz w:val="11"/>
                <w:szCs w:val="11"/>
                <w:color w:val="auto"/>
              </w:rPr>
            </w:pPr>
          </w:p>
        </w:tc>
        <w:tc>
          <w:tcPr>
            <w:tcW w:w="56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10.9%</w:t>
            </w:r>
          </w:p>
        </w:tc>
        <w:tc>
          <w:tcPr>
            <w:tcW w:w="10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19.7%</w:t>
            </w:r>
          </w:p>
        </w:tc>
        <w:tc>
          <w:tcPr>
            <w:tcW w:w="220" w:type="dxa"/>
            <w:vAlign w:val="bottom"/>
          </w:tcPr>
          <w:p>
            <w:pPr>
              <w:spacing w:after="0"/>
              <w:rPr>
                <w:sz w:val="11"/>
                <w:szCs w:val="11"/>
                <w:color w:val="auto"/>
              </w:rPr>
            </w:pPr>
          </w:p>
        </w:tc>
        <w:tc>
          <w:tcPr>
            <w:tcW w:w="7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-1.3%</w:t>
            </w:r>
          </w:p>
        </w:tc>
      </w:tr>
      <w:tr>
        <w:trPr>
          <w:trHeight w:val="135"/>
        </w:trPr>
        <w:tc>
          <w:tcPr>
            <w:tcW w:w="33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Systems Outsourcing</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9,472</w:t>
            </w:r>
          </w:p>
        </w:tc>
        <w:tc>
          <w:tcPr>
            <w:tcW w:w="104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7.8%</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9,988</w:t>
            </w:r>
          </w:p>
        </w:tc>
        <w:tc>
          <w:tcPr>
            <w:tcW w:w="20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9.0%</w:t>
            </w:r>
          </w:p>
        </w:tc>
        <w:tc>
          <w:tcPr>
            <w:tcW w:w="10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FFCC"/>
          </w:tcPr>
          <w:p>
            <w:pPr>
              <w:spacing w:after="0"/>
              <w:rPr>
                <w:sz w:val="11"/>
                <w:szCs w:val="11"/>
                <w:color w:val="auto"/>
              </w:rPr>
            </w:pPr>
          </w:p>
        </w:tc>
        <w:tc>
          <w:tcPr>
            <w:tcW w:w="56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-5.2%</w:t>
            </w:r>
          </w:p>
        </w:tc>
        <w:tc>
          <w:tcPr>
            <w:tcW w:w="22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w:t>
            </w:r>
          </w:p>
        </w:tc>
      </w:tr>
      <w:tr>
        <w:trPr>
          <w:trHeight w:val="135"/>
        </w:trPr>
        <w:tc>
          <w:tcPr>
            <w:tcW w:w="3340" w:type="dxa"/>
            <w:vAlign w:val="bottom"/>
            <w:gridSpan w:val="2"/>
          </w:tcPr>
          <w:p>
            <w:pPr>
              <w:spacing w:after="0" w:line="135" w:lineRule="exact"/>
              <w:rPr>
                <w:sz w:val="20"/>
                <w:szCs w:val="20"/>
                <w:color w:val="auto"/>
              </w:rPr>
            </w:pPr>
            <w:r>
              <w:rPr>
                <w:rFonts w:ascii="Arial" w:cs="Arial" w:eastAsia="Arial" w:hAnsi="Arial"/>
                <w:sz w:val="13"/>
                <w:szCs w:val="13"/>
                <w:color w:val="auto"/>
              </w:rPr>
              <w:t>Transport</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9,643</w:t>
            </w:r>
          </w:p>
        </w:tc>
        <w:tc>
          <w:tcPr>
            <w:tcW w:w="104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7.9%</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8,150</w:t>
            </w:r>
          </w:p>
        </w:tc>
        <w:tc>
          <w:tcPr>
            <w:tcW w:w="200" w:type="dxa"/>
            <w:vAlign w:val="bottom"/>
          </w:tcPr>
          <w:p>
            <w:pPr>
              <w:spacing w:after="0"/>
              <w:rPr>
                <w:sz w:val="11"/>
                <w:szCs w:val="11"/>
                <w:color w:val="auto"/>
              </w:rPr>
            </w:pPr>
          </w:p>
        </w:tc>
        <w:tc>
          <w:tcPr>
            <w:tcW w:w="82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7.3%</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8,172</w:t>
            </w:r>
          </w:p>
        </w:tc>
        <w:tc>
          <w:tcPr>
            <w:tcW w:w="480" w:type="dxa"/>
            <w:vAlign w:val="bottom"/>
          </w:tcPr>
          <w:p>
            <w:pPr>
              <w:spacing w:after="0"/>
              <w:rPr>
                <w:sz w:val="11"/>
                <w:szCs w:val="11"/>
                <w:color w:val="auto"/>
              </w:rPr>
            </w:pPr>
          </w:p>
        </w:tc>
        <w:tc>
          <w:tcPr>
            <w:tcW w:w="56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8.2%</w:t>
            </w:r>
          </w:p>
        </w:tc>
        <w:tc>
          <w:tcPr>
            <w:tcW w:w="10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18.3%</w:t>
            </w:r>
          </w:p>
        </w:tc>
        <w:tc>
          <w:tcPr>
            <w:tcW w:w="220" w:type="dxa"/>
            <w:vAlign w:val="bottom"/>
          </w:tcPr>
          <w:p>
            <w:pPr>
              <w:spacing w:after="0"/>
              <w:rPr>
                <w:sz w:val="11"/>
                <w:szCs w:val="11"/>
                <w:color w:val="auto"/>
              </w:rPr>
            </w:pPr>
          </w:p>
        </w:tc>
        <w:tc>
          <w:tcPr>
            <w:tcW w:w="7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18.0%</w:t>
            </w:r>
          </w:p>
        </w:tc>
      </w:tr>
      <w:tr>
        <w:trPr>
          <w:trHeight w:val="135"/>
        </w:trPr>
        <w:tc>
          <w:tcPr>
            <w:tcW w:w="33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Maintenance</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3,615</w:t>
            </w:r>
          </w:p>
        </w:tc>
        <w:tc>
          <w:tcPr>
            <w:tcW w:w="104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3.0%</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3,794</w:t>
            </w:r>
          </w:p>
        </w:tc>
        <w:tc>
          <w:tcPr>
            <w:tcW w:w="20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3.4%</w:t>
            </w:r>
          </w:p>
        </w:tc>
        <w:tc>
          <w:tcPr>
            <w:tcW w:w="10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3,943</w:t>
            </w:r>
          </w:p>
        </w:tc>
        <w:tc>
          <w:tcPr>
            <w:tcW w:w="480" w:type="dxa"/>
            <w:vAlign w:val="bottom"/>
            <w:shd w:val="clear" w:color="auto" w:fill="CCFFCC"/>
          </w:tcPr>
          <w:p>
            <w:pPr>
              <w:spacing w:after="0"/>
              <w:rPr>
                <w:sz w:val="11"/>
                <w:szCs w:val="11"/>
                <w:color w:val="auto"/>
              </w:rPr>
            </w:pPr>
          </w:p>
        </w:tc>
        <w:tc>
          <w:tcPr>
            <w:tcW w:w="56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4.0%</w:t>
            </w:r>
          </w:p>
        </w:tc>
        <w:tc>
          <w:tcPr>
            <w:tcW w:w="102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-4.7%</w:t>
            </w:r>
          </w:p>
        </w:tc>
        <w:tc>
          <w:tcPr>
            <w:tcW w:w="22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-8.3%</w:t>
            </w:r>
          </w:p>
        </w:tc>
      </w:tr>
      <w:tr>
        <w:trPr>
          <w:trHeight w:val="135"/>
        </w:trPr>
        <w:tc>
          <w:tcPr>
            <w:tcW w:w="3340" w:type="dxa"/>
            <w:vAlign w:val="bottom"/>
            <w:gridSpan w:val="2"/>
          </w:tcPr>
          <w:p>
            <w:pPr>
              <w:spacing w:after="0" w:line="135" w:lineRule="exact"/>
              <w:rPr>
                <w:sz w:val="20"/>
                <w:szCs w:val="20"/>
                <w:color w:val="auto"/>
              </w:rPr>
            </w:pPr>
            <w:r>
              <w:rPr>
                <w:rFonts w:ascii="Arial" w:cs="Arial" w:eastAsia="Arial" w:hAnsi="Arial"/>
                <w:sz w:val="13"/>
                <w:szCs w:val="13"/>
                <w:color w:val="auto"/>
              </w:rPr>
              <w:t>Communications</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6,617</w:t>
            </w:r>
          </w:p>
        </w:tc>
        <w:tc>
          <w:tcPr>
            <w:tcW w:w="104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5.4%</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6,393</w:t>
            </w:r>
          </w:p>
        </w:tc>
        <w:tc>
          <w:tcPr>
            <w:tcW w:w="200" w:type="dxa"/>
            <w:vAlign w:val="bottom"/>
          </w:tcPr>
          <w:p>
            <w:pPr>
              <w:spacing w:after="0"/>
              <w:rPr>
                <w:sz w:val="11"/>
                <w:szCs w:val="11"/>
                <w:color w:val="auto"/>
              </w:rPr>
            </w:pPr>
          </w:p>
        </w:tc>
        <w:tc>
          <w:tcPr>
            <w:tcW w:w="82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5.8%</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6,345</w:t>
            </w:r>
          </w:p>
        </w:tc>
        <w:tc>
          <w:tcPr>
            <w:tcW w:w="480" w:type="dxa"/>
            <w:vAlign w:val="bottom"/>
          </w:tcPr>
          <w:p>
            <w:pPr>
              <w:spacing w:after="0"/>
              <w:rPr>
                <w:sz w:val="11"/>
                <w:szCs w:val="11"/>
                <w:color w:val="auto"/>
              </w:rPr>
            </w:pPr>
          </w:p>
        </w:tc>
        <w:tc>
          <w:tcPr>
            <w:tcW w:w="56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6.4%</w:t>
            </w:r>
          </w:p>
        </w:tc>
        <w:tc>
          <w:tcPr>
            <w:tcW w:w="10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3.5%</w:t>
            </w:r>
          </w:p>
        </w:tc>
        <w:tc>
          <w:tcPr>
            <w:tcW w:w="220" w:type="dxa"/>
            <w:vAlign w:val="bottom"/>
          </w:tcPr>
          <w:p>
            <w:pPr>
              <w:spacing w:after="0"/>
              <w:rPr>
                <w:sz w:val="11"/>
                <w:szCs w:val="11"/>
                <w:color w:val="auto"/>
              </w:rPr>
            </w:pPr>
          </w:p>
        </w:tc>
        <w:tc>
          <w:tcPr>
            <w:tcW w:w="7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4.3%</w:t>
            </w:r>
          </w:p>
        </w:tc>
      </w:tr>
      <w:tr>
        <w:trPr>
          <w:trHeight w:val="135"/>
        </w:trPr>
        <w:tc>
          <w:tcPr>
            <w:tcW w:w="33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Consulting</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7,378</w:t>
            </w:r>
          </w:p>
        </w:tc>
        <w:tc>
          <w:tcPr>
            <w:tcW w:w="104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6.0%</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4,776</w:t>
            </w:r>
          </w:p>
        </w:tc>
        <w:tc>
          <w:tcPr>
            <w:tcW w:w="20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4.3%</w:t>
            </w:r>
          </w:p>
        </w:tc>
        <w:tc>
          <w:tcPr>
            <w:tcW w:w="10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4,776</w:t>
            </w:r>
          </w:p>
        </w:tc>
        <w:tc>
          <w:tcPr>
            <w:tcW w:w="480" w:type="dxa"/>
            <w:vAlign w:val="bottom"/>
            <w:shd w:val="clear" w:color="auto" w:fill="CCFFCC"/>
          </w:tcPr>
          <w:p>
            <w:pPr>
              <w:spacing w:after="0"/>
              <w:rPr>
                <w:sz w:val="11"/>
                <w:szCs w:val="11"/>
                <w:color w:val="auto"/>
              </w:rPr>
            </w:pPr>
          </w:p>
        </w:tc>
        <w:tc>
          <w:tcPr>
            <w:tcW w:w="56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4.8%</w:t>
            </w:r>
          </w:p>
        </w:tc>
        <w:tc>
          <w:tcPr>
            <w:tcW w:w="102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54.5%</w:t>
            </w:r>
          </w:p>
        </w:tc>
        <w:tc>
          <w:tcPr>
            <w:tcW w:w="22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54.5%</w:t>
            </w:r>
          </w:p>
        </w:tc>
      </w:tr>
      <w:tr>
        <w:trPr>
          <w:trHeight w:val="135"/>
        </w:trPr>
        <w:tc>
          <w:tcPr>
            <w:tcW w:w="3340" w:type="dxa"/>
            <w:vAlign w:val="bottom"/>
            <w:gridSpan w:val="2"/>
          </w:tcPr>
          <w:p>
            <w:pPr>
              <w:spacing w:after="0" w:line="135" w:lineRule="exact"/>
              <w:rPr>
                <w:sz w:val="20"/>
                <w:szCs w:val="20"/>
                <w:color w:val="auto"/>
              </w:rPr>
            </w:pPr>
            <w:r>
              <w:rPr>
                <w:rFonts w:ascii="Arial" w:cs="Arial" w:eastAsia="Arial" w:hAnsi="Arial"/>
                <w:sz w:val="13"/>
                <w:szCs w:val="13"/>
                <w:color w:val="auto"/>
              </w:rPr>
              <w:t>Others</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45,251</w:t>
            </w:r>
          </w:p>
        </w:tc>
        <w:tc>
          <w:tcPr>
            <w:tcW w:w="104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37.1%</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44,318</w:t>
            </w:r>
          </w:p>
        </w:tc>
        <w:tc>
          <w:tcPr>
            <w:tcW w:w="200" w:type="dxa"/>
            <w:vAlign w:val="bottom"/>
          </w:tcPr>
          <w:p>
            <w:pPr>
              <w:spacing w:after="0"/>
              <w:rPr>
                <w:sz w:val="11"/>
                <w:szCs w:val="11"/>
                <w:color w:val="auto"/>
              </w:rPr>
            </w:pPr>
          </w:p>
        </w:tc>
        <w:tc>
          <w:tcPr>
            <w:tcW w:w="82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39.9%</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42,313</w:t>
            </w:r>
          </w:p>
        </w:tc>
        <w:tc>
          <w:tcPr>
            <w:tcW w:w="480" w:type="dxa"/>
            <w:vAlign w:val="bottom"/>
          </w:tcPr>
          <w:p>
            <w:pPr>
              <w:spacing w:after="0"/>
              <w:rPr>
                <w:sz w:val="11"/>
                <w:szCs w:val="11"/>
                <w:color w:val="auto"/>
              </w:rPr>
            </w:pPr>
          </w:p>
        </w:tc>
        <w:tc>
          <w:tcPr>
            <w:tcW w:w="56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42.5%</w:t>
            </w:r>
          </w:p>
        </w:tc>
        <w:tc>
          <w:tcPr>
            <w:tcW w:w="10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2.1%</w:t>
            </w:r>
          </w:p>
        </w:tc>
        <w:tc>
          <w:tcPr>
            <w:tcW w:w="220" w:type="dxa"/>
            <w:vAlign w:val="bottom"/>
          </w:tcPr>
          <w:p>
            <w:pPr>
              <w:spacing w:after="0"/>
              <w:rPr>
                <w:sz w:val="11"/>
                <w:szCs w:val="11"/>
                <w:color w:val="auto"/>
              </w:rPr>
            </w:pPr>
          </w:p>
        </w:tc>
        <w:tc>
          <w:tcPr>
            <w:tcW w:w="7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6.9%</w:t>
            </w:r>
          </w:p>
        </w:tc>
      </w:tr>
      <w:tr>
        <w:trPr>
          <w:trHeight w:val="149"/>
        </w:trPr>
        <w:tc>
          <w:tcPr>
            <w:tcW w:w="3340" w:type="dxa"/>
            <w:vAlign w:val="bottom"/>
            <w:gridSpan w:val="2"/>
            <w:shd w:val="clear" w:color="auto" w:fill="CCFFCC"/>
          </w:tcPr>
          <w:p>
            <w:pPr>
              <w:spacing w:after="0"/>
              <w:rPr>
                <w:sz w:val="20"/>
                <w:szCs w:val="20"/>
                <w:color w:val="auto"/>
              </w:rPr>
            </w:pPr>
            <w:r>
              <w:rPr>
                <w:rFonts w:ascii="Arial" w:cs="Arial" w:eastAsia="Arial" w:hAnsi="Arial"/>
                <w:sz w:val="13"/>
                <w:szCs w:val="13"/>
                <w:color w:val="auto"/>
              </w:rPr>
              <w:t>Other subsidiaries and eliminations, net</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14,134</w:t>
            </w:r>
          </w:p>
        </w:tc>
        <w:tc>
          <w:tcPr>
            <w:tcW w:w="1040" w:type="dxa"/>
            <w:vAlign w:val="bottom"/>
            <w:gridSpan w:val="2"/>
            <w:shd w:val="clear" w:color="auto" w:fill="CCFFCC"/>
          </w:tcPr>
          <w:p>
            <w:pPr>
              <w:jc w:val="right"/>
              <w:ind w:right="77"/>
              <w:spacing w:after="0"/>
              <w:rPr>
                <w:sz w:val="20"/>
                <w:szCs w:val="20"/>
                <w:color w:val="auto"/>
              </w:rPr>
            </w:pPr>
            <w:r>
              <w:rPr>
                <w:rFonts w:ascii="Arial" w:cs="Arial" w:eastAsia="Arial" w:hAnsi="Arial"/>
                <w:sz w:val="13"/>
                <w:szCs w:val="13"/>
                <w:color w:val="auto"/>
              </w:rPr>
              <w:t>11.6%</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10,690</w:t>
            </w:r>
          </w:p>
        </w:tc>
        <w:tc>
          <w:tcPr>
            <w:tcW w:w="20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57"/>
              <w:spacing w:after="0"/>
              <w:rPr>
                <w:sz w:val="20"/>
                <w:szCs w:val="20"/>
                <w:color w:val="auto"/>
              </w:rPr>
            </w:pPr>
            <w:r>
              <w:rPr>
                <w:rFonts w:ascii="Arial" w:cs="Arial" w:eastAsia="Arial" w:hAnsi="Arial"/>
                <w:sz w:val="13"/>
                <w:szCs w:val="13"/>
                <w:color w:val="auto"/>
              </w:rPr>
              <w:t>9.6%</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8,970</w:t>
            </w:r>
          </w:p>
        </w:tc>
        <w:tc>
          <w:tcPr>
            <w:tcW w:w="480" w:type="dxa"/>
            <w:vAlign w:val="bottom"/>
            <w:shd w:val="clear" w:color="auto" w:fill="CCFFCC"/>
          </w:tcPr>
          <w:p>
            <w:pPr>
              <w:spacing w:after="0"/>
              <w:rPr>
                <w:sz w:val="12"/>
                <w:szCs w:val="12"/>
                <w:color w:val="auto"/>
              </w:rPr>
            </w:pPr>
          </w:p>
        </w:tc>
        <w:tc>
          <w:tcPr>
            <w:tcW w:w="560" w:type="dxa"/>
            <w:vAlign w:val="bottom"/>
            <w:gridSpan w:val="2"/>
            <w:shd w:val="clear" w:color="auto" w:fill="CCFFCC"/>
          </w:tcPr>
          <w:p>
            <w:pPr>
              <w:jc w:val="right"/>
              <w:ind w:right="77"/>
              <w:spacing w:after="0"/>
              <w:rPr>
                <w:sz w:val="20"/>
                <w:szCs w:val="20"/>
                <w:color w:val="auto"/>
              </w:rPr>
            </w:pPr>
            <w:r>
              <w:rPr>
                <w:rFonts w:ascii="Arial" w:cs="Arial" w:eastAsia="Arial" w:hAnsi="Arial"/>
                <w:sz w:val="13"/>
                <w:szCs w:val="13"/>
                <w:color w:val="auto"/>
              </w:rPr>
              <w:t>9.0%</w:t>
            </w:r>
          </w:p>
        </w:tc>
        <w:tc>
          <w:tcPr>
            <w:tcW w:w="1020" w:type="dxa"/>
            <w:vAlign w:val="bottom"/>
            <w:gridSpan w:val="2"/>
            <w:shd w:val="clear" w:color="auto" w:fill="CCFFCC"/>
          </w:tcPr>
          <w:p>
            <w:pPr>
              <w:jc w:val="right"/>
              <w:ind w:right="77"/>
              <w:spacing w:after="0"/>
              <w:rPr>
                <w:sz w:val="20"/>
                <w:szCs w:val="20"/>
                <w:color w:val="auto"/>
              </w:rPr>
            </w:pPr>
            <w:r>
              <w:rPr>
                <w:rFonts w:ascii="Arial" w:cs="Arial" w:eastAsia="Arial" w:hAnsi="Arial"/>
                <w:sz w:val="13"/>
                <w:szCs w:val="13"/>
                <w:color w:val="auto"/>
              </w:rPr>
              <w:t>32.2%</w:t>
            </w:r>
          </w:p>
        </w:tc>
        <w:tc>
          <w:tcPr>
            <w:tcW w:w="22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spacing w:after="0"/>
              <w:rPr>
                <w:sz w:val="20"/>
                <w:szCs w:val="20"/>
                <w:color w:val="auto"/>
              </w:rPr>
            </w:pPr>
            <w:r>
              <w:rPr>
                <w:rFonts w:ascii="Arial" w:cs="Arial" w:eastAsia="Arial" w:hAnsi="Arial"/>
                <w:sz w:val="13"/>
                <w:szCs w:val="13"/>
                <w:color w:val="auto"/>
              </w:rPr>
              <w:t>57.6%</w:t>
            </w:r>
          </w:p>
        </w:tc>
      </w:tr>
      <w:tr>
        <w:trPr>
          <w:trHeight w:val="138"/>
        </w:trPr>
        <w:tc>
          <w:tcPr>
            <w:tcW w:w="334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Total Administrative Expenses</w:t>
            </w:r>
          </w:p>
        </w:tc>
        <w:tc>
          <w:tcPr>
            <w:tcW w:w="80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122,057</w:t>
            </w:r>
          </w:p>
        </w:tc>
        <w:tc>
          <w:tcPr>
            <w:tcW w:w="240" w:type="dxa"/>
            <w:vAlign w:val="bottom"/>
          </w:tcPr>
          <w:p>
            <w:pPr>
              <w:spacing w:after="0"/>
              <w:rPr>
                <w:sz w:val="11"/>
                <w:szCs w:val="11"/>
                <w:color w:val="auto"/>
              </w:rPr>
            </w:pPr>
          </w:p>
        </w:tc>
        <w:tc>
          <w:tcPr>
            <w:tcW w:w="80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100.0</w:t>
            </w:r>
          </w:p>
        </w:tc>
        <w:tc>
          <w:tcPr>
            <w:tcW w:w="240" w:type="dxa"/>
            <w:vAlign w:val="bottom"/>
          </w:tcPr>
          <w:p>
            <w:pPr>
              <w:jc w:val="right"/>
              <w:ind w:right="57"/>
              <w:spacing w:after="0" w:line="138" w:lineRule="exact"/>
              <w:rPr>
                <w:sz w:val="20"/>
                <w:szCs w:val="20"/>
                <w:color w:val="auto"/>
              </w:rPr>
            </w:pPr>
            <w:r>
              <w:rPr>
                <w:rFonts w:ascii="Arial" w:cs="Arial" w:eastAsia="Arial" w:hAnsi="Arial"/>
                <w:sz w:val="13"/>
                <w:szCs w:val="13"/>
                <w:b w:val="1"/>
                <w:bCs w:val="1"/>
                <w:color w:val="auto"/>
                <w:w w:val="86"/>
              </w:rPr>
              <w:t>%</w:t>
            </w:r>
          </w:p>
        </w:tc>
        <w:tc>
          <w:tcPr>
            <w:tcW w:w="7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111,028</w:t>
            </w:r>
          </w:p>
        </w:tc>
        <w:tc>
          <w:tcPr>
            <w:tcW w:w="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100.0</w:t>
            </w:r>
          </w:p>
        </w:tc>
        <w:tc>
          <w:tcPr>
            <w:tcW w:w="240" w:type="dxa"/>
            <w:vAlign w:val="bottom"/>
          </w:tcPr>
          <w:p>
            <w:pPr>
              <w:jc w:val="right"/>
              <w:ind w:right="37"/>
              <w:spacing w:after="0" w:line="138" w:lineRule="exact"/>
              <w:rPr>
                <w:sz w:val="20"/>
                <w:szCs w:val="20"/>
                <w:color w:val="auto"/>
              </w:rPr>
            </w:pPr>
            <w:r>
              <w:rPr>
                <w:rFonts w:ascii="Arial" w:cs="Arial" w:eastAsia="Arial" w:hAnsi="Arial"/>
                <w:sz w:val="13"/>
                <w:szCs w:val="13"/>
                <w:b w:val="1"/>
                <w:bCs w:val="1"/>
                <w:color w:val="auto"/>
              </w:rPr>
              <w:t>%</w:t>
            </w:r>
          </w:p>
        </w:tc>
        <w:tc>
          <w:tcPr>
            <w:tcW w:w="80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99,466</w:t>
            </w:r>
          </w:p>
        </w:tc>
        <w:tc>
          <w:tcPr>
            <w:tcW w:w="20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92"/>
              </w:rPr>
              <w:t>100.0</w:t>
            </w:r>
          </w:p>
        </w:tc>
        <w:tc>
          <w:tcPr>
            <w:tcW w:w="240" w:type="dxa"/>
            <w:vAlign w:val="bottom"/>
          </w:tcPr>
          <w:p>
            <w:pPr>
              <w:jc w:val="right"/>
              <w:ind w:right="57"/>
              <w:spacing w:after="0" w:line="138" w:lineRule="exact"/>
              <w:rPr>
                <w:sz w:val="20"/>
                <w:szCs w:val="20"/>
                <w:color w:val="auto"/>
              </w:rPr>
            </w:pPr>
            <w:r>
              <w:rPr>
                <w:rFonts w:ascii="Arial" w:cs="Arial" w:eastAsia="Arial" w:hAnsi="Arial"/>
                <w:sz w:val="13"/>
                <w:szCs w:val="13"/>
                <w:b w:val="1"/>
                <w:bCs w:val="1"/>
                <w:color w:val="auto"/>
                <w:w w:val="86"/>
              </w:rPr>
              <w:t>%</w:t>
            </w:r>
          </w:p>
        </w:tc>
        <w:tc>
          <w:tcPr>
            <w:tcW w:w="7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9.9</w:t>
            </w:r>
          </w:p>
        </w:tc>
        <w:tc>
          <w:tcPr>
            <w:tcW w:w="240" w:type="dxa"/>
            <w:vAlign w:val="bottom"/>
          </w:tcPr>
          <w:p>
            <w:pPr>
              <w:jc w:val="right"/>
              <w:ind w:right="57"/>
              <w:spacing w:after="0" w:line="138" w:lineRule="exact"/>
              <w:rPr>
                <w:sz w:val="20"/>
                <w:szCs w:val="20"/>
                <w:color w:val="auto"/>
              </w:rPr>
            </w:pPr>
            <w:r>
              <w:rPr>
                <w:rFonts w:ascii="Arial" w:cs="Arial" w:eastAsia="Arial" w:hAnsi="Arial"/>
                <w:sz w:val="13"/>
                <w:szCs w:val="13"/>
                <w:b w:val="1"/>
                <w:bCs w:val="1"/>
                <w:color w:val="auto"/>
                <w:w w:val="86"/>
              </w:rPr>
              <w:t>%</w:t>
            </w:r>
          </w:p>
        </w:tc>
        <w:tc>
          <w:tcPr>
            <w:tcW w:w="2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22.7</w:t>
            </w:r>
          </w:p>
        </w:tc>
        <w:tc>
          <w:tcPr>
            <w:tcW w:w="14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46620"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i w:val="1"/>
          <w:iCs w:val="1"/>
          <w:color w:val="auto"/>
        </w:rPr>
        <w:t>Source: BCP</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II.7 Net Shareholders’ Equity and Regulatory Capital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Net shareholders’ equity fell -0.8% QoQ. This was primarily due to a decrease in unrealized gains (-28.8% QoQ), which was attenuated by an increase in accumulated earnings in 2013 (+18.6% QoQ). The significant contraction in 2Q13 net income is reflected in the ROAE of 4.0%, which is significantly lower than 1Q13’s level. Nevertheless, it is important to point out that the ROAE in 2Q13 was negatively impacted by the devaluation effect. If we exclude the following factors from the analysis: the translation loss of US$ 63.4 million; the US$ 32.9 million loss on forwards; and the impact on income tax of US$ 13.5 million, the ROAE would have been 20.3%.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00" w:type="dxa"/>
            <w:vAlign w:val="bottom"/>
            <w:gridSpan w:val="2"/>
          </w:tcPr>
          <w:p>
            <w:pPr>
              <w:spacing w:after="0"/>
              <w:rPr>
                <w:sz w:val="20"/>
                <w:szCs w:val="20"/>
                <w:color w:val="auto"/>
              </w:rPr>
            </w:pPr>
            <w:r>
              <w:rPr>
                <w:rFonts w:ascii="Arial" w:cs="Arial" w:eastAsia="Arial" w:hAnsi="Arial"/>
                <w:sz w:val="16"/>
                <w:szCs w:val="16"/>
                <w:b w:val="1"/>
                <w:bCs w:val="1"/>
                <w:color w:val="auto"/>
              </w:rPr>
              <w:t>Shareholders' equity</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59"/>
              <w:spacing w:after="0"/>
              <w:rPr>
                <w:sz w:val="20"/>
                <w:szCs w:val="20"/>
                <w:color w:val="auto"/>
              </w:rPr>
            </w:pPr>
            <w:r>
              <w:rPr>
                <w:rFonts w:ascii="Arial" w:cs="Arial" w:eastAsia="Arial" w:hAnsi="Arial"/>
                <w:sz w:val="16"/>
                <w:szCs w:val="16"/>
                <w:b w:val="1"/>
                <w:bCs w:val="1"/>
                <w:color w:val="auto"/>
              </w:rPr>
              <w:t>Quarter</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3"/>
          </w:tcPr>
          <w:p>
            <w:pPr>
              <w:ind w:left="780"/>
              <w:spacing w:after="0"/>
              <w:rPr>
                <w:sz w:val="20"/>
                <w:szCs w:val="20"/>
                <w:color w:val="auto"/>
              </w:rPr>
            </w:pPr>
            <w:r>
              <w:rPr>
                <w:rFonts w:ascii="Arial" w:cs="Arial" w:eastAsia="Arial" w:hAnsi="Arial"/>
                <w:sz w:val="16"/>
                <w:szCs w:val="16"/>
                <w:b w:val="1"/>
                <w:bCs w:val="1"/>
                <w:color w:val="auto"/>
              </w:rPr>
              <w:t>Change %</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9"/>
        </w:trPr>
        <w:tc>
          <w:tcPr>
            <w:tcW w:w="40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US$ 000</w:t>
            </w:r>
          </w:p>
        </w:tc>
        <w:tc>
          <w:tcPr>
            <w:tcW w:w="100" w:type="dxa"/>
            <w:vAlign w:val="bottom"/>
            <w:tcBorders>
              <w:bottom w:val="single" w:sz="8" w:color="CCFFCC"/>
            </w:tcBorders>
          </w:tcPr>
          <w:p>
            <w:pPr>
              <w:spacing w:after="0"/>
              <w:rPr>
                <w:sz w:val="19"/>
                <w:szCs w:val="19"/>
                <w:color w:val="auto"/>
              </w:rPr>
            </w:pPr>
          </w:p>
        </w:tc>
        <w:tc>
          <w:tcPr>
            <w:tcW w:w="10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2Q13</w:t>
            </w:r>
          </w:p>
        </w:tc>
        <w:tc>
          <w:tcPr>
            <w:tcW w:w="220" w:type="dxa"/>
            <w:vAlign w:val="bottom"/>
            <w:tcBorders>
              <w:bottom w:val="single" w:sz="8" w:color="CCFFCC"/>
            </w:tcBorders>
          </w:tcPr>
          <w:p>
            <w:pPr>
              <w:spacing w:after="0"/>
              <w:rPr>
                <w:sz w:val="19"/>
                <w:szCs w:val="19"/>
                <w:color w:val="auto"/>
              </w:rPr>
            </w:pPr>
          </w:p>
        </w:tc>
        <w:tc>
          <w:tcPr>
            <w:tcW w:w="10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1Q13</w:t>
            </w:r>
          </w:p>
        </w:tc>
        <w:tc>
          <w:tcPr>
            <w:tcW w:w="220" w:type="dxa"/>
            <w:vAlign w:val="bottom"/>
            <w:tcBorders>
              <w:bottom w:val="single" w:sz="8" w:color="CCFFCC"/>
            </w:tcBorders>
          </w:tcPr>
          <w:p>
            <w:pPr>
              <w:spacing w:after="0"/>
              <w:rPr>
                <w:sz w:val="19"/>
                <w:szCs w:val="19"/>
                <w:color w:val="auto"/>
              </w:rPr>
            </w:pPr>
          </w:p>
        </w:tc>
        <w:tc>
          <w:tcPr>
            <w:tcW w:w="10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2Q12</w:t>
            </w:r>
          </w:p>
        </w:tc>
        <w:tc>
          <w:tcPr>
            <w:tcW w:w="220" w:type="dxa"/>
            <w:vAlign w:val="bottom"/>
            <w:tcBorders>
              <w:bottom w:val="single" w:sz="8" w:color="CCFFCC"/>
            </w:tcBorders>
          </w:tcPr>
          <w:p>
            <w:pPr>
              <w:spacing w:after="0"/>
              <w:rPr>
                <w:sz w:val="19"/>
                <w:szCs w:val="19"/>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QoQ</w:t>
            </w:r>
          </w:p>
        </w:tc>
        <w:tc>
          <w:tcPr>
            <w:tcW w:w="260" w:type="dxa"/>
            <w:vAlign w:val="bottom"/>
            <w:tcBorders>
              <w:bottom w:val="single" w:sz="8" w:color="CCFFC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YoY</w:t>
            </w:r>
          </w:p>
        </w:tc>
        <w:tc>
          <w:tcPr>
            <w:tcW w:w="180" w:type="dxa"/>
            <w:vAlign w:val="bottom"/>
            <w:tcBorders>
              <w:bottom w:val="single" w:sz="8" w:color="CCFFCC"/>
            </w:tcBorders>
          </w:tcPr>
          <w:p>
            <w:pPr>
              <w:spacing w:after="0"/>
              <w:rPr>
                <w:sz w:val="19"/>
                <w:szCs w:val="19"/>
                <w:color w:val="auto"/>
              </w:rPr>
            </w:pPr>
          </w:p>
        </w:tc>
      </w:tr>
      <w:tr>
        <w:trPr>
          <w:trHeight w:val="199"/>
        </w:trPr>
        <w:tc>
          <w:tcPr>
            <w:tcW w:w="4000" w:type="dxa"/>
            <w:vAlign w:val="bottom"/>
            <w:shd w:val="clear" w:color="auto" w:fill="CCFFCC"/>
          </w:tcPr>
          <w:p>
            <w:pPr>
              <w:spacing w:after="0"/>
              <w:rPr>
                <w:sz w:val="20"/>
                <w:szCs w:val="20"/>
                <w:color w:val="auto"/>
              </w:rPr>
            </w:pPr>
            <w:r>
              <w:rPr>
                <w:rFonts w:ascii="Arial" w:cs="Arial" w:eastAsia="Arial" w:hAnsi="Arial"/>
                <w:sz w:val="16"/>
                <w:szCs w:val="16"/>
                <w:color w:val="auto"/>
              </w:rPr>
              <w:t>Capital stock</w:t>
            </w:r>
          </w:p>
        </w:tc>
        <w:tc>
          <w:tcPr>
            <w:tcW w:w="100" w:type="dxa"/>
            <w:vAlign w:val="bottom"/>
            <w:shd w:val="clear" w:color="auto" w:fill="CCFFCC"/>
          </w:tcPr>
          <w:p>
            <w:pPr>
              <w:spacing w:after="0"/>
              <w:rPr>
                <w:sz w:val="17"/>
                <w:szCs w:val="17"/>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1,237,652</w:t>
            </w:r>
          </w:p>
        </w:tc>
        <w:tc>
          <w:tcPr>
            <w:tcW w:w="220" w:type="dxa"/>
            <w:vAlign w:val="bottom"/>
            <w:shd w:val="clear" w:color="auto" w:fill="CCFFCC"/>
          </w:tcPr>
          <w:p>
            <w:pPr>
              <w:spacing w:after="0"/>
              <w:rPr>
                <w:sz w:val="17"/>
                <w:szCs w:val="17"/>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1,237,632</w:t>
            </w:r>
          </w:p>
        </w:tc>
        <w:tc>
          <w:tcPr>
            <w:tcW w:w="220" w:type="dxa"/>
            <w:vAlign w:val="bottom"/>
            <w:shd w:val="clear" w:color="auto" w:fill="CCFFCC"/>
          </w:tcPr>
          <w:p>
            <w:pPr>
              <w:spacing w:after="0"/>
              <w:rPr>
                <w:sz w:val="17"/>
                <w:szCs w:val="17"/>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1,019,491</w:t>
            </w:r>
          </w:p>
        </w:tc>
        <w:tc>
          <w:tcPr>
            <w:tcW w:w="220" w:type="dxa"/>
            <w:vAlign w:val="bottom"/>
            <w:shd w:val="clear" w:color="auto" w:fill="CCFFCC"/>
          </w:tcPr>
          <w:p>
            <w:pPr>
              <w:spacing w:after="0"/>
              <w:rPr>
                <w:sz w:val="17"/>
                <w:szCs w:val="17"/>
                <w:color w:val="auto"/>
              </w:rPr>
            </w:pPr>
          </w:p>
        </w:tc>
        <w:tc>
          <w:tcPr>
            <w:tcW w:w="1280" w:type="dxa"/>
            <w:vAlign w:val="bottom"/>
            <w:gridSpan w:val="2"/>
            <w:shd w:val="clear" w:color="auto" w:fill="CCFFCC"/>
          </w:tcPr>
          <w:p>
            <w:pPr>
              <w:jc w:val="right"/>
              <w:ind w:right="39"/>
              <w:spacing w:after="0"/>
              <w:rPr>
                <w:sz w:val="20"/>
                <w:szCs w:val="20"/>
                <w:color w:val="auto"/>
              </w:rPr>
            </w:pPr>
            <w:r>
              <w:rPr>
                <w:rFonts w:ascii="Arial" w:cs="Arial" w:eastAsia="Arial" w:hAnsi="Arial"/>
                <w:sz w:val="16"/>
                <w:szCs w:val="16"/>
                <w:color w:val="auto"/>
              </w:rPr>
              <w:t>0.0%</w:t>
            </w:r>
          </w:p>
        </w:tc>
        <w:tc>
          <w:tcPr>
            <w:tcW w:w="300" w:type="dxa"/>
            <w:vAlign w:val="bottom"/>
            <w:shd w:val="clear" w:color="auto" w:fill="CCFFCC"/>
          </w:tcPr>
          <w:p>
            <w:pPr>
              <w:spacing w:after="0"/>
              <w:rPr>
                <w:sz w:val="17"/>
                <w:szCs w:val="17"/>
                <w:color w:val="auto"/>
              </w:rPr>
            </w:pP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21.4%</w:t>
            </w:r>
          </w:p>
        </w:tc>
      </w:tr>
      <w:tr>
        <w:trPr>
          <w:trHeight w:val="203"/>
        </w:trPr>
        <w:tc>
          <w:tcPr>
            <w:tcW w:w="4100" w:type="dxa"/>
            <w:vAlign w:val="bottom"/>
            <w:gridSpan w:val="2"/>
          </w:tcPr>
          <w:p>
            <w:pPr>
              <w:spacing w:after="0"/>
              <w:rPr>
                <w:sz w:val="20"/>
                <w:szCs w:val="20"/>
                <w:color w:val="auto"/>
              </w:rPr>
            </w:pPr>
            <w:r>
              <w:rPr>
                <w:rFonts w:ascii="Arial" w:cs="Arial" w:eastAsia="Arial" w:hAnsi="Arial"/>
                <w:sz w:val="16"/>
                <w:szCs w:val="16"/>
                <w:color w:val="auto"/>
              </w:rPr>
              <w:t>Reserves</w:t>
            </w:r>
          </w:p>
        </w:tc>
        <w:tc>
          <w:tcPr>
            <w:tcW w:w="1020" w:type="dxa"/>
            <w:vAlign w:val="bottom"/>
          </w:tcPr>
          <w:p>
            <w:pPr>
              <w:jc w:val="right"/>
              <w:spacing w:after="0"/>
              <w:rPr>
                <w:sz w:val="20"/>
                <w:szCs w:val="20"/>
                <w:color w:val="auto"/>
              </w:rPr>
            </w:pPr>
            <w:r>
              <w:rPr>
                <w:rFonts w:ascii="Arial" w:cs="Arial" w:eastAsia="Arial" w:hAnsi="Arial"/>
                <w:sz w:val="16"/>
                <w:szCs w:val="16"/>
                <w:color w:val="auto"/>
              </w:rPr>
              <w:t>788,325</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788,325</w:t>
            </w:r>
          </w:p>
        </w:tc>
        <w:tc>
          <w:tcPr>
            <w:tcW w:w="220" w:type="dxa"/>
            <w:vAlign w:val="bottom"/>
          </w:tcPr>
          <w:p>
            <w:pPr>
              <w:spacing w:after="0"/>
              <w:rPr>
                <w:sz w:val="17"/>
                <w:szCs w:val="17"/>
                <w:color w:val="auto"/>
              </w:rPr>
            </w:pPr>
          </w:p>
        </w:tc>
        <w:tc>
          <w:tcPr>
            <w:tcW w:w="1240" w:type="dxa"/>
            <w:vAlign w:val="bottom"/>
            <w:gridSpan w:val="2"/>
          </w:tcPr>
          <w:p>
            <w:pPr>
              <w:jc w:val="right"/>
              <w:ind w:right="139"/>
              <w:spacing w:after="0"/>
              <w:rPr>
                <w:sz w:val="20"/>
                <w:szCs w:val="20"/>
                <w:color w:val="auto"/>
              </w:rPr>
            </w:pPr>
            <w:r>
              <w:rPr>
                <w:rFonts w:ascii="Arial" w:cs="Arial" w:eastAsia="Arial" w:hAnsi="Arial"/>
                <w:sz w:val="16"/>
                <w:szCs w:val="16"/>
                <w:color w:val="auto"/>
              </w:rPr>
              <w:t>711,685</w:t>
            </w:r>
          </w:p>
        </w:tc>
        <w:tc>
          <w:tcPr>
            <w:tcW w:w="1280" w:type="dxa"/>
            <w:vAlign w:val="bottom"/>
            <w:gridSpan w:val="2"/>
          </w:tcPr>
          <w:p>
            <w:pPr>
              <w:jc w:val="right"/>
              <w:ind w:right="39"/>
              <w:spacing w:after="0"/>
              <w:rPr>
                <w:sz w:val="20"/>
                <w:szCs w:val="20"/>
                <w:color w:val="auto"/>
              </w:rPr>
            </w:pPr>
            <w:r>
              <w:rPr>
                <w:rFonts w:ascii="Arial" w:cs="Arial" w:eastAsia="Arial" w:hAnsi="Arial"/>
                <w:sz w:val="16"/>
                <w:szCs w:val="16"/>
                <w:color w:val="auto"/>
              </w:rPr>
              <w:t>0.0%</w:t>
            </w:r>
          </w:p>
        </w:tc>
        <w:tc>
          <w:tcPr>
            <w:tcW w:w="3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10.8%</w:t>
            </w:r>
          </w:p>
        </w:tc>
      </w:tr>
      <w:tr>
        <w:trPr>
          <w:trHeight w:val="203"/>
        </w:trPr>
        <w:tc>
          <w:tcPr>
            <w:tcW w:w="410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Unrealized gains and losses</w:t>
            </w:r>
          </w:p>
        </w:tc>
        <w:tc>
          <w:tcPr>
            <w:tcW w:w="1240" w:type="dxa"/>
            <w:vAlign w:val="bottom"/>
            <w:gridSpan w:val="2"/>
            <w:shd w:val="clear" w:color="auto" w:fill="CCFFCC"/>
          </w:tcPr>
          <w:p>
            <w:pPr>
              <w:jc w:val="right"/>
              <w:ind w:right="144"/>
              <w:spacing w:after="0"/>
              <w:rPr>
                <w:sz w:val="20"/>
                <w:szCs w:val="20"/>
                <w:color w:val="auto"/>
              </w:rPr>
            </w:pPr>
            <w:r>
              <w:rPr>
                <w:rFonts w:ascii="Arial" w:cs="Arial" w:eastAsia="Arial" w:hAnsi="Arial"/>
                <w:sz w:val="16"/>
                <w:szCs w:val="16"/>
                <w:color w:val="auto"/>
              </w:rPr>
              <w:t>119,017</w:t>
            </w:r>
          </w:p>
        </w:tc>
        <w:tc>
          <w:tcPr>
            <w:tcW w:w="10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167,256</w:t>
            </w:r>
          </w:p>
        </w:tc>
        <w:tc>
          <w:tcPr>
            <w:tcW w:w="220" w:type="dxa"/>
            <w:vAlign w:val="bottom"/>
            <w:shd w:val="clear" w:color="auto" w:fill="CCFFCC"/>
          </w:tcPr>
          <w:p>
            <w:pPr>
              <w:spacing w:after="0"/>
              <w:rPr>
                <w:sz w:val="17"/>
                <w:szCs w:val="17"/>
                <w:color w:val="auto"/>
              </w:rPr>
            </w:pPr>
          </w:p>
        </w:tc>
        <w:tc>
          <w:tcPr>
            <w:tcW w:w="1240" w:type="dxa"/>
            <w:vAlign w:val="bottom"/>
            <w:gridSpan w:val="2"/>
            <w:shd w:val="clear" w:color="auto" w:fill="CCFFCC"/>
          </w:tcPr>
          <w:p>
            <w:pPr>
              <w:jc w:val="right"/>
              <w:ind w:right="139"/>
              <w:spacing w:after="0"/>
              <w:rPr>
                <w:sz w:val="20"/>
                <w:szCs w:val="20"/>
                <w:color w:val="auto"/>
              </w:rPr>
            </w:pPr>
            <w:r>
              <w:rPr>
                <w:rFonts w:ascii="Arial" w:cs="Arial" w:eastAsia="Arial" w:hAnsi="Arial"/>
                <w:sz w:val="16"/>
                <w:szCs w:val="16"/>
                <w:color w:val="auto"/>
              </w:rPr>
              <w:t>136,280</w:t>
            </w:r>
          </w:p>
        </w:tc>
        <w:tc>
          <w:tcPr>
            <w:tcW w:w="1280" w:type="dxa"/>
            <w:vAlign w:val="bottom"/>
            <w:gridSpan w:val="2"/>
            <w:shd w:val="clear" w:color="auto" w:fill="CCFFCC"/>
          </w:tcPr>
          <w:p>
            <w:pPr>
              <w:jc w:val="right"/>
              <w:ind w:right="39"/>
              <w:spacing w:after="0"/>
              <w:rPr>
                <w:sz w:val="20"/>
                <w:szCs w:val="20"/>
                <w:color w:val="auto"/>
              </w:rPr>
            </w:pPr>
            <w:r>
              <w:rPr>
                <w:rFonts w:ascii="Arial" w:cs="Arial" w:eastAsia="Arial" w:hAnsi="Arial"/>
                <w:sz w:val="16"/>
                <w:szCs w:val="16"/>
                <w:color w:val="auto"/>
              </w:rPr>
              <w:t>-28.8%</w:t>
            </w:r>
          </w:p>
        </w:tc>
        <w:tc>
          <w:tcPr>
            <w:tcW w:w="300" w:type="dxa"/>
            <w:vAlign w:val="bottom"/>
            <w:shd w:val="clear" w:color="auto" w:fill="CCFFCC"/>
          </w:tcPr>
          <w:p>
            <w:pPr>
              <w:spacing w:after="0"/>
              <w:rPr>
                <w:sz w:val="17"/>
                <w:szCs w:val="17"/>
                <w:color w:val="auto"/>
              </w:rPr>
            </w:pP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-12.7%</w:t>
            </w:r>
          </w:p>
        </w:tc>
      </w:tr>
      <w:tr>
        <w:trPr>
          <w:trHeight w:val="203"/>
        </w:trPr>
        <w:tc>
          <w:tcPr>
            <w:tcW w:w="4100" w:type="dxa"/>
            <w:vAlign w:val="bottom"/>
            <w:gridSpan w:val="2"/>
          </w:tcPr>
          <w:p>
            <w:pPr>
              <w:spacing w:after="0"/>
              <w:rPr>
                <w:sz w:val="20"/>
                <w:szCs w:val="20"/>
                <w:color w:val="auto"/>
              </w:rPr>
            </w:pPr>
            <w:r>
              <w:rPr>
                <w:rFonts w:ascii="Arial" w:cs="Arial" w:eastAsia="Arial" w:hAnsi="Arial"/>
                <w:sz w:val="16"/>
                <w:szCs w:val="16"/>
                <w:color w:val="auto"/>
              </w:rPr>
              <w:t>Retained earnings</w:t>
            </w:r>
          </w:p>
        </w:tc>
        <w:tc>
          <w:tcPr>
            <w:tcW w:w="1020" w:type="dxa"/>
            <w:vAlign w:val="bottom"/>
          </w:tcPr>
          <w:p>
            <w:pPr>
              <w:jc w:val="right"/>
              <w:spacing w:after="0"/>
              <w:rPr>
                <w:sz w:val="20"/>
                <w:szCs w:val="20"/>
                <w:color w:val="auto"/>
              </w:rPr>
            </w:pPr>
            <w:r>
              <w:rPr>
                <w:rFonts w:ascii="Arial" w:cs="Arial" w:eastAsia="Arial" w:hAnsi="Arial"/>
                <w:sz w:val="16"/>
                <w:szCs w:val="16"/>
                <w:color w:val="auto"/>
              </w:rPr>
              <w:t>357,467</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357,487</w:t>
            </w:r>
          </w:p>
        </w:tc>
        <w:tc>
          <w:tcPr>
            <w:tcW w:w="220" w:type="dxa"/>
            <w:vAlign w:val="bottom"/>
          </w:tcPr>
          <w:p>
            <w:pPr>
              <w:spacing w:after="0"/>
              <w:rPr>
                <w:sz w:val="17"/>
                <w:szCs w:val="17"/>
                <w:color w:val="auto"/>
              </w:rPr>
            </w:pPr>
          </w:p>
        </w:tc>
        <w:tc>
          <w:tcPr>
            <w:tcW w:w="1240" w:type="dxa"/>
            <w:vAlign w:val="bottom"/>
            <w:gridSpan w:val="2"/>
          </w:tcPr>
          <w:p>
            <w:pPr>
              <w:jc w:val="right"/>
              <w:ind w:right="139"/>
              <w:spacing w:after="0"/>
              <w:rPr>
                <w:sz w:val="20"/>
                <w:szCs w:val="20"/>
                <w:color w:val="auto"/>
              </w:rPr>
            </w:pPr>
            <w:r>
              <w:rPr>
                <w:rFonts w:ascii="Arial" w:cs="Arial" w:eastAsia="Arial" w:hAnsi="Arial"/>
                <w:sz w:val="16"/>
                <w:szCs w:val="16"/>
                <w:color w:val="auto"/>
              </w:rPr>
              <w:t>274,898</w:t>
            </w:r>
          </w:p>
        </w:tc>
        <w:tc>
          <w:tcPr>
            <w:tcW w:w="1280" w:type="dxa"/>
            <w:vAlign w:val="bottom"/>
            <w:gridSpan w:val="2"/>
          </w:tcPr>
          <w:p>
            <w:pPr>
              <w:jc w:val="right"/>
              <w:ind w:right="39"/>
              <w:spacing w:after="0"/>
              <w:rPr>
                <w:sz w:val="20"/>
                <w:szCs w:val="20"/>
                <w:color w:val="auto"/>
              </w:rPr>
            </w:pPr>
            <w:r>
              <w:rPr>
                <w:rFonts w:ascii="Arial" w:cs="Arial" w:eastAsia="Arial" w:hAnsi="Arial"/>
                <w:sz w:val="16"/>
                <w:szCs w:val="16"/>
                <w:color w:val="auto"/>
              </w:rPr>
              <w:t>0.0%</w:t>
            </w:r>
          </w:p>
        </w:tc>
        <w:tc>
          <w:tcPr>
            <w:tcW w:w="3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30.0%</w:t>
            </w:r>
          </w:p>
        </w:tc>
      </w:tr>
      <w:tr>
        <w:trPr>
          <w:trHeight w:val="216"/>
        </w:trPr>
        <w:tc>
          <w:tcPr>
            <w:tcW w:w="410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Income for the year</w:t>
            </w:r>
          </w:p>
        </w:tc>
        <w:tc>
          <w:tcPr>
            <w:tcW w:w="10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168,419</w:t>
            </w: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141,947</w:t>
            </w:r>
          </w:p>
        </w:tc>
        <w:tc>
          <w:tcPr>
            <w:tcW w:w="2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39"/>
              <w:spacing w:after="0"/>
              <w:rPr>
                <w:sz w:val="20"/>
                <w:szCs w:val="20"/>
                <w:color w:val="auto"/>
              </w:rPr>
            </w:pPr>
            <w:r>
              <w:rPr>
                <w:rFonts w:ascii="Arial" w:cs="Arial" w:eastAsia="Arial" w:hAnsi="Arial"/>
                <w:sz w:val="16"/>
                <w:szCs w:val="16"/>
                <w:color w:val="auto"/>
              </w:rPr>
              <w:t>298,354</w:t>
            </w:r>
          </w:p>
        </w:tc>
        <w:tc>
          <w:tcPr>
            <w:tcW w:w="1280" w:type="dxa"/>
            <w:vAlign w:val="bottom"/>
            <w:gridSpan w:val="2"/>
            <w:shd w:val="clear" w:color="auto" w:fill="CCFFCC"/>
          </w:tcPr>
          <w:p>
            <w:pPr>
              <w:jc w:val="right"/>
              <w:ind w:right="39"/>
              <w:spacing w:after="0"/>
              <w:rPr>
                <w:sz w:val="20"/>
                <w:szCs w:val="20"/>
                <w:color w:val="auto"/>
              </w:rPr>
            </w:pPr>
            <w:r>
              <w:rPr>
                <w:rFonts w:ascii="Arial" w:cs="Arial" w:eastAsia="Arial" w:hAnsi="Arial"/>
                <w:sz w:val="16"/>
                <w:szCs w:val="16"/>
                <w:color w:val="auto"/>
              </w:rPr>
              <w:t>18.6%</w:t>
            </w:r>
          </w:p>
        </w:tc>
        <w:tc>
          <w:tcPr>
            <w:tcW w:w="3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-43.6%</w:t>
            </w:r>
          </w:p>
        </w:tc>
      </w:tr>
      <w:tr>
        <w:trPr>
          <w:trHeight w:val="196"/>
        </w:trPr>
        <w:tc>
          <w:tcPr>
            <w:tcW w:w="4100" w:type="dxa"/>
            <w:vAlign w:val="bottom"/>
            <w:tcBorders>
              <w:bottom w:val="single" w:sz="8" w:color="CCFFCC"/>
            </w:tcBorders>
            <w:gridSpan w:val="2"/>
          </w:tcPr>
          <w:p>
            <w:pPr>
              <w:spacing w:after="0"/>
              <w:rPr>
                <w:sz w:val="20"/>
                <w:szCs w:val="20"/>
                <w:color w:val="auto"/>
              </w:rPr>
            </w:pPr>
            <w:r>
              <w:rPr>
                <w:rFonts w:ascii="Arial" w:cs="Arial" w:eastAsia="Arial" w:hAnsi="Arial"/>
                <w:sz w:val="16"/>
                <w:szCs w:val="16"/>
                <w:b w:val="1"/>
                <w:bCs w:val="1"/>
                <w:color w:val="auto"/>
              </w:rPr>
              <w:t>Net shareholders' equity</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2,670,880</w:t>
            </w:r>
          </w:p>
        </w:tc>
        <w:tc>
          <w:tcPr>
            <w:tcW w:w="220" w:type="dxa"/>
            <w:vAlign w:val="bottom"/>
            <w:tcBorders>
              <w:bottom w:val="single" w:sz="8" w:color="CCFFCC"/>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2,692,647</w:t>
            </w:r>
          </w:p>
        </w:tc>
        <w:tc>
          <w:tcPr>
            <w:tcW w:w="220" w:type="dxa"/>
            <w:vAlign w:val="bottom"/>
            <w:tcBorders>
              <w:bottom w:val="single" w:sz="8" w:color="CCFFCC"/>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2,440,708</w:t>
            </w:r>
          </w:p>
        </w:tc>
        <w:tc>
          <w:tcPr>
            <w:tcW w:w="220" w:type="dxa"/>
            <w:vAlign w:val="bottom"/>
            <w:tcBorders>
              <w:bottom w:val="single" w:sz="8" w:color="CCFFCC"/>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-0.8</w:t>
            </w:r>
          </w:p>
        </w:tc>
        <w:tc>
          <w:tcPr>
            <w:tcW w:w="260" w:type="dxa"/>
            <w:vAlign w:val="bottom"/>
            <w:tcBorders>
              <w:bottom w:val="single" w:sz="8" w:color="CCFFCC"/>
            </w:tcBorders>
          </w:tcPr>
          <w:p>
            <w:pPr>
              <w:jc w:val="right"/>
              <w:ind w:right="19"/>
              <w:spacing w:after="0"/>
              <w:rPr>
                <w:sz w:val="20"/>
                <w:szCs w:val="20"/>
                <w:color w:val="auto"/>
              </w:rPr>
            </w:pPr>
            <w:r>
              <w:rPr>
                <w:rFonts w:ascii="Arial" w:cs="Arial" w:eastAsia="Arial" w:hAnsi="Arial"/>
                <w:sz w:val="16"/>
                <w:szCs w:val="16"/>
                <w:b w:val="1"/>
                <w:bCs w:val="1"/>
                <w:color w:val="auto"/>
                <w:w w:val="98"/>
              </w:rPr>
              <w:t>%</w:t>
            </w:r>
          </w:p>
        </w:tc>
        <w:tc>
          <w:tcPr>
            <w:tcW w:w="3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9.4</w:t>
            </w:r>
          </w:p>
        </w:tc>
        <w:tc>
          <w:tcPr>
            <w:tcW w:w="180" w:type="dxa"/>
            <w:vAlign w:val="bottom"/>
            <w:tcBorders>
              <w:bottom w:val="single" w:sz="8" w:color="CCFFCC"/>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07"/>
        </w:trPr>
        <w:tc>
          <w:tcPr>
            <w:tcW w:w="410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Return on average equity (ROAE)</w:t>
            </w: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4.0</w:t>
            </w:r>
          </w:p>
        </w:tc>
        <w:tc>
          <w:tcPr>
            <w:tcW w:w="220" w:type="dxa"/>
            <w:vAlign w:val="bottom"/>
            <w:shd w:val="clear" w:color="auto" w:fill="CCFFCC"/>
          </w:tcPr>
          <w:p>
            <w:pPr>
              <w:jc w:val="right"/>
              <w:ind w:right="24"/>
              <w:spacing w:after="0"/>
              <w:rPr>
                <w:sz w:val="20"/>
                <w:szCs w:val="20"/>
                <w:color w:val="auto"/>
              </w:rPr>
            </w:pPr>
            <w:r>
              <w:rPr>
                <w:rFonts w:ascii="Arial" w:cs="Arial" w:eastAsia="Arial" w:hAnsi="Arial"/>
                <w:sz w:val="15"/>
                <w:szCs w:val="15"/>
                <w:color w:val="auto"/>
                <w:w w:val="74"/>
              </w:rPr>
              <w:t>%</w:t>
            </w: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20.8</w:t>
            </w:r>
          </w:p>
        </w:tc>
        <w:tc>
          <w:tcPr>
            <w:tcW w:w="2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4"/>
              </w:rPr>
              <w:t>%</w:t>
            </w: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21.4</w:t>
            </w:r>
          </w:p>
        </w:tc>
        <w:tc>
          <w:tcPr>
            <w:tcW w:w="2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4"/>
              </w:rPr>
              <w:t>%</w:t>
            </w:r>
          </w:p>
        </w:tc>
        <w:tc>
          <w:tcPr>
            <w:tcW w:w="10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evolution of net shareholders’ equity in 2Q13 (-0.8% QoQ) was mainly due to a decrease in unrealized gains. This was associated with a reduction in securities available for sale, which was attributable to the MtM fluctuations posted in the past few months. The YoY analysis shows that net shareholders’ equity increased +9.4%, which was due mainly to a capitalization of earnings from 2012.</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capital adequacy ratio (BIS) was situated at 15.06%, which tops the figure reported at the end of 1Q13 (14.65%). This was in line with +2.2% growth in regulatory capital in 2Q13 and was associated with the slight 0.6% decline in risk-weighted assets (RWA) due to a contraction in loan growth.</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Finally, it is important to note that the TIER 1 and TIER 1 Common remained within established limits, going from 10.30% in 1Q13 to 9.86% in 2Q13 in the case of TIER 1 and from 8.49% in 1Q13 to 8.58% in 2Q13 in the case of TIER 1 Common. Both ratios are above our internal limits, which are situated at 8.5% and 8.0%, respectively.</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6" w:name="page27"/>
    <w:bookmarkEnd w:id="26"/>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5260" w:type="dxa"/>
            <w:vAlign w:val="bottom"/>
            <w:gridSpan w:val="3"/>
          </w:tcPr>
          <w:p>
            <w:pPr>
              <w:spacing w:after="0"/>
              <w:rPr>
                <w:sz w:val="20"/>
                <w:szCs w:val="20"/>
                <w:color w:val="auto"/>
              </w:rPr>
            </w:pPr>
            <w:r>
              <w:rPr>
                <w:rFonts w:ascii="Arial" w:cs="Arial" w:eastAsia="Arial" w:hAnsi="Arial"/>
                <w:sz w:val="14"/>
                <w:szCs w:val="14"/>
                <w:b w:val="1"/>
                <w:bCs w:val="1"/>
                <w:color w:val="auto"/>
              </w:rPr>
              <w:t>Regulatory Capital and Capital Adequacy Ratios</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w w:val="99"/>
              </w:rPr>
              <w:t>Balance as of</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3"/>
          </w:tcPr>
          <w:p>
            <w:pPr>
              <w:ind w:left="820"/>
              <w:spacing w:after="0"/>
              <w:rPr>
                <w:sz w:val="20"/>
                <w:szCs w:val="20"/>
                <w:color w:val="auto"/>
              </w:rPr>
            </w:pPr>
            <w:r>
              <w:rPr>
                <w:rFonts w:ascii="Arial" w:cs="Arial" w:eastAsia="Arial" w:hAnsi="Arial"/>
                <w:sz w:val="14"/>
                <w:szCs w:val="14"/>
                <w:b w:val="1"/>
                <w:bCs w:val="1"/>
                <w:color w:val="auto"/>
              </w:rPr>
              <w:t>Change %</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60" w:type="dxa"/>
            <w:vAlign w:val="bottom"/>
            <w:gridSpan w:val="3"/>
          </w:tcPr>
          <w:p>
            <w:pPr>
              <w:spacing w:after="0"/>
              <w:rPr>
                <w:sz w:val="20"/>
                <w:szCs w:val="20"/>
                <w:color w:val="auto"/>
              </w:rPr>
            </w:pPr>
            <w:r>
              <w:rPr>
                <w:rFonts w:ascii="Arial" w:cs="Arial" w:eastAsia="Arial" w:hAnsi="Arial"/>
                <w:sz w:val="14"/>
                <w:szCs w:val="14"/>
                <w:color w:val="auto"/>
              </w:rPr>
              <w:t>US$ (000)</w:t>
            </w:r>
          </w:p>
        </w:tc>
        <w:tc>
          <w:tcPr>
            <w:tcW w:w="1240" w:type="dxa"/>
            <w:vAlign w:val="bottom"/>
            <w:gridSpan w:val="2"/>
          </w:tcPr>
          <w:p>
            <w:pPr>
              <w:jc w:val="right"/>
              <w:ind w:right="488"/>
              <w:spacing w:after="0"/>
              <w:rPr>
                <w:sz w:val="20"/>
                <w:szCs w:val="20"/>
                <w:color w:val="auto"/>
              </w:rPr>
            </w:pPr>
            <w:r>
              <w:rPr>
                <w:rFonts w:ascii="Arial" w:cs="Arial" w:eastAsia="Arial" w:hAnsi="Arial"/>
                <w:sz w:val="14"/>
                <w:szCs w:val="14"/>
                <w:b w:val="1"/>
                <w:bCs w:val="1"/>
                <w:color w:val="auto"/>
              </w:rPr>
              <w:t>2Q13</w:t>
            </w:r>
          </w:p>
        </w:tc>
        <w:tc>
          <w:tcPr>
            <w:tcW w:w="1240" w:type="dxa"/>
            <w:vAlign w:val="bottom"/>
            <w:gridSpan w:val="2"/>
          </w:tcPr>
          <w:p>
            <w:pPr>
              <w:jc w:val="right"/>
              <w:ind w:right="488"/>
              <w:spacing w:after="0"/>
              <w:rPr>
                <w:sz w:val="20"/>
                <w:szCs w:val="20"/>
                <w:color w:val="auto"/>
              </w:rPr>
            </w:pPr>
            <w:r>
              <w:rPr>
                <w:rFonts w:ascii="Arial" w:cs="Arial" w:eastAsia="Arial" w:hAnsi="Arial"/>
                <w:sz w:val="14"/>
                <w:szCs w:val="14"/>
                <w:b w:val="1"/>
                <w:bCs w:val="1"/>
                <w:color w:val="auto"/>
              </w:rPr>
              <w:t>1Q13</w:t>
            </w:r>
          </w:p>
        </w:tc>
        <w:tc>
          <w:tcPr>
            <w:tcW w:w="1240" w:type="dxa"/>
            <w:vAlign w:val="bottom"/>
            <w:gridSpan w:val="2"/>
          </w:tcPr>
          <w:p>
            <w:pPr>
              <w:jc w:val="right"/>
              <w:ind w:right="488"/>
              <w:spacing w:after="0"/>
              <w:rPr>
                <w:sz w:val="20"/>
                <w:szCs w:val="20"/>
                <w:color w:val="auto"/>
              </w:rPr>
            </w:pPr>
            <w:r>
              <w:rPr>
                <w:rFonts w:ascii="Arial" w:cs="Arial" w:eastAsia="Arial" w:hAnsi="Arial"/>
                <w:sz w:val="14"/>
                <w:szCs w:val="14"/>
                <w:b w:val="1"/>
                <w:bCs w:val="1"/>
                <w:color w:val="auto"/>
              </w:rPr>
              <w:t>2Q12</w:t>
            </w:r>
          </w:p>
        </w:tc>
        <w:tc>
          <w:tcPr>
            <w:tcW w:w="1560" w:type="dxa"/>
            <w:vAlign w:val="bottom"/>
            <w:gridSpan w:val="3"/>
          </w:tcPr>
          <w:p>
            <w:pPr>
              <w:ind w:left="360"/>
              <w:spacing w:after="0"/>
              <w:rPr>
                <w:sz w:val="20"/>
                <w:szCs w:val="20"/>
                <w:color w:val="auto"/>
              </w:rPr>
            </w:pPr>
            <w:r>
              <w:rPr>
                <w:rFonts w:ascii="Arial" w:cs="Arial" w:eastAsia="Arial" w:hAnsi="Arial"/>
                <w:sz w:val="14"/>
                <w:szCs w:val="14"/>
                <w:b w:val="1"/>
                <w:bCs w:val="1"/>
                <w:color w:val="auto"/>
              </w:rPr>
              <w:t>QoQ</w:t>
            </w:r>
          </w:p>
        </w:tc>
        <w:tc>
          <w:tcPr>
            <w:tcW w:w="8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YoY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Capital Stock</w:t>
            </w:r>
          </w:p>
        </w:tc>
        <w:tc>
          <w:tcPr>
            <w:tcW w:w="100" w:type="dxa"/>
            <w:vAlign w:val="bottom"/>
            <w:vMerge w:val="continue"/>
            <w:shd w:val="clear" w:color="auto" w:fill="CCFFCC"/>
          </w:tcPr>
          <w:p>
            <w:pPr>
              <w:spacing w:after="0"/>
              <w:rPr>
                <w:sz w:val="12"/>
                <w:szCs w:val="12"/>
                <w:color w:val="auto"/>
              </w:rPr>
            </w:pPr>
          </w:p>
        </w:tc>
        <w:tc>
          <w:tcPr>
            <w:tcW w:w="102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1,348,892</w:t>
            </w: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1,449,446</w:t>
            </w:r>
          </w:p>
        </w:tc>
        <w:tc>
          <w:tcPr>
            <w:tcW w:w="220" w:type="dxa"/>
            <w:vAlign w:val="bottom"/>
            <w:vMerge w:val="continue"/>
            <w:shd w:val="clear" w:color="auto" w:fill="CCFFCC"/>
          </w:tcPr>
          <w:p>
            <w:pPr>
              <w:spacing w:after="0"/>
              <w:rPr>
                <w:sz w:val="12"/>
                <w:szCs w:val="12"/>
                <w:color w:val="auto"/>
              </w:rPr>
            </w:pPr>
          </w:p>
        </w:tc>
        <w:tc>
          <w:tcPr>
            <w:tcW w:w="102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1,193,522</w:t>
            </w:r>
          </w:p>
        </w:tc>
        <w:tc>
          <w:tcPr>
            <w:tcW w:w="220" w:type="dxa"/>
            <w:vAlign w:val="bottom"/>
            <w:shd w:val="clear" w:color="auto" w:fill="CCFFCC"/>
          </w:tcPr>
          <w:p>
            <w:pPr>
              <w:spacing w:after="0"/>
              <w:rPr>
                <w:sz w:val="12"/>
                <w:szCs w:val="12"/>
                <w:color w:val="auto"/>
              </w:rPr>
            </w:pPr>
          </w:p>
        </w:tc>
        <w:tc>
          <w:tcPr>
            <w:tcW w:w="1280" w:type="dxa"/>
            <w:vAlign w:val="bottom"/>
            <w:gridSpan w:val="2"/>
            <w:shd w:val="clear" w:color="auto" w:fill="CCFFCC"/>
          </w:tcPr>
          <w:p>
            <w:pPr>
              <w:jc w:val="right"/>
              <w:ind w:right="140"/>
              <w:spacing w:after="0" w:line="142" w:lineRule="exact"/>
              <w:rPr>
                <w:sz w:val="20"/>
                <w:szCs w:val="20"/>
                <w:color w:val="auto"/>
              </w:rPr>
            </w:pPr>
            <w:r>
              <w:rPr>
                <w:rFonts w:ascii="Arial" w:cs="Arial" w:eastAsia="Arial" w:hAnsi="Arial"/>
                <w:sz w:val="14"/>
                <w:szCs w:val="14"/>
                <w:color w:val="auto"/>
              </w:rPr>
              <w:t>-6.9%</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2" w:lineRule="exact"/>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tcPr>
          <w:p>
            <w:pPr>
              <w:spacing w:after="0" w:line="149" w:lineRule="exact"/>
              <w:rPr>
                <w:sz w:val="20"/>
                <w:szCs w:val="20"/>
                <w:color w:val="auto"/>
              </w:rPr>
            </w:pPr>
            <w:r>
              <w:rPr>
                <w:rFonts w:ascii="Arial" w:cs="Arial" w:eastAsia="Arial" w:hAnsi="Arial"/>
                <w:sz w:val="14"/>
                <w:szCs w:val="14"/>
                <w:color w:val="auto"/>
              </w:rPr>
              <w:t>Legal and Other capital reserves</w:t>
            </w:r>
          </w:p>
        </w:tc>
        <w:tc>
          <w:tcPr>
            <w:tcW w:w="12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870,679</w:t>
            </w:r>
          </w:p>
        </w:tc>
        <w:tc>
          <w:tcPr>
            <w:tcW w:w="12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935,585</w:t>
            </w:r>
          </w:p>
        </w:tc>
        <w:tc>
          <w:tcPr>
            <w:tcW w:w="12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832,863</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-6.9%</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Accumulated earnings with capitalization agreement</w:t>
            </w:r>
          </w:p>
        </w:tc>
        <w:tc>
          <w:tcPr>
            <w:tcW w:w="124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128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tcPr>
          <w:p>
            <w:pPr>
              <w:spacing w:after="0" w:line="149" w:lineRule="exact"/>
              <w:rPr>
                <w:sz w:val="20"/>
                <w:szCs w:val="20"/>
                <w:color w:val="auto"/>
              </w:rPr>
            </w:pPr>
            <w:r>
              <w:rPr>
                <w:rFonts w:ascii="Arial" w:cs="Arial" w:eastAsia="Arial" w:hAnsi="Arial"/>
                <w:sz w:val="14"/>
                <w:szCs w:val="14"/>
                <w:color w:val="auto"/>
              </w:rPr>
              <w:t>Loan loss reserves (1)</w:t>
            </w:r>
          </w:p>
        </w:tc>
        <w:tc>
          <w:tcPr>
            <w:tcW w:w="12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273,891</w:t>
            </w:r>
          </w:p>
        </w:tc>
        <w:tc>
          <w:tcPr>
            <w:tcW w:w="12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276,938</w:t>
            </w:r>
          </w:p>
        </w:tc>
        <w:tc>
          <w:tcPr>
            <w:tcW w:w="12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239,203</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Perpetual subordinated debt</w:t>
            </w:r>
          </w:p>
        </w:tc>
        <w:tc>
          <w:tcPr>
            <w:tcW w:w="124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250,000</w:t>
            </w:r>
          </w:p>
        </w:tc>
        <w:tc>
          <w:tcPr>
            <w:tcW w:w="124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250,000</w:t>
            </w:r>
          </w:p>
        </w:tc>
        <w:tc>
          <w:tcPr>
            <w:tcW w:w="124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250,000</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tcPr>
          <w:p>
            <w:pPr>
              <w:spacing w:after="0" w:line="149" w:lineRule="exact"/>
              <w:rPr>
                <w:sz w:val="20"/>
                <w:szCs w:val="20"/>
                <w:color w:val="auto"/>
              </w:rPr>
            </w:pPr>
            <w:r>
              <w:rPr>
                <w:rFonts w:ascii="Arial" w:cs="Arial" w:eastAsia="Arial" w:hAnsi="Arial"/>
                <w:sz w:val="14"/>
                <w:szCs w:val="14"/>
                <w:color w:val="auto"/>
              </w:rPr>
              <w:t>Subordinated Debt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1,223,717</w:t>
            </w:r>
          </w:p>
        </w:tc>
        <w:tc>
          <w:tcPr>
            <w:tcW w:w="220" w:type="dxa"/>
            <w:vAlign w:val="bottom"/>
          </w:tcPr>
          <w:p>
            <w:pPr>
              <w:spacing w:after="0"/>
              <w:rPr>
                <w:sz w:val="12"/>
                <w:szCs w:val="12"/>
                <w:color w:val="auto"/>
              </w:rPr>
            </w:pPr>
          </w:p>
        </w:tc>
        <w:tc>
          <w:tcPr>
            <w:tcW w:w="12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1,076,834</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1,090,175</w:t>
            </w:r>
          </w:p>
        </w:tc>
        <w:tc>
          <w:tcPr>
            <w:tcW w:w="220" w:type="dxa"/>
            <w:vAlign w:val="bottom"/>
          </w:tcPr>
          <w:p>
            <w:pPr>
              <w:spacing w:after="0"/>
              <w:rPr>
                <w:sz w:val="12"/>
                <w:szCs w:val="12"/>
                <w:color w:val="auto"/>
              </w:rPr>
            </w:pP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13.6%</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Unrealized profit (loss)</w:t>
            </w:r>
          </w:p>
        </w:tc>
        <w:tc>
          <w:tcPr>
            <w:tcW w:w="124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128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tcPr>
          <w:p>
            <w:pPr>
              <w:spacing w:after="0" w:line="149" w:lineRule="exact"/>
              <w:rPr>
                <w:sz w:val="20"/>
                <w:szCs w:val="20"/>
                <w:color w:val="auto"/>
              </w:rPr>
            </w:pPr>
            <w:r>
              <w:rPr>
                <w:rFonts w:ascii="Arial" w:cs="Arial" w:eastAsia="Arial" w:hAnsi="Arial"/>
                <w:sz w:val="14"/>
                <w:szCs w:val="14"/>
                <w:color w:val="auto"/>
              </w:rPr>
              <w:t>Investment in subsidiaries and others, net of unrealized profit and net income</w:t>
            </w:r>
          </w:p>
        </w:tc>
        <w:tc>
          <w:tcPr>
            <w:tcW w:w="124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(253,348)</w:t>
            </w:r>
          </w:p>
        </w:tc>
        <w:tc>
          <w:tcPr>
            <w:tcW w:w="124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(351,230)</w:t>
            </w:r>
          </w:p>
        </w:tc>
        <w:tc>
          <w:tcPr>
            <w:tcW w:w="124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(284,203)</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-27.9%</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shd w:val="clear" w:color="auto" w:fill="CCFFCC"/>
          </w:tcPr>
          <w:p>
            <w:pPr>
              <w:ind w:left="160"/>
              <w:spacing w:after="0" w:line="149" w:lineRule="exact"/>
              <w:rPr>
                <w:sz w:val="20"/>
                <w:szCs w:val="20"/>
                <w:color w:val="auto"/>
              </w:rPr>
            </w:pPr>
            <w:r>
              <w:rPr>
                <w:rFonts w:ascii="Arial" w:cs="Arial" w:eastAsia="Arial" w:hAnsi="Arial"/>
                <w:sz w:val="14"/>
                <w:szCs w:val="14"/>
                <w:color w:val="auto"/>
              </w:rPr>
              <w:t>Investment in subsidiaries and others</w:t>
            </w:r>
          </w:p>
        </w:tc>
        <w:tc>
          <w:tcPr>
            <w:tcW w:w="124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460,780</w:t>
            </w:r>
          </w:p>
        </w:tc>
        <w:tc>
          <w:tcPr>
            <w:tcW w:w="124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576,485</w:t>
            </w:r>
          </w:p>
        </w:tc>
        <w:tc>
          <w:tcPr>
            <w:tcW w:w="124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545,672</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-20.1%</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Unrealized profit and net income in subsidiaries</w:t>
            </w:r>
          </w:p>
        </w:tc>
        <w:tc>
          <w:tcPr>
            <w:tcW w:w="12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207,432</w:t>
            </w:r>
          </w:p>
        </w:tc>
        <w:tc>
          <w:tcPr>
            <w:tcW w:w="12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225,255</w:t>
            </w:r>
          </w:p>
        </w:tc>
        <w:tc>
          <w:tcPr>
            <w:tcW w:w="12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261,470</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-7.9%</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Goodwill</w:t>
            </w:r>
          </w:p>
        </w:tc>
        <w:tc>
          <w:tcPr>
            <w:tcW w:w="1240" w:type="dxa"/>
            <w:vAlign w:val="bottom"/>
            <w:gridSpan w:val="2"/>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(43,883)</w:t>
            </w:r>
          </w:p>
        </w:tc>
        <w:tc>
          <w:tcPr>
            <w:tcW w:w="1240" w:type="dxa"/>
            <w:vAlign w:val="bottom"/>
            <w:gridSpan w:val="2"/>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(47,155)</w:t>
            </w:r>
          </w:p>
        </w:tc>
        <w:tc>
          <w:tcPr>
            <w:tcW w:w="1240" w:type="dxa"/>
            <w:vAlign w:val="bottom"/>
            <w:gridSpan w:val="2"/>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(45,707)</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-6.9%</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gridSpan w:val="2"/>
          </w:tcPr>
          <w:p>
            <w:pPr>
              <w:spacing w:after="0"/>
              <w:rPr>
                <w:sz w:val="20"/>
                <w:szCs w:val="20"/>
                <w:color w:val="auto"/>
              </w:rPr>
            </w:pPr>
            <w:r>
              <w:rPr>
                <w:rFonts w:ascii="Arial" w:cs="Arial" w:eastAsia="Arial" w:hAnsi="Arial"/>
                <w:sz w:val="14"/>
                <w:szCs w:val="14"/>
                <w:b w:val="1"/>
                <w:bCs w:val="1"/>
                <w:color w:val="auto"/>
              </w:rPr>
              <w:t>Total Regulatory Capital</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3,669,948</w:t>
            </w:r>
          </w:p>
        </w:tc>
        <w:tc>
          <w:tcPr>
            <w:tcW w:w="220" w:type="dxa"/>
            <w:vAlign w:val="bottom"/>
          </w:tcPr>
          <w:p>
            <w:pPr>
              <w:spacing w:after="0"/>
              <w:rPr>
                <w:sz w:val="14"/>
                <w:szCs w:val="14"/>
                <w:color w:val="auto"/>
              </w:rPr>
            </w:pPr>
          </w:p>
        </w:tc>
        <w:tc>
          <w:tcPr>
            <w:tcW w:w="124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3,590,419</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3,275,853</w:t>
            </w:r>
          </w:p>
        </w:tc>
        <w:tc>
          <w:tcPr>
            <w:tcW w:w="22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2.2%</w:t>
            </w:r>
          </w:p>
        </w:tc>
        <w:tc>
          <w:tcPr>
            <w:tcW w:w="28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12.0%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14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02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102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102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1020" w:type="dxa"/>
            <w:vAlign w:val="bottom"/>
            <w:tcBorders>
              <w:top w:val="single" w:sz="8" w:color="auto"/>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280" w:type="dxa"/>
            <w:vAlign w:val="bottom"/>
            <w:tcBorders>
              <w:top w:val="single" w:sz="8" w:color="auto"/>
            </w:tcBorders>
            <w:shd w:val="clear" w:color="auto" w:fill="CCFFCC"/>
          </w:tcPr>
          <w:p>
            <w:pPr>
              <w:spacing w:after="0"/>
              <w:rPr>
                <w:sz w:val="12"/>
                <w:szCs w:val="12"/>
                <w:color w:val="auto"/>
              </w:rPr>
            </w:pPr>
          </w:p>
        </w:tc>
        <w:tc>
          <w:tcPr>
            <w:tcW w:w="740" w:type="dxa"/>
            <w:vAlign w:val="bottom"/>
            <w:tcBorders>
              <w:top w:val="single" w:sz="8" w:color="auto"/>
            </w:tcBorders>
            <w:shd w:val="clear" w:color="auto" w:fill="CCFFCC"/>
          </w:tcPr>
          <w:p>
            <w:pPr>
              <w:spacing w:after="0"/>
              <w:rPr>
                <w:sz w:val="12"/>
                <w:szCs w:val="12"/>
                <w:color w:val="auto"/>
              </w:rPr>
            </w:pPr>
          </w:p>
        </w:tc>
        <w:tc>
          <w:tcPr>
            <w:tcW w:w="14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gridSpan w:val="2"/>
          </w:tcPr>
          <w:p>
            <w:pPr>
              <w:spacing w:after="0" w:line="149" w:lineRule="exact"/>
              <w:rPr>
                <w:sz w:val="20"/>
                <w:szCs w:val="20"/>
                <w:color w:val="auto"/>
              </w:rPr>
            </w:pPr>
            <w:r>
              <w:rPr>
                <w:rFonts w:ascii="Arial" w:cs="Arial" w:eastAsia="Arial" w:hAnsi="Arial"/>
                <w:sz w:val="14"/>
                <w:szCs w:val="14"/>
                <w:color w:val="auto"/>
              </w:rPr>
              <w:t>Tier 1 (2)</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2,402,730</w:t>
            </w:r>
          </w:p>
        </w:tc>
        <w:tc>
          <w:tcPr>
            <w:tcW w:w="220" w:type="dxa"/>
            <w:vAlign w:val="bottom"/>
          </w:tcPr>
          <w:p>
            <w:pPr>
              <w:spacing w:after="0"/>
              <w:rPr>
                <w:sz w:val="12"/>
                <w:szCs w:val="12"/>
                <w:color w:val="auto"/>
              </w:rPr>
            </w:pPr>
          </w:p>
        </w:tc>
        <w:tc>
          <w:tcPr>
            <w:tcW w:w="12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2,524,890</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2,219,312</w:t>
            </w:r>
          </w:p>
        </w:tc>
        <w:tc>
          <w:tcPr>
            <w:tcW w:w="220" w:type="dxa"/>
            <w:vAlign w:val="bottom"/>
          </w:tcPr>
          <w:p>
            <w:pPr>
              <w:spacing w:after="0"/>
              <w:rPr>
                <w:sz w:val="12"/>
                <w:szCs w:val="12"/>
                <w:color w:val="auto"/>
              </w:rPr>
            </w:pP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-4.8%</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Tier 2 (3) + Tier 3 (4)</w:t>
            </w:r>
          </w:p>
        </w:tc>
        <w:tc>
          <w:tcPr>
            <w:tcW w:w="10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1,267,218</w:t>
            </w:r>
          </w:p>
        </w:tc>
        <w:tc>
          <w:tcPr>
            <w:tcW w:w="220" w:type="dxa"/>
            <w:vAlign w:val="bottom"/>
            <w:shd w:val="clear" w:color="auto" w:fill="CCFFCC"/>
          </w:tcPr>
          <w:p>
            <w:pPr>
              <w:spacing w:after="0"/>
              <w:rPr>
                <w:sz w:val="14"/>
                <w:szCs w:val="14"/>
                <w:color w:val="auto"/>
              </w:rPr>
            </w:pPr>
          </w:p>
        </w:tc>
        <w:tc>
          <w:tcPr>
            <w:tcW w:w="1240" w:type="dxa"/>
            <w:vAlign w:val="bottom"/>
            <w:gridSpan w:val="2"/>
            <w:shd w:val="clear" w:color="auto" w:fill="CCFFCC"/>
          </w:tcPr>
          <w:p>
            <w:pPr>
              <w:jc w:val="right"/>
              <w:ind w:right="148"/>
              <w:spacing w:after="0"/>
              <w:rPr>
                <w:sz w:val="20"/>
                <w:szCs w:val="20"/>
                <w:color w:val="auto"/>
              </w:rPr>
            </w:pPr>
            <w:r>
              <w:rPr>
                <w:rFonts w:ascii="Arial" w:cs="Arial" w:eastAsia="Arial" w:hAnsi="Arial"/>
                <w:sz w:val="14"/>
                <w:szCs w:val="14"/>
                <w:color w:val="auto"/>
              </w:rPr>
              <w:t>1,065,529</w:t>
            </w:r>
          </w:p>
        </w:tc>
        <w:tc>
          <w:tcPr>
            <w:tcW w:w="10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1,056,542</w:t>
            </w:r>
          </w:p>
        </w:tc>
        <w:tc>
          <w:tcPr>
            <w:tcW w:w="220" w:type="dxa"/>
            <w:vAlign w:val="bottom"/>
            <w:shd w:val="clear" w:color="auto" w:fill="CCFFCC"/>
          </w:tcPr>
          <w:p>
            <w:pPr>
              <w:spacing w:after="0"/>
              <w:rPr>
                <w:sz w:val="14"/>
                <w:szCs w:val="14"/>
                <w:color w:val="auto"/>
              </w:rPr>
            </w:pP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18.9%</w:t>
            </w:r>
          </w:p>
        </w:tc>
        <w:tc>
          <w:tcPr>
            <w:tcW w:w="28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240" w:type="dxa"/>
            <w:vAlign w:val="bottom"/>
            <w:gridSpan w:val="2"/>
            <w:shd w:val="clear" w:color="auto" w:fill="CCFFCC"/>
          </w:tcPr>
          <w:p>
            <w:pPr>
              <w:spacing w:after="0"/>
              <w:rPr>
                <w:sz w:val="20"/>
                <w:szCs w:val="20"/>
                <w:color w:val="auto"/>
              </w:rPr>
            </w:pPr>
            <w:r>
              <w:rPr>
                <w:rFonts w:ascii="Arial" w:cs="Arial" w:eastAsia="Arial" w:hAnsi="Arial"/>
                <w:sz w:val="14"/>
                <w:szCs w:val="14"/>
                <w:b w:val="1"/>
                <w:bCs w:val="1"/>
                <w:color w:val="auto"/>
              </w:rPr>
              <w:t>Total risk-weighted assets</w:t>
            </w:r>
          </w:p>
        </w:tc>
        <w:tc>
          <w:tcPr>
            <w:tcW w:w="102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24,370,124</w:t>
            </w:r>
          </w:p>
        </w:tc>
        <w:tc>
          <w:tcPr>
            <w:tcW w:w="220" w:type="dxa"/>
            <w:vAlign w:val="bottom"/>
            <w:shd w:val="clear" w:color="auto" w:fill="CCFFCC"/>
          </w:tcPr>
          <w:p>
            <w:pPr>
              <w:spacing w:after="0"/>
              <w:rPr>
                <w:sz w:val="14"/>
                <w:szCs w:val="14"/>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24,509,269</w:t>
            </w:r>
          </w:p>
        </w:tc>
        <w:tc>
          <w:tcPr>
            <w:tcW w:w="220" w:type="dxa"/>
            <w:vAlign w:val="bottom"/>
            <w:shd w:val="clear" w:color="auto" w:fill="CCFFCC"/>
          </w:tcPr>
          <w:p>
            <w:pPr>
              <w:spacing w:after="0"/>
              <w:rPr>
                <w:sz w:val="14"/>
                <w:szCs w:val="14"/>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20,592,786</w:t>
            </w:r>
          </w:p>
        </w:tc>
        <w:tc>
          <w:tcPr>
            <w:tcW w:w="220" w:type="dxa"/>
            <w:vAlign w:val="bottom"/>
            <w:shd w:val="clear" w:color="auto" w:fill="CCFFCC"/>
          </w:tcPr>
          <w:p>
            <w:pPr>
              <w:spacing w:after="0"/>
              <w:rPr>
                <w:sz w:val="14"/>
                <w:szCs w:val="14"/>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-0.6%</w:t>
            </w:r>
          </w:p>
        </w:tc>
        <w:tc>
          <w:tcPr>
            <w:tcW w:w="28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4"/>
                <w:szCs w:val="14"/>
                <w:b w:val="1"/>
                <w:bCs w:val="1"/>
                <w:color w:val="auto"/>
              </w:rPr>
              <w:t>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gridSpan w:val="2"/>
            <w:vMerge w:val="restart"/>
          </w:tcPr>
          <w:p>
            <w:pPr>
              <w:spacing w:after="0"/>
              <w:rPr>
                <w:sz w:val="20"/>
                <w:szCs w:val="20"/>
                <w:color w:val="auto"/>
              </w:rPr>
            </w:pPr>
            <w:r>
              <w:rPr>
                <w:rFonts w:ascii="Arial" w:cs="Arial" w:eastAsia="Arial" w:hAnsi="Arial"/>
                <w:sz w:val="14"/>
                <w:szCs w:val="14"/>
                <w:color w:val="auto"/>
              </w:rPr>
              <w:t>Market risk-weighted assets (5)</w:t>
            </w: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gridSpan w:val="2"/>
            <w:vMerge w:val="continue"/>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Arial" w:cs="Arial" w:eastAsia="Arial" w:hAnsi="Arial"/>
                <w:sz w:val="14"/>
                <w:szCs w:val="14"/>
                <w:color w:val="auto"/>
              </w:rPr>
              <w:t>1,285,854</w:t>
            </w:r>
          </w:p>
        </w:tc>
        <w:tc>
          <w:tcPr>
            <w:tcW w:w="22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Arial" w:cs="Arial" w:eastAsia="Arial" w:hAnsi="Arial"/>
                <w:sz w:val="14"/>
                <w:szCs w:val="14"/>
                <w:color w:val="auto"/>
              </w:rPr>
              <w:t>1,143,251</w:t>
            </w:r>
          </w:p>
        </w:tc>
        <w:tc>
          <w:tcPr>
            <w:tcW w:w="220" w:type="dxa"/>
            <w:vAlign w:val="bottom"/>
            <w:vMerge w:val="continue"/>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Arial" w:cs="Arial" w:eastAsia="Arial" w:hAnsi="Arial"/>
                <w:sz w:val="14"/>
                <w:szCs w:val="14"/>
                <w:color w:val="auto"/>
              </w:rPr>
              <w:t>616,630</w:t>
            </w:r>
          </w:p>
        </w:tc>
        <w:tc>
          <w:tcPr>
            <w:tcW w:w="220" w:type="dxa"/>
            <w:vAlign w:val="bottom"/>
            <w:vMerge w:val="continue"/>
          </w:tcPr>
          <w:p>
            <w:pPr>
              <w:spacing w:after="0"/>
              <w:rPr>
                <w:sz w:val="12"/>
                <w:szCs w:val="12"/>
                <w:color w:val="auto"/>
              </w:rPr>
            </w:pPr>
          </w:p>
        </w:tc>
        <w:tc>
          <w:tcPr>
            <w:tcW w:w="128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12.5%</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108.5%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Credit risk-weighted assets</w:t>
            </w:r>
          </w:p>
        </w:tc>
        <w:tc>
          <w:tcPr>
            <w:tcW w:w="10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21,859,893</w:t>
            </w:r>
          </w:p>
        </w:tc>
        <w:tc>
          <w:tcPr>
            <w:tcW w:w="220" w:type="dxa"/>
            <w:vAlign w:val="bottom"/>
            <w:shd w:val="clear" w:color="auto" w:fill="CCFFCC"/>
          </w:tcPr>
          <w:p>
            <w:pPr>
              <w:spacing w:after="0"/>
              <w:rPr>
                <w:sz w:val="12"/>
                <w:szCs w:val="12"/>
                <w:color w:val="auto"/>
              </w:rPr>
            </w:pPr>
          </w:p>
        </w:tc>
        <w:tc>
          <w:tcPr>
            <w:tcW w:w="124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22,105,034</w:t>
            </w:r>
          </w:p>
        </w:tc>
        <w:tc>
          <w:tcPr>
            <w:tcW w:w="10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19,082,281</w:t>
            </w:r>
          </w:p>
        </w:tc>
        <w:tc>
          <w:tcPr>
            <w:tcW w:w="220" w:type="dxa"/>
            <w:vAlign w:val="bottom"/>
            <w:shd w:val="clear" w:color="auto" w:fill="CCFFCC"/>
          </w:tcPr>
          <w:p>
            <w:pPr>
              <w:spacing w:after="0"/>
              <w:rPr>
                <w:sz w:val="12"/>
                <w:szCs w:val="12"/>
                <w:color w:val="auto"/>
              </w:rPr>
            </w:pP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-1.1%</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gridSpan w:val="2"/>
          </w:tcPr>
          <w:p>
            <w:pPr>
              <w:spacing w:after="0"/>
              <w:rPr>
                <w:sz w:val="20"/>
                <w:szCs w:val="20"/>
                <w:color w:val="auto"/>
              </w:rPr>
            </w:pPr>
            <w:r>
              <w:rPr>
                <w:rFonts w:ascii="Arial" w:cs="Arial" w:eastAsia="Arial" w:hAnsi="Arial"/>
                <w:sz w:val="14"/>
                <w:szCs w:val="14"/>
                <w:color w:val="auto"/>
              </w:rPr>
              <w:t>Operational risk-weighted assets</w:t>
            </w:r>
          </w:p>
        </w:tc>
        <w:tc>
          <w:tcPr>
            <w:tcW w:w="1020" w:type="dxa"/>
            <w:vAlign w:val="bottom"/>
          </w:tcPr>
          <w:p>
            <w:pPr>
              <w:jc w:val="right"/>
              <w:spacing w:after="0"/>
              <w:rPr>
                <w:sz w:val="20"/>
                <w:szCs w:val="20"/>
                <w:color w:val="auto"/>
              </w:rPr>
            </w:pPr>
            <w:r>
              <w:rPr>
                <w:rFonts w:ascii="Arial" w:cs="Arial" w:eastAsia="Arial" w:hAnsi="Arial"/>
                <w:sz w:val="14"/>
                <w:szCs w:val="14"/>
                <w:color w:val="auto"/>
              </w:rPr>
              <w:t>1,224,377</w:t>
            </w:r>
          </w:p>
        </w:tc>
        <w:tc>
          <w:tcPr>
            <w:tcW w:w="220" w:type="dxa"/>
            <w:vAlign w:val="bottom"/>
          </w:tcPr>
          <w:p>
            <w:pPr>
              <w:spacing w:after="0"/>
              <w:rPr>
                <w:sz w:val="14"/>
                <w:szCs w:val="14"/>
                <w:color w:val="auto"/>
              </w:rPr>
            </w:pPr>
          </w:p>
        </w:tc>
        <w:tc>
          <w:tcPr>
            <w:tcW w:w="1240" w:type="dxa"/>
            <w:vAlign w:val="bottom"/>
            <w:gridSpan w:val="2"/>
          </w:tcPr>
          <w:p>
            <w:pPr>
              <w:jc w:val="right"/>
              <w:ind w:right="148"/>
              <w:spacing w:after="0"/>
              <w:rPr>
                <w:sz w:val="20"/>
                <w:szCs w:val="20"/>
                <w:color w:val="auto"/>
              </w:rPr>
            </w:pPr>
            <w:r>
              <w:rPr>
                <w:rFonts w:ascii="Arial" w:cs="Arial" w:eastAsia="Arial" w:hAnsi="Arial"/>
                <w:sz w:val="14"/>
                <w:szCs w:val="14"/>
                <w:color w:val="auto"/>
              </w:rPr>
              <w:t>1,260,984</w:t>
            </w:r>
          </w:p>
        </w:tc>
        <w:tc>
          <w:tcPr>
            <w:tcW w:w="1240" w:type="dxa"/>
            <w:vAlign w:val="bottom"/>
            <w:gridSpan w:val="2"/>
          </w:tcPr>
          <w:p>
            <w:pPr>
              <w:jc w:val="right"/>
              <w:ind w:right="148"/>
              <w:spacing w:after="0"/>
              <w:rPr>
                <w:sz w:val="20"/>
                <w:szCs w:val="20"/>
                <w:color w:val="auto"/>
              </w:rPr>
            </w:pPr>
            <w:r>
              <w:rPr>
                <w:rFonts w:ascii="Arial" w:cs="Arial" w:eastAsia="Arial" w:hAnsi="Arial"/>
                <w:sz w:val="14"/>
                <w:szCs w:val="14"/>
                <w:color w:val="auto"/>
              </w:rPr>
              <w:t>893,875</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-2.9%</w:t>
            </w:r>
          </w:p>
        </w:tc>
        <w:tc>
          <w:tcPr>
            <w:tcW w:w="28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14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02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102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102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1020" w:type="dxa"/>
            <w:vAlign w:val="bottom"/>
            <w:tcBorders>
              <w:top w:val="single" w:sz="8" w:color="auto"/>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280" w:type="dxa"/>
            <w:vAlign w:val="bottom"/>
            <w:tcBorders>
              <w:top w:val="single" w:sz="8" w:color="auto"/>
            </w:tcBorders>
            <w:shd w:val="clear" w:color="auto" w:fill="CCFFCC"/>
          </w:tcPr>
          <w:p>
            <w:pPr>
              <w:spacing w:after="0"/>
              <w:rPr>
                <w:sz w:val="12"/>
                <w:szCs w:val="12"/>
                <w:color w:val="auto"/>
              </w:rPr>
            </w:pPr>
          </w:p>
        </w:tc>
        <w:tc>
          <w:tcPr>
            <w:tcW w:w="740" w:type="dxa"/>
            <w:vAlign w:val="bottom"/>
            <w:tcBorders>
              <w:top w:val="single" w:sz="8" w:color="auto"/>
            </w:tcBorders>
            <w:shd w:val="clear" w:color="auto" w:fill="CCFFCC"/>
          </w:tcPr>
          <w:p>
            <w:pPr>
              <w:spacing w:after="0"/>
              <w:rPr>
                <w:sz w:val="12"/>
                <w:szCs w:val="12"/>
                <w:color w:val="auto"/>
              </w:rPr>
            </w:pPr>
          </w:p>
        </w:tc>
        <w:tc>
          <w:tcPr>
            <w:tcW w:w="14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gridSpan w:val="2"/>
          </w:tcPr>
          <w:p>
            <w:pPr>
              <w:spacing w:after="0" w:line="149" w:lineRule="exact"/>
              <w:rPr>
                <w:sz w:val="20"/>
                <w:szCs w:val="20"/>
                <w:color w:val="auto"/>
              </w:rPr>
            </w:pPr>
            <w:r>
              <w:rPr>
                <w:rFonts w:ascii="Arial" w:cs="Arial" w:eastAsia="Arial" w:hAnsi="Arial"/>
                <w:sz w:val="14"/>
                <w:szCs w:val="14"/>
                <w:color w:val="auto"/>
              </w:rPr>
              <w:t>Market risk capital requirement</w:t>
            </w:r>
          </w:p>
        </w:tc>
        <w:tc>
          <w:tcPr>
            <w:tcW w:w="12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128,585</w:t>
            </w:r>
          </w:p>
        </w:tc>
        <w:tc>
          <w:tcPr>
            <w:tcW w:w="12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114,325</w:t>
            </w:r>
          </w:p>
        </w:tc>
        <w:tc>
          <w:tcPr>
            <w:tcW w:w="12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60,430</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12.5%</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Credit risk capital requirement</w:t>
            </w:r>
          </w:p>
        </w:tc>
        <w:tc>
          <w:tcPr>
            <w:tcW w:w="10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2,185,989</w:t>
            </w:r>
          </w:p>
        </w:tc>
        <w:tc>
          <w:tcPr>
            <w:tcW w:w="220" w:type="dxa"/>
            <w:vAlign w:val="bottom"/>
            <w:shd w:val="clear" w:color="auto" w:fill="CCFFCC"/>
          </w:tcPr>
          <w:p>
            <w:pPr>
              <w:spacing w:after="0"/>
              <w:rPr>
                <w:sz w:val="12"/>
                <w:szCs w:val="12"/>
                <w:color w:val="auto"/>
              </w:rPr>
            </w:pPr>
          </w:p>
        </w:tc>
        <w:tc>
          <w:tcPr>
            <w:tcW w:w="124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2,210,503</w:t>
            </w:r>
          </w:p>
        </w:tc>
        <w:tc>
          <w:tcPr>
            <w:tcW w:w="10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1,870,064</w:t>
            </w:r>
          </w:p>
        </w:tc>
        <w:tc>
          <w:tcPr>
            <w:tcW w:w="220" w:type="dxa"/>
            <w:vAlign w:val="bottom"/>
            <w:shd w:val="clear" w:color="auto" w:fill="CCFFCC"/>
          </w:tcPr>
          <w:p>
            <w:pPr>
              <w:spacing w:after="0"/>
              <w:rPr>
                <w:sz w:val="12"/>
                <w:szCs w:val="12"/>
                <w:color w:val="auto"/>
              </w:rPr>
            </w:pP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-1.1%</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tcPr>
          <w:p>
            <w:pPr>
              <w:spacing w:after="0" w:line="149" w:lineRule="exact"/>
              <w:rPr>
                <w:sz w:val="20"/>
                <w:szCs w:val="20"/>
                <w:color w:val="auto"/>
              </w:rPr>
            </w:pPr>
            <w:r>
              <w:rPr>
                <w:rFonts w:ascii="Arial" w:cs="Arial" w:eastAsia="Arial" w:hAnsi="Arial"/>
                <w:sz w:val="14"/>
                <w:szCs w:val="14"/>
                <w:color w:val="auto"/>
              </w:rPr>
              <w:t>Operational risk capital requirement</w:t>
            </w:r>
          </w:p>
        </w:tc>
        <w:tc>
          <w:tcPr>
            <w:tcW w:w="12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122,438</w:t>
            </w:r>
          </w:p>
        </w:tc>
        <w:tc>
          <w:tcPr>
            <w:tcW w:w="12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126,098</w:t>
            </w:r>
          </w:p>
        </w:tc>
        <w:tc>
          <w:tcPr>
            <w:tcW w:w="12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87,600</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Additional capital requirements</w:t>
            </w:r>
          </w:p>
        </w:tc>
        <w:tc>
          <w:tcPr>
            <w:tcW w:w="1240" w:type="dxa"/>
            <w:vAlign w:val="bottom"/>
            <w:gridSpan w:val="2"/>
            <w:shd w:val="clear" w:color="auto" w:fill="CCFFCC"/>
          </w:tcPr>
          <w:p>
            <w:pPr>
              <w:jc w:val="right"/>
              <w:ind w:right="148"/>
              <w:spacing w:after="0"/>
              <w:rPr>
                <w:sz w:val="20"/>
                <w:szCs w:val="20"/>
                <w:color w:val="auto"/>
              </w:rPr>
            </w:pPr>
            <w:r>
              <w:rPr>
                <w:rFonts w:ascii="Arial" w:cs="Arial" w:eastAsia="Arial" w:hAnsi="Arial"/>
                <w:sz w:val="14"/>
                <w:szCs w:val="14"/>
                <w:color w:val="auto"/>
              </w:rPr>
              <w:t>323,925</w:t>
            </w:r>
          </w:p>
        </w:tc>
        <w:tc>
          <w:tcPr>
            <w:tcW w:w="1240" w:type="dxa"/>
            <w:vAlign w:val="bottom"/>
            <w:gridSpan w:val="2"/>
            <w:shd w:val="clear" w:color="auto" w:fill="CCFFCC"/>
          </w:tcPr>
          <w:p>
            <w:pPr>
              <w:jc w:val="right"/>
              <w:ind w:right="148"/>
              <w:spacing w:after="0"/>
              <w:rPr>
                <w:sz w:val="20"/>
                <w:szCs w:val="20"/>
                <w:color w:val="auto"/>
              </w:rPr>
            </w:pPr>
            <w:r>
              <w:rPr>
                <w:rFonts w:ascii="Arial" w:cs="Arial" w:eastAsia="Arial" w:hAnsi="Arial"/>
                <w:sz w:val="14"/>
                <w:szCs w:val="14"/>
                <w:color w:val="auto"/>
              </w:rPr>
              <w:t>313,138</w:t>
            </w:r>
          </w:p>
        </w:tc>
        <w:tc>
          <w:tcPr>
            <w:tcW w:w="10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4"/>
                <w:szCs w:val="14"/>
                <w:color w:val="auto"/>
              </w:rPr>
            </w:pP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0.0%</w:t>
            </w:r>
          </w:p>
        </w:tc>
        <w:tc>
          <w:tcPr>
            <w:tcW w:w="28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Capital ratios</w:t>
            </w:r>
          </w:p>
        </w:tc>
        <w:tc>
          <w:tcPr>
            <w:tcW w:w="10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gridSpan w:val="2"/>
          </w:tcPr>
          <w:p>
            <w:pPr>
              <w:spacing w:after="0"/>
              <w:rPr>
                <w:sz w:val="20"/>
                <w:szCs w:val="20"/>
                <w:color w:val="auto"/>
              </w:rPr>
            </w:pPr>
            <w:r>
              <w:rPr>
                <w:rFonts w:ascii="Arial" w:cs="Arial" w:eastAsia="Arial" w:hAnsi="Arial"/>
                <w:sz w:val="14"/>
                <w:szCs w:val="14"/>
                <w:color w:val="auto"/>
              </w:rPr>
              <w:t>Tier 1 ratio (6)</w:t>
            </w:r>
          </w:p>
        </w:tc>
        <w:tc>
          <w:tcPr>
            <w:tcW w:w="1240" w:type="dxa"/>
            <w:vAlign w:val="bottom"/>
            <w:gridSpan w:val="2"/>
          </w:tcPr>
          <w:p>
            <w:pPr>
              <w:jc w:val="right"/>
              <w:ind w:right="28"/>
              <w:spacing w:after="0"/>
              <w:rPr>
                <w:sz w:val="20"/>
                <w:szCs w:val="20"/>
                <w:color w:val="auto"/>
              </w:rPr>
            </w:pPr>
            <w:r>
              <w:rPr>
                <w:rFonts w:ascii="Arial" w:cs="Arial" w:eastAsia="Arial" w:hAnsi="Arial"/>
                <w:sz w:val="14"/>
                <w:szCs w:val="14"/>
                <w:color w:val="auto"/>
              </w:rPr>
              <w:t>9.86%</w:t>
            </w:r>
          </w:p>
        </w:tc>
        <w:tc>
          <w:tcPr>
            <w:tcW w:w="1240" w:type="dxa"/>
            <w:vAlign w:val="bottom"/>
            <w:gridSpan w:val="2"/>
          </w:tcPr>
          <w:p>
            <w:pPr>
              <w:jc w:val="right"/>
              <w:ind w:right="28"/>
              <w:spacing w:after="0"/>
              <w:rPr>
                <w:sz w:val="20"/>
                <w:szCs w:val="20"/>
                <w:color w:val="auto"/>
              </w:rPr>
            </w:pPr>
            <w:r>
              <w:rPr>
                <w:rFonts w:ascii="Arial" w:cs="Arial" w:eastAsia="Arial" w:hAnsi="Arial"/>
                <w:sz w:val="14"/>
                <w:szCs w:val="14"/>
                <w:color w:val="auto"/>
              </w:rPr>
              <w:t>10.30%</w:t>
            </w:r>
          </w:p>
        </w:tc>
        <w:tc>
          <w:tcPr>
            <w:tcW w:w="1240" w:type="dxa"/>
            <w:vAlign w:val="bottom"/>
            <w:gridSpan w:val="2"/>
          </w:tcPr>
          <w:p>
            <w:pPr>
              <w:jc w:val="right"/>
              <w:ind w:right="28"/>
              <w:spacing w:after="0"/>
              <w:rPr>
                <w:sz w:val="20"/>
                <w:szCs w:val="20"/>
                <w:color w:val="auto"/>
              </w:rPr>
            </w:pPr>
            <w:r>
              <w:rPr>
                <w:rFonts w:ascii="Arial" w:cs="Arial" w:eastAsia="Arial" w:hAnsi="Arial"/>
                <w:sz w:val="14"/>
                <w:szCs w:val="14"/>
                <w:color w:val="auto"/>
              </w:rPr>
              <w:t>10.78%</w:t>
            </w: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Borders>
              <w:top w:val="single" w:sz="8" w:color="CCFFCC"/>
            </w:tcBorders>
            <w:gridSpan w:val="2"/>
            <w:shd w:val="clear" w:color="auto" w:fill="CCFFCC"/>
          </w:tcPr>
          <w:p>
            <w:pPr>
              <w:spacing w:after="0" w:line="142" w:lineRule="exact"/>
              <w:rPr>
                <w:sz w:val="20"/>
                <w:szCs w:val="20"/>
                <w:color w:val="auto"/>
              </w:rPr>
            </w:pPr>
            <w:r>
              <w:rPr>
                <w:rFonts w:ascii="Arial" w:cs="Arial" w:eastAsia="Arial" w:hAnsi="Arial"/>
                <w:sz w:val="14"/>
                <w:szCs w:val="14"/>
                <w:color w:val="auto"/>
              </w:rPr>
              <w:t>Tier 1 Common ratio (7)</w:t>
            </w:r>
          </w:p>
        </w:tc>
        <w:tc>
          <w:tcPr>
            <w:tcW w:w="10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8.58</w:t>
            </w:r>
          </w:p>
        </w:tc>
        <w:tc>
          <w:tcPr>
            <w:tcW w:w="220" w:type="dxa"/>
            <w:vAlign w:val="bottom"/>
            <w:tcBorders>
              <w:top w:val="single" w:sz="8" w:color="CCFFCC"/>
            </w:tcBorders>
            <w:shd w:val="clear" w:color="auto" w:fill="CCFFCC"/>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10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8.49</w:t>
            </w:r>
          </w:p>
        </w:tc>
        <w:tc>
          <w:tcPr>
            <w:tcW w:w="220" w:type="dxa"/>
            <w:vAlign w:val="bottom"/>
            <w:tcBorders>
              <w:top w:val="single" w:sz="8" w:color="CCFFCC"/>
            </w:tcBorders>
            <w:shd w:val="clear" w:color="auto" w:fill="CCFFCC"/>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10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8.92</w:t>
            </w:r>
          </w:p>
        </w:tc>
        <w:tc>
          <w:tcPr>
            <w:tcW w:w="220" w:type="dxa"/>
            <w:vAlign w:val="bottom"/>
            <w:tcBorders>
              <w:top w:val="single" w:sz="8" w:color="CCFFCC"/>
            </w:tcBorders>
            <w:shd w:val="clear" w:color="auto" w:fill="CCFFCC"/>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1020" w:type="dxa"/>
            <w:vAlign w:val="bottom"/>
            <w:tcBorders>
              <w:top w:val="single" w:sz="8" w:color="CCFFCC"/>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280" w:type="dxa"/>
            <w:vAlign w:val="bottom"/>
            <w:tcBorders>
              <w:top w:val="single" w:sz="8" w:color="CCFFCC"/>
            </w:tcBorders>
            <w:shd w:val="clear" w:color="auto" w:fill="CCFFCC"/>
          </w:tcPr>
          <w:p>
            <w:pPr>
              <w:spacing w:after="0"/>
              <w:rPr>
                <w:sz w:val="12"/>
                <w:szCs w:val="12"/>
                <w:color w:val="auto"/>
              </w:rPr>
            </w:pPr>
          </w:p>
        </w:tc>
        <w:tc>
          <w:tcPr>
            <w:tcW w:w="740" w:type="dxa"/>
            <w:vAlign w:val="bottom"/>
            <w:tcBorders>
              <w:top w:val="single" w:sz="8" w:color="CCFFCC"/>
            </w:tcBorders>
            <w:shd w:val="clear" w:color="auto" w:fill="CCFFCC"/>
          </w:tcPr>
          <w:p>
            <w:pPr>
              <w:spacing w:after="0"/>
              <w:rPr>
                <w:sz w:val="12"/>
                <w:szCs w:val="12"/>
                <w:color w:val="auto"/>
              </w:rPr>
            </w:pPr>
          </w:p>
        </w:tc>
        <w:tc>
          <w:tcPr>
            <w:tcW w:w="14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Borders>
              <w:bottom w:val="single" w:sz="8" w:color="CCFFCC"/>
            </w:tcBorders>
            <w:gridSpan w:val="2"/>
          </w:tcPr>
          <w:p>
            <w:pPr>
              <w:spacing w:after="0" w:line="142" w:lineRule="exact"/>
              <w:rPr>
                <w:sz w:val="20"/>
                <w:szCs w:val="20"/>
                <w:color w:val="auto"/>
              </w:rPr>
            </w:pPr>
            <w:r>
              <w:rPr>
                <w:rFonts w:ascii="Arial" w:cs="Arial" w:eastAsia="Arial" w:hAnsi="Arial"/>
                <w:sz w:val="14"/>
                <w:szCs w:val="14"/>
                <w:color w:val="auto"/>
              </w:rPr>
              <w:t>BIS ratio (8)</w:t>
            </w: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15.06</w:t>
            </w:r>
          </w:p>
        </w:tc>
        <w:tc>
          <w:tcPr>
            <w:tcW w:w="220" w:type="dxa"/>
            <w:vAlign w:val="bottom"/>
            <w:tcBorders>
              <w:bottom w:val="single" w:sz="8" w:color="CCFFCC"/>
            </w:tcBorders>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14.65</w:t>
            </w:r>
          </w:p>
        </w:tc>
        <w:tc>
          <w:tcPr>
            <w:tcW w:w="220" w:type="dxa"/>
            <w:vAlign w:val="bottom"/>
            <w:tcBorders>
              <w:bottom w:val="single" w:sz="8" w:color="CCFFCC"/>
            </w:tcBorders>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15.91</w:t>
            </w:r>
          </w:p>
        </w:tc>
        <w:tc>
          <w:tcPr>
            <w:tcW w:w="220" w:type="dxa"/>
            <w:vAlign w:val="bottom"/>
            <w:tcBorders>
              <w:bottom w:val="single" w:sz="8" w:color="CCFFCC"/>
            </w:tcBorders>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1020" w:type="dxa"/>
            <w:vAlign w:val="bottom"/>
            <w:tcBorders>
              <w:bottom w:val="single" w:sz="8" w:color="CCFFCC"/>
            </w:tcBorders>
          </w:tcPr>
          <w:p>
            <w:pPr>
              <w:spacing w:after="0"/>
              <w:rPr>
                <w:sz w:val="12"/>
                <w:szCs w:val="12"/>
                <w:color w:val="auto"/>
              </w:rPr>
            </w:pPr>
          </w:p>
        </w:tc>
        <w:tc>
          <w:tcPr>
            <w:tcW w:w="260" w:type="dxa"/>
            <w:vAlign w:val="bottom"/>
            <w:tcBorders>
              <w:bottom w:val="single" w:sz="8" w:color="CCFFCC"/>
            </w:tcBorders>
          </w:tcPr>
          <w:p>
            <w:pPr>
              <w:spacing w:after="0"/>
              <w:rPr>
                <w:sz w:val="12"/>
                <w:szCs w:val="12"/>
                <w:color w:val="auto"/>
              </w:rPr>
            </w:pPr>
          </w:p>
        </w:tc>
        <w:tc>
          <w:tcPr>
            <w:tcW w:w="280" w:type="dxa"/>
            <w:vAlign w:val="bottom"/>
            <w:tcBorders>
              <w:bottom w:val="single" w:sz="8" w:color="CCFFCC"/>
            </w:tcBorders>
          </w:tcPr>
          <w:p>
            <w:pPr>
              <w:spacing w:after="0"/>
              <w:rPr>
                <w:sz w:val="12"/>
                <w:szCs w:val="12"/>
                <w:color w:val="auto"/>
              </w:rPr>
            </w:pPr>
          </w:p>
        </w:tc>
        <w:tc>
          <w:tcPr>
            <w:tcW w:w="740" w:type="dxa"/>
            <w:vAlign w:val="bottom"/>
            <w:tcBorders>
              <w:bottom w:val="single" w:sz="8" w:color="CCFFCC"/>
            </w:tcBorders>
          </w:tcPr>
          <w:p>
            <w:pPr>
              <w:spacing w:after="0"/>
              <w:rPr>
                <w:sz w:val="12"/>
                <w:szCs w:val="12"/>
                <w:color w:val="auto"/>
              </w:rPr>
            </w:pPr>
          </w:p>
        </w:tc>
        <w:tc>
          <w:tcPr>
            <w:tcW w:w="140" w:type="dxa"/>
            <w:vAlign w:val="bottom"/>
            <w:tcBorders>
              <w:bottom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gridSpan w:val="2"/>
            <w:shd w:val="clear" w:color="auto" w:fill="CCFFCC"/>
          </w:tcPr>
          <w:p>
            <w:pPr>
              <w:spacing w:after="0" w:line="142" w:lineRule="exact"/>
              <w:rPr>
                <w:sz w:val="20"/>
                <w:szCs w:val="20"/>
                <w:color w:val="auto"/>
              </w:rPr>
            </w:pPr>
            <w:r>
              <w:rPr>
                <w:rFonts w:ascii="Arial" w:cs="Arial" w:eastAsia="Arial" w:hAnsi="Arial"/>
                <w:sz w:val="14"/>
                <w:szCs w:val="14"/>
                <w:color w:val="auto"/>
              </w:rPr>
              <w:t>Risk-weighted assets / Regulatory Capital (9)</w:t>
            </w:r>
          </w:p>
        </w:tc>
        <w:tc>
          <w:tcPr>
            <w:tcW w:w="102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6.64</w:t>
            </w:r>
          </w:p>
        </w:tc>
        <w:tc>
          <w:tcPr>
            <w:tcW w:w="220" w:type="dxa"/>
            <w:vAlign w:val="bottom"/>
            <w:shd w:val="clear" w:color="auto" w:fill="CCFFCC"/>
          </w:tcPr>
          <w:p>
            <w:pPr>
              <w:spacing w:after="0"/>
              <w:rPr>
                <w:sz w:val="12"/>
                <w:szCs w:val="12"/>
                <w:color w:val="auto"/>
              </w:rPr>
            </w:pPr>
          </w:p>
        </w:tc>
        <w:tc>
          <w:tcPr>
            <w:tcW w:w="102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6.83</w:t>
            </w:r>
          </w:p>
        </w:tc>
        <w:tc>
          <w:tcPr>
            <w:tcW w:w="220" w:type="dxa"/>
            <w:vAlign w:val="bottom"/>
            <w:shd w:val="clear" w:color="auto" w:fill="CCFFCC"/>
          </w:tcPr>
          <w:p>
            <w:pPr>
              <w:spacing w:after="0"/>
              <w:rPr>
                <w:sz w:val="12"/>
                <w:szCs w:val="12"/>
                <w:color w:val="auto"/>
              </w:rPr>
            </w:pPr>
          </w:p>
        </w:tc>
        <w:tc>
          <w:tcPr>
            <w:tcW w:w="102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6.29</w:t>
            </w: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Up to 1.25% of total risk-weighted assets.</w:t>
      </w:r>
    </w:p>
    <w:p>
      <w:pPr>
        <w:spacing w:after="0" w:line="9" w:lineRule="exact"/>
        <w:rPr>
          <w:rFonts w:ascii="Arial" w:cs="Arial" w:eastAsia="Arial" w:hAnsi="Arial"/>
          <w:sz w:val="18"/>
          <w:szCs w:val="18"/>
          <w:i w:val="1"/>
          <w:iCs w:val="1"/>
          <w:color w:val="auto"/>
        </w:rPr>
      </w:pPr>
    </w:p>
    <w:p>
      <w:pPr>
        <w:ind w:right="300" w:firstLine="8"/>
        <w:spacing w:after="0" w:line="265" w:lineRule="auto"/>
        <w:tabs>
          <w:tab w:leader="none" w:pos="255" w:val="left"/>
        </w:tabs>
        <w:numPr>
          <w:ilvl w:val="0"/>
          <w:numId w:val="24"/>
        </w:numPr>
        <w:rPr>
          <w:rFonts w:ascii="Arial" w:cs="Arial" w:eastAsia="Arial" w:hAnsi="Arial"/>
          <w:sz w:val="17"/>
          <w:szCs w:val="17"/>
          <w:i w:val="1"/>
          <w:iCs w:val="1"/>
          <w:color w:val="auto"/>
        </w:rPr>
      </w:pPr>
      <w:r>
        <w:rPr>
          <w:rFonts w:ascii="Arial" w:cs="Arial" w:eastAsia="Arial" w:hAnsi="Arial"/>
          <w:sz w:val="17"/>
          <w:szCs w:val="17"/>
          <w:i w:val="1"/>
          <w:iCs w:val="1"/>
          <w:color w:val="auto"/>
        </w:rPr>
        <w:t>Tier 1 = Capital + Legal and other capital Reserves + Accumulated earnings with capitalization agreement +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left="260" w:hanging="252"/>
        <w:spacing w:after="0"/>
        <w:tabs>
          <w:tab w:leader="none" w:pos="2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Tier 2 = Subordinated debt + Loan loss reserves - (0.5 x Investment in subsidiaries).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Tier 3 = Subordinated debt covering market risk only. Tier 3 exists since 1Q10.</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It includes capital requirement to cover price and rate risk.</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Tier 1 / Risk-weighted assets.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Tier I Common = Capital + Reserves – 100% of Investment in Subsidiaries + retained earnings adjusted by average payout.</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Regulatory Capital / Risk-weighted assets (legal minimum = 10% since July 2011).</w:t>
      </w:r>
    </w:p>
    <w:p>
      <w:pPr>
        <w:spacing w:after="0" w:line="9" w:lineRule="exact"/>
        <w:rPr>
          <w:rFonts w:ascii="Arial" w:cs="Arial" w:eastAsia="Arial" w:hAnsi="Arial"/>
          <w:sz w:val="18"/>
          <w:szCs w:val="18"/>
          <w:i w:val="1"/>
          <w:iCs w:val="1"/>
          <w:color w:val="auto"/>
        </w:rPr>
      </w:pPr>
    </w:p>
    <w:p>
      <w:pPr>
        <w:ind w:right="420" w:firstLine="8"/>
        <w:spacing w:after="0" w:line="261" w:lineRule="auto"/>
        <w:tabs>
          <w:tab w:leader="none" w:pos="255"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Since July 2011, Risk-weighted assets = Credit risk-weighted assets * 0.98 + Capital requirement to cover market risk * 10 + Capital requirement to cover operational risk * 10 * 0.5.</w:t>
      </w:r>
    </w:p>
    <w:p>
      <w:pPr>
        <w:spacing w:after="0" w:line="400"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7" w:name="page28"/>
    <w:bookmarkEnd w:id="27"/>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III. Banco de Crédito de Bolivia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Banco de Crédito de Bolivia</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Quarter</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3"/>
          </w:tcPr>
          <w:p>
            <w:pPr>
              <w:ind w:left="600"/>
              <w:spacing w:after="0"/>
              <w:rPr>
                <w:sz w:val="20"/>
                <w:szCs w:val="20"/>
                <w:color w:val="auto"/>
              </w:rPr>
            </w:pPr>
            <w:r>
              <w:rPr>
                <w:rFonts w:ascii="Arial" w:cs="Arial" w:eastAsia="Arial" w:hAnsi="Arial"/>
                <w:sz w:val="14"/>
                <w:szCs w:val="14"/>
                <w:b w:val="1"/>
                <w:bCs w:val="1"/>
                <w:color w:val="auto"/>
                <w:w w:val="97"/>
              </w:rPr>
              <w:t>Change %</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Year to date</w:t>
            </w:r>
          </w:p>
        </w:tc>
        <w:tc>
          <w:tcPr>
            <w:tcW w:w="110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71"/>
        </w:trPr>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US$ millions</w:t>
            </w:r>
          </w:p>
        </w:tc>
        <w:tc>
          <w:tcPr>
            <w:tcW w:w="10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2Q13</w:t>
            </w:r>
          </w:p>
        </w:tc>
        <w:tc>
          <w:tcPr>
            <w:tcW w:w="22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1Q13</w:t>
            </w:r>
          </w:p>
        </w:tc>
        <w:tc>
          <w:tcPr>
            <w:tcW w:w="24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2Q12</w:t>
            </w:r>
          </w:p>
        </w:tc>
        <w:tc>
          <w:tcPr>
            <w:tcW w:w="22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FFC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YoY</w:t>
            </w:r>
          </w:p>
        </w:tc>
        <w:tc>
          <w:tcPr>
            <w:tcW w:w="24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Jun 13</w:t>
            </w:r>
          </w:p>
        </w:tc>
        <w:tc>
          <w:tcPr>
            <w:tcW w:w="20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Jun 12</w:t>
            </w:r>
          </w:p>
        </w:tc>
        <w:tc>
          <w:tcPr>
            <w:tcW w:w="220" w:type="dxa"/>
            <w:vAlign w:val="bottom"/>
            <w:tcBorders>
              <w:bottom w:val="single" w:sz="8" w:color="CCFFCC"/>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Jun 13 / Jun 12</w:t>
            </w:r>
          </w:p>
        </w:tc>
        <w:tc>
          <w:tcPr>
            <w:tcW w:w="140" w:type="dxa"/>
            <w:vAlign w:val="bottom"/>
            <w:tcBorders>
              <w:bottom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Net interest income</w:t>
            </w:r>
          </w:p>
        </w:tc>
        <w:tc>
          <w:tcPr>
            <w:tcW w:w="10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15.7</w:t>
            </w: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16.2</w:t>
            </w:r>
          </w:p>
        </w:tc>
        <w:tc>
          <w:tcPr>
            <w:tcW w:w="24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14.4</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-3.2%</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8.6%</w:t>
            </w: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31.8</w:t>
            </w:r>
          </w:p>
        </w:tc>
        <w:tc>
          <w:tcPr>
            <w:tcW w:w="20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27.8</w:t>
            </w:r>
          </w:p>
        </w:tc>
        <w:tc>
          <w:tcPr>
            <w:tcW w:w="22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Net provisions for loan losses</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113.2%</w:t>
            </w:r>
          </w:p>
        </w:tc>
        <w:tc>
          <w:tcPr>
            <w:tcW w:w="240" w:type="dxa"/>
            <w:vAlign w:val="bottom"/>
          </w:tcPr>
          <w:p>
            <w:pPr>
              <w:spacing w:after="0"/>
              <w:rPr>
                <w:sz w:val="12"/>
                <w:szCs w:val="12"/>
                <w:color w:val="auto"/>
              </w:rPr>
            </w:pP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-23.6%</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Non financial income</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7.7</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9.0</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6.7</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-15.0%</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13.5%</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16.7</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14.5</w:t>
            </w:r>
          </w:p>
        </w:tc>
        <w:tc>
          <w:tcPr>
            <w:tcW w:w="11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Operating expenses</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(14.9)</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(16.9)</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(11.6)</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-11.4%</w:t>
            </w:r>
          </w:p>
        </w:tc>
        <w:tc>
          <w:tcPr>
            <w:tcW w:w="240" w:type="dxa"/>
            <w:vAlign w:val="bottom"/>
          </w:tcPr>
          <w:p>
            <w:pPr>
              <w:spacing w:after="0"/>
              <w:rPr>
                <w:sz w:val="12"/>
                <w:szCs w:val="12"/>
                <w:color w:val="auto"/>
              </w:rPr>
            </w:pP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28.5%</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(31.8)</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(24.3)</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6.3</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7.4</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6.9</w:t>
            </w:r>
          </w:p>
        </w:tc>
        <w:tc>
          <w:tcPr>
            <w:tcW w:w="1040" w:type="dxa"/>
            <w:vAlign w:val="bottom"/>
            <w:gridSpan w:val="2"/>
            <w:shd w:val="clear" w:color="auto" w:fill="CCFFCC"/>
          </w:tcPr>
          <w:p>
            <w:pPr>
              <w:jc w:val="right"/>
              <w:ind w:right="28"/>
              <w:spacing w:after="0" w:line="149" w:lineRule="exact"/>
              <w:rPr>
                <w:sz w:val="20"/>
                <w:szCs w:val="20"/>
                <w:color w:val="auto"/>
              </w:rPr>
            </w:pPr>
            <w:r>
              <w:rPr>
                <w:rFonts w:ascii="Arial" w:cs="Arial" w:eastAsia="Arial" w:hAnsi="Arial"/>
                <w:sz w:val="14"/>
                <w:szCs w:val="14"/>
                <w:b w:val="1"/>
                <w:bCs w:val="1"/>
                <w:color w:val="auto"/>
              </w:rPr>
              <w:t>-13.7%</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8"/>
              <w:spacing w:after="0" w:line="149" w:lineRule="exact"/>
              <w:rPr>
                <w:sz w:val="20"/>
                <w:szCs w:val="20"/>
                <w:color w:val="auto"/>
              </w:rPr>
            </w:pPr>
            <w:r>
              <w:rPr>
                <w:rFonts w:ascii="Arial" w:cs="Arial" w:eastAsia="Arial" w:hAnsi="Arial"/>
                <w:sz w:val="14"/>
                <w:szCs w:val="14"/>
                <w:b w:val="1"/>
                <w:bCs w:val="1"/>
                <w:color w:val="auto"/>
              </w:rPr>
              <w:t>-7.8%</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13.7</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13.8</w:t>
            </w:r>
          </w:p>
        </w:tc>
        <w:tc>
          <w:tcPr>
            <w:tcW w:w="11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-0.5%</w:t>
            </w: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Translation result</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(0.6)</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0.0</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0.0</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-100%</w:t>
            </w:r>
          </w:p>
        </w:tc>
        <w:tc>
          <w:tcPr>
            <w:tcW w:w="240" w:type="dxa"/>
            <w:vAlign w:val="bottom"/>
          </w:tcPr>
          <w:p>
            <w:pPr>
              <w:spacing w:after="0"/>
              <w:rPr>
                <w:sz w:val="12"/>
                <w:szCs w:val="12"/>
                <w:color w:val="auto"/>
              </w:rPr>
            </w:pP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-100%</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(0.6)</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0.0</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2"/>
        </w:trPr>
        <w:tc>
          <w:tcPr>
            <w:tcW w:w="32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Income tax</w:t>
            </w:r>
          </w:p>
        </w:tc>
        <w:tc>
          <w:tcPr>
            <w:tcW w:w="102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(1.6)</w:t>
            </w:r>
          </w:p>
        </w:tc>
        <w:tc>
          <w:tcPr>
            <w:tcW w:w="102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(2.5)</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(1.3)</w:t>
            </w:r>
          </w:p>
        </w:tc>
        <w:tc>
          <w:tcPr>
            <w:tcW w:w="104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-37.8%</w:t>
            </w:r>
          </w:p>
        </w:tc>
        <w:tc>
          <w:tcPr>
            <w:tcW w:w="24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24.0%</w:t>
            </w: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(4.1)</w:t>
            </w: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(2.6)</w:t>
            </w:r>
          </w:p>
        </w:tc>
        <w:tc>
          <w:tcPr>
            <w:tcW w:w="11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57.4%</w:t>
            </w:r>
          </w:p>
        </w:tc>
        <w:tc>
          <w:tcPr>
            <w:tcW w:w="0" w:type="dxa"/>
            <w:vAlign w:val="bottom"/>
          </w:tcPr>
          <w:p>
            <w:pPr>
              <w:spacing w:after="0"/>
              <w:rPr>
                <w:sz w:val="1"/>
                <w:szCs w:val="1"/>
                <w:color w:val="auto"/>
              </w:rPr>
            </w:pPr>
          </w:p>
        </w:tc>
      </w:tr>
      <w:tr>
        <w:trPr>
          <w:trHeight w:val="142"/>
        </w:trPr>
        <w:tc>
          <w:tcPr>
            <w:tcW w:w="3200" w:type="dxa"/>
            <w:vAlign w:val="bottom"/>
            <w:tcBorders>
              <w:bottom w:val="single" w:sz="8" w:color="CCFFCC"/>
            </w:tcBorders>
            <w:gridSpan w:val="2"/>
          </w:tcPr>
          <w:p>
            <w:pPr>
              <w:spacing w:after="0" w:line="142" w:lineRule="exact"/>
              <w:rPr>
                <w:sz w:val="20"/>
                <w:szCs w:val="20"/>
                <w:color w:val="auto"/>
              </w:rPr>
            </w:pPr>
            <w:r>
              <w:rPr>
                <w:rFonts w:ascii="Arial" w:cs="Arial" w:eastAsia="Arial" w:hAnsi="Arial"/>
                <w:sz w:val="14"/>
                <w:szCs w:val="14"/>
                <w:b w:val="1"/>
                <w:bCs w:val="1"/>
                <w:color w:val="auto"/>
              </w:rPr>
              <w:t>Net Income</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4.1</w:t>
            </w:r>
          </w:p>
        </w:tc>
        <w:tc>
          <w:tcPr>
            <w:tcW w:w="220" w:type="dxa"/>
            <w:vAlign w:val="bottom"/>
            <w:tcBorders>
              <w:bottom w:val="single" w:sz="8" w:color="CCFFCC"/>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4.8</w:t>
            </w:r>
          </w:p>
        </w:tc>
        <w:tc>
          <w:tcPr>
            <w:tcW w:w="240" w:type="dxa"/>
            <w:vAlign w:val="bottom"/>
            <w:tcBorders>
              <w:bottom w:val="single" w:sz="8" w:color="CCFFCC"/>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5.6</w:t>
            </w:r>
          </w:p>
        </w:tc>
        <w:tc>
          <w:tcPr>
            <w:tcW w:w="220" w:type="dxa"/>
            <w:vAlign w:val="bottom"/>
            <w:tcBorders>
              <w:bottom w:val="single" w:sz="8" w:color="CCFFCC"/>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-13.3</w:t>
            </w:r>
          </w:p>
        </w:tc>
        <w:tc>
          <w:tcPr>
            <w:tcW w:w="240" w:type="dxa"/>
            <w:vAlign w:val="bottom"/>
            <w:tcBorders>
              <w:bottom w:val="single" w:sz="8" w:color="CCFFCC"/>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2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-26.1</w:t>
            </w:r>
          </w:p>
        </w:tc>
        <w:tc>
          <w:tcPr>
            <w:tcW w:w="240" w:type="dxa"/>
            <w:vAlign w:val="bottom"/>
            <w:tcBorders>
              <w:bottom w:val="single" w:sz="8" w:color="CCFFCC"/>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8.9</w:t>
            </w:r>
          </w:p>
        </w:tc>
        <w:tc>
          <w:tcPr>
            <w:tcW w:w="200" w:type="dxa"/>
            <w:vAlign w:val="bottom"/>
            <w:tcBorders>
              <w:bottom w:val="single" w:sz="8" w:color="CCFFCC"/>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11.2</w:t>
            </w:r>
          </w:p>
        </w:tc>
        <w:tc>
          <w:tcPr>
            <w:tcW w:w="220" w:type="dxa"/>
            <w:vAlign w:val="bottom"/>
            <w:tcBorders>
              <w:bottom w:val="single" w:sz="8" w:color="CCFFCC"/>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w:t>
            </w:r>
          </w:p>
        </w:tc>
        <w:tc>
          <w:tcPr>
            <w:tcW w:w="140" w:type="dxa"/>
            <w:vAlign w:val="bottom"/>
            <w:tcBorders>
              <w:bottom w:val="single" w:sz="8" w:color="CCFFCC"/>
            </w:tcBorders>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3200" w:type="dxa"/>
            <w:vAlign w:val="bottom"/>
            <w:gridSpan w:val="2"/>
            <w:shd w:val="clear" w:color="auto" w:fill="CCFFCC"/>
          </w:tcPr>
          <w:p>
            <w:pPr>
              <w:spacing w:after="0" w:line="142" w:lineRule="exact"/>
              <w:rPr>
                <w:sz w:val="20"/>
                <w:szCs w:val="20"/>
                <w:color w:val="auto"/>
              </w:rPr>
            </w:pPr>
            <w:r>
              <w:rPr>
                <w:rFonts w:ascii="Arial" w:cs="Arial" w:eastAsia="Arial" w:hAnsi="Arial"/>
                <w:sz w:val="14"/>
                <w:szCs w:val="14"/>
                <w:color w:val="auto"/>
              </w:rPr>
              <w:t>Total loans</w:t>
            </w: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948.1</w:t>
            </w: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905.5</w:t>
            </w:r>
          </w:p>
        </w:tc>
        <w:tc>
          <w:tcPr>
            <w:tcW w:w="24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810.2</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4.7%</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17.0%</w:t>
            </w:r>
          </w:p>
        </w:tc>
        <w:tc>
          <w:tcPr>
            <w:tcW w:w="8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Past due loans</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15.3</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12.9</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11.4</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19.0%</w:t>
            </w:r>
          </w:p>
        </w:tc>
        <w:tc>
          <w:tcPr>
            <w:tcW w:w="240" w:type="dxa"/>
            <w:vAlign w:val="bottom"/>
          </w:tcPr>
          <w:p>
            <w:pPr>
              <w:spacing w:after="0"/>
              <w:rPr>
                <w:sz w:val="12"/>
                <w:szCs w:val="12"/>
                <w:color w:val="auto"/>
              </w:rPr>
            </w:pP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34.1%</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Net provisions for possible loan losses</w:t>
            </w:r>
          </w:p>
        </w:tc>
        <w:tc>
          <w:tcPr>
            <w:tcW w:w="10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(33.3)</w:t>
            </w:r>
          </w:p>
        </w:tc>
        <w:tc>
          <w:tcPr>
            <w:tcW w:w="10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(32.0)</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(29.6)</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4.2%</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12.5%</w:t>
            </w:r>
          </w:p>
        </w:tc>
        <w:tc>
          <w:tcPr>
            <w:tcW w:w="8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Total investments</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361.6</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405.9</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351.9</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-10.9%</w:t>
            </w:r>
          </w:p>
        </w:tc>
        <w:tc>
          <w:tcPr>
            <w:tcW w:w="240" w:type="dxa"/>
            <w:vAlign w:val="bottom"/>
          </w:tcPr>
          <w:p>
            <w:pPr>
              <w:spacing w:after="0"/>
              <w:rPr>
                <w:sz w:val="12"/>
                <w:szCs w:val="12"/>
                <w:color w:val="auto"/>
              </w:rPr>
            </w:pP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2.7%</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Total assets</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1,537.8</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1,512.5</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1,335.6</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1.7%</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15.1%</w:t>
            </w:r>
          </w:p>
        </w:tc>
        <w:tc>
          <w:tcPr>
            <w:tcW w:w="8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Total deposits</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1,356.9</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1,333.4</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1,176.3</w:t>
            </w:r>
          </w:p>
        </w:tc>
        <w:tc>
          <w:tcPr>
            <w:tcW w:w="220" w:type="dxa"/>
            <w:vAlign w:val="bottom"/>
          </w:tcPr>
          <w:p>
            <w:pPr>
              <w:spacing w:after="0"/>
              <w:rPr>
                <w:sz w:val="12"/>
                <w:szCs w:val="12"/>
                <w:color w:val="auto"/>
              </w:rPr>
            </w:pP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1.8%</w:t>
            </w:r>
          </w:p>
        </w:tc>
        <w:tc>
          <w:tcPr>
            <w:tcW w:w="240" w:type="dxa"/>
            <w:vAlign w:val="bottom"/>
          </w:tcPr>
          <w:p>
            <w:pPr>
              <w:spacing w:after="0"/>
              <w:rPr>
                <w:sz w:val="12"/>
                <w:szCs w:val="12"/>
                <w:color w:val="auto"/>
              </w:rPr>
            </w:pP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15.4%</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Net shareholders' equity</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140.4</w:t>
            </w:r>
          </w:p>
        </w:tc>
        <w:tc>
          <w:tcPr>
            <w:tcW w:w="220" w:type="dxa"/>
            <w:vAlign w:val="bottom"/>
            <w:shd w:val="clear" w:color="auto" w:fill="CCFFCC"/>
          </w:tcPr>
          <w:p>
            <w:pPr>
              <w:spacing w:after="0"/>
              <w:rPr>
                <w:sz w:val="14"/>
                <w:szCs w:val="14"/>
                <w:color w:val="auto"/>
              </w:rPr>
            </w:pP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137.6</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124.5</w:t>
            </w:r>
          </w:p>
        </w:tc>
        <w:tc>
          <w:tcPr>
            <w:tcW w:w="104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2.1%</w:t>
            </w:r>
          </w:p>
        </w:tc>
        <w:tc>
          <w:tcPr>
            <w:tcW w:w="24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12.8%</w:t>
            </w:r>
          </w:p>
        </w:tc>
        <w:tc>
          <w:tcPr>
            <w:tcW w:w="8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96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4"/>
                <w:szCs w:val="14"/>
                <w:color w:val="auto"/>
              </w:rPr>
              <w:t>PDL ratio</w:t>
            </w: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00" w:type="dxa"/>
            <w:vAlign w:val="bottom"/>
            <w:gridSpan w:val="2"/>
            <w:vMerge w:val="continue"/>
          </w:tcPr>
          <w:p>
            <w:pPr>
              <w:spacing w:after="0"/>
              <w:rPr>
                <w:sz w:val="12"/>
                <w:szCs w:val="12"/>
                <w:color w:val="auto"/>
              </w:rPr>
            </w:pPr>
          </w:p>
        </w:tc>
        <w:tc>
          <w:tcPr>
            <w:tcW w:w="10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1.63%</w:t>
            </w:r>
          </w:p>
        </w:tc>
        <w:tc>
          <w:tcPr>
            <w:tcW w:w="10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1.43%</w:t>
            </w:r>
          </w:p>
        </w:tc>
        <w:tc>
          <w:tcPr>
            <w:tcW w:w="10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1.42%</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Coverage of PDLs</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230.3%</w:t>
            </w: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260.6%</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272.3%</w:t>
            </w: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ROAE</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11.9%</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14.1%</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18.5%</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Branches</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43</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43</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40</w:t>
            </w:r>
          </w:p>
        </w:tc>
        <w:tc>
          <w:tcPr>
            <w:tcW w:w="22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Agentes</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36</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28</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ATMs</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235</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215</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189</w:t>
            </w:r>
          </w:p>
        </w:tc>
        <w:tc>
          <w:tcPr>
            <w:tcW w:w="22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200" w:type="dxa"/>
            <w:vAlign w:val="bottom"/>
            <w:gridSpan w:val="2"/>
          </w:tcPr>
          <w:p>
            <w:pPr>
              <w:spacing w:after="0"/>
              <w:rPr>
                <w:sz w:val="20"/>
                <w:szCs w:val="20"/>
                <w:color w:val="auto"/>
              </w:rPr>
            </w:pPr>
            <w:r>
              <w:rPr>
                <w:rFonts w:ascii="Arial" w:cs="Arial" w:eastAsia="Arial" w:hAnsi="Arial"/>
                <w:sz w:val="14"/>
                <w:szCs w:val="14"/>
                <w:color w:val="auto"/>
              </w:rPr>
              <w:t>Employees</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1,652</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1,604</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1,483</w:t>
            </w: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-8890</wp:posOffset>
            </wp:positionV>
            <wp:extent cx="178371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(1) El ROAE for June 2013 added to 13.1% (Year to date) and 18.9% for June 2012 (Year to date).</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BCP Bolivia net income in 2Q13 was US$ 4.1 million, which reflects a 13.3% decline QoQ. This drop was due primarily to a decrease in non-financial income (-15.0% QoQ), which was attributable to two factors: i) extraordinary income was posted in 1Q13 due to cost-recoveries from prior periods and ii) a 113.2% increase in net provisions for loan losses QoQ, which was associated with loan growth and an increase in delinquency. These factors were partially offset by the contraction in operating expenses (-11.4%) and a reduction income tax payments (-37.8%) due to a drop in earnings in 2Q13. The translation loss this quarter is due to the devaluation of the Nuevo Sol against the US Dollar given that BCP Bolivia has investments in Peruvian mutual funds (Credifondo Conservador and Scotia Fondo Premium).</w:t>
      </w:r>
    </w:p>
    <w:p>
      <w:pPr>
        <w:spacing w:after="0" w:line="193"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In annual terms, BCP Bolivia’s net income fell (-26.1%). This decline was due to the fact that operating expenses grew 28.5% this quarter, which was mainly attributable to a new tax on sales of foreign currency</w:t>
      </w:r>
      <w:r>
        <w:rPr>
          <w:rFonts w:ascii="Arial" w:cs="Arial" w:eastAsia="Arial" w:hAnsi="Arial"/>
          <w:sz w:val="28"/>
          <w:szCs w:val="28"/>
          <w:color w:val="auto"/>
          <w:vertAlign w:val="superscript"/>
        </w:rPr>
        <w:t>4</w:t>
      </w:r>
      <w:r>
        <w:rPr>
          <w:rFonts w:ascii="Arial" w:cs="Arial" w:eastAsia="Arial" w:hAnsi="Arial"/>
          <w:sz w:val="17"/>
          <w:szCs w:val="17"/>
          <w:color w:val="auto"/>
        </w:rPr>
        <w:t>. The aforementioned was partially offset by growth in net interest income (+8.6%), which was associated with loan expansion (+17.0% QoQ), and a (+13.5% QoQ) increase in non-financial income, which was due primarily to foreign transfers.</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past due ratio in 2Q13 was 1.63% (1.43% in 1T13 and 1.42% in 2Q12) with a coverage ratio of 230.3% (260.6% in 1Q13 and 272.3% in 2Q12). Despite an increase in its past due ratio, BCP Bolivia continues to be one of the most stable and reliable entities in the Bolivian banking system, which reported a loss ratio of 1.59% and a coverage ratio of 262.8% at the end of 2Q13. BCP Bolivia’s ROAE in 2Q13 was 11.9%.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BCP Bolivia’s loan balance at the end of June 2013 was US$ 948.1 million, which tops the US$ 905.5 million reported at the end of March 2013 by 4.7% and is 17.0% higher than June 2012’s level. Loan growth QoQ is due primarily to expansion in Retail Banking loans (which represent 59.2% of BCP Bolivia’s portfolio), which grew 6.9% QoQ and 27.4% YoY. Within this portfolio, the segments that posted the most significant growth were: i) Personal Loans (+7.2% QoQ and +33.9% YoY); ii) SMEs (+7.1% QoQ and +27.3 YoY); and iii) Home Loans (+6.3%QoQ and +26.3% YoY). During the same period, Whole Banking loans, which represent 38.4% of BCP Bolivia’s total loans, grew +1.1% QoQ and +3.8% YoY.</w:t>
      </w:r>
    </w:p>
    <w:p>
      <w:pPr>
        <w:spacing w:after="0" w:line="17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BCP Bolivia’s investment balance at the end of June 2013 totaled US$ 361.6 million, which represents a decline of 10.9% QoQ and 2.7% YoY. The QoQ trend was attributable to the fact that a portion of the bank’s investment in instruments from the Central Bank of Bolivia reached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4490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8" w:lineRule="exact"/>
        <w:rPr>
          <w:sz w:val="20"/>
          <w:szCs w:val="20"/>
          <w:color w:val="auto"/>
        </w:rPr>
      </w:pPr>
    </w:p>
    <w:p>
      <w:pPr>
        <w:ind w:left="120" w:hanging="112"/>
        <w:spacing w:after="0"/>
        <w:tabs>
          <w:tab w:leader="none" w:pos="120" w:val="left"/>
        </w:tabs>
        <w:numPr>
          <w:ilvl w:val="0"/>
          <w:numId w:val="25"/>
        </w:numPr>
        <w:rPr>
          <w:rFonts w:ascii="Arial" w:cs="Arial" w:eastAsia="Arial" w:hAnsi="Arial"/>
          <w:sz w:val="30"/>
          <w:szCs w:val="30"/>
          <w:color w:val="auto"/>
          <w:vertAlign w:val="superscript"/>
        </w:rPr>
      </w:pPr>
      <w:r>
        <w:rPr>
          <w:rFonts w:ascii="Arial" w:cs="Arial" w:eastAsia="Arial" w:hAnsi="Arial"/>
          <w:sz w:val="18"/>
          <w:szCs w:val="18"/>
          <w:color w:val="auto"/>
        </w:rPr>
        <w:t>For each foreign currency transaction is subject to a 0.70% tax.</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8" w:name="page29"/>
    <w:bookmarkEnd w:id="28"/>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line="277" w:lineRule="auto"/>
        <w:rPr>
          <w:sz w:val="20"/>
          <w:szCs w:val="20"/>
          <w:color w:val="auto"/>
        </w:rPr>
      </w:pPr>
      <w:r>
        <w:rPr>
          <w:rFonts w:ascii="Arial" w:cs="Arial" w:eastAsia="Arial" w:hAnsi="Arial"/>
          <w:sz w:val="18"/>
          <w:szCs w:val="18"/>
          <w:color w:val="auto"/>
        </w:rPr>
        <w:t>In terms of liabilities, BCP Bolivia’s deposits grew 1.8% QoQ, which is mainly attributable to 6.1% growth in time deposits. The YoY analysis reflects an increase of 15.4% due to an increase in term deposits (+46.3%) and savings deposits (+3.7%).</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shareholders’ equity posted increases of 2.1% QoQ and 12.8% YoY. Credicorp’s confidence in Bolivia is reflected in the fact that it has decided to reinvest 2012’s earnings to strengthen the bank’s equity and contribute to loan growth.</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BCP Bolivia’s market share remains solid and stable with 10.7% share of current loans (third place in the banking system) and an 11.6% stake in total deposits (fifth place in the banking system).</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9" w:name="page30"/>
    <w:bookmarkEnd w:id="29"/>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IV. Financiera Edyficar</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40" w:type="dxa"/>
            <w:vAlign w:val="bottom"/>
            <w:gridSpan w:val="2"/>
          </w:tcPr>
          <w:p>
            <w:pPr>
              <w:spacing w:after="0"/>
              <w:rPr>
                <w:sz w:val="20"/>
                <w:szCs w:val="20"/>
                <w:color w:val="auto"/>
              </w:rPr>
            </w:pPr>
            <w:r>
              <w:rPr>
                <w:rFonts w:ascii="Arial" w:cs="Arial" w:eastAsia="Arial" w:hAnsi="Arial"/>
                <w:sz w:val="13"/>
                <w:szCs w:val="13"/>
                <w:b w:val="1"/>
                <w:bCs w:val="1"/>
                <w:color w:val="auto"/>
              </w:rPr>
              <w:t>Edyficar</w:t>
            </w: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Quarter</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3"/>
          </w:tcPr>
          <w:p>
            <w:pPr>
              <w:ind w:left="600"/>
              <w:spacing w:after="0"/>
              <w:rPr>
                <w:sz w:val="20"/>
                <w:szCs w:val="20"/>
                <w:color w:val="auto"/>
              </w:rPr>
            </w:pPr>
            <w:r>
              <w:rPr>
                <w:rFonts w:ascii="Arial" w:cs="Arial" w:eastAsia="Arial" w:hAnsi="Arial"/>
                <w:sz w:val="13"/>
                <w:szCs w:val="13"/>
                <w:b w:val="1"/>
                <w:bCs w:val="1"/>
                <w:color w:val="auto"/>
                <w:w w:val="98"/>
              </w:rPr>
              <w:t>Change %</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3"/>
          </w:tcPr>
          <w:p>
            <w:pPr>
              <w:ind w:left="560"/>
              <w:spacing w:after="0"/>
              <w:rPr>
                <w:sz w:val="20"/>
                <w:szCs w:val="20"/>
                <w:color w:val="auto"/>
              </w:rPr>
            </w:pPr>
            <w:r>
              <w:rPr>
                <w:rFonts w:ascii="Arial" w:cs="Arial" w:eastAsia="Arial" w:hAnsi="Arial"/>
                <w:sz w:val="13"/>
                <w:szCs w:val="13"/>
                <w:b w:val="1"/>
                <w:bCs w:val="1"/>
                <w:color w:val="auto"/>
                <w:w w:val="96"/>
              </w:rPr>
              <w:t>Year to date</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177"/>
              <w:spacing w:after="0"/>
              <w:rPr>
                <w:sz w:val="20"/>
                <w:szCs w:val="20"/>
                <w:color w:val="auto"/>
              </w:rPr>
            </w:pPr>
            <w:r>
              <w:rPr>
                <w:rFonts w:ascii="Arial" w:cs="Arial" w:eastAsia="Arial" w:hAnsi="Arial"/>
                <w:sz w:val="13"/>
                <w:szCs w:val="13"/>
                <w:b w:val="1"/>
                <w:bCs w:val="1"/>
                <w:color w:val="auto"/>
              </w:rPr>
              <w:t>Change %</w:t>
            </w:r>
          </w:p>
        </w:tc>
        <w:tc>
          <w:tcPr>
            <w:tcW w:w="0" w:type="dxa"/>
            <w:vAlign w:val="bottom"/>
          </w:tcPr>
          <w:p>
            <w:pPr>
              <w:spacing w:after="0"/>
              <w:rPr>
                <w:sz w:val="1"/>
                <w:szCs w:val="1"/>
                <w:color w:val="auto"/>
              </w:rPr>
            </w:pPr>
          </w:p>
        </w:tc>
      </w:tr>
      <w:tr>
        <w:trPr>
          <w:trHeight w:val="153"/>
        </w:trPr>
        <w:tc>
          <w:tcPr>
            <w:tcW w:w="32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US$ 000</w:t>
            </w:r>
          </w:p>
        </w:tc>
        <w:tc>
          <w:tcPr>
            <w:tcW w:w="140" w:type="dxa"/>
            <w:vAlign w:val="bottom"/>
            <w:tcBorders>
              <w:bottom w:val="single" w:sz="8" w:color="CCFFCC"/>
            </w:tcBorders>
          </w:tcPr>
          <w:p>
            <w:pPr>
              <w:spacing w:after="0"/>
              <w:rPr>
                <w:sz w:val="13"/>
                <w:szCs w:val="13"/>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2Q13</w:t>
            </w:r>
          </w:p>
        </w:tc>
        <w:tc>
          <w:tcPr>
            <w:tcW w:w="240" w:type="dxa"/>
            <w:vAlign w:val="bottom"/>
            <w:tcBorders>
              <w:bottom w:val="single" w:sz="8" w:color="CCFFCC"/>
            </w:tcBorders>
          </w:tcPr>
          <w:p>
            <w:pPr>
              <w:spacing w:after="0"/>
              <w:rPr>
                <w:sz w:val="13"/>
                <w:szCs w:val="13"/>
                <w:color w:val="auto"/>
              </w:rPr>
            </w:pPr>
          </w:p>
        </w:tc>
        <w:tc>
          <w:tcPr>
            <w:tcW w:w="8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1Q13</w:t>
            </w:r>
          </w:p>
        </w:tc>
        <w:tc>
          <w:tcPr>
            <w:tcW w:w="240" w:type="dxa"/>
            <w:vAlign w:val="bottom"/>
            <w:tcBorders>
              <w:bottom w:val="single" w:sz="8" w:color="CCFFCC"/>
            </w:tcBorders>
          </w:tcPr>
          <w:p>
            <w:pPr>
              <w:spacing w:after="0"/>
              <w:rPr>
                <w:sz w:val="13"/>
                <w:szCs w:val="13"/>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2Q12</w:t>
            </w:r>
          </w:p>
        </w:tc>
        <w:tc>
          <w:tcPr>
            <w:tcW w:w="220" w:type="dxa"/>
            <w:vAlign w:val="bottom"/>
            <w:tcBorders>
              <w:bottom w:val="single" w:sz="8" w:color="CCFFCC"/>
            </w:tcBorders>
          </w:tcPr>
          <w:p>
            <w:pPr>
              <w:spacing w:after="0"/>
              <w:rPr>
                <w:sz w:val="13"/>
                <w:szCs w:val="13"/>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QoQ</w:t>
            </w:r>
          </w:p>
        </w:tc>
        <w:tc>
          <w:tcPr>
            <w:tcW w:w="240" w:type="dxa"/>
            <w:vAlign w:val="bottom"/>
            <w:tcBorders>
              <w:bottom w:val="single" w:sz="8" w:color="CCFFC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YoY</w:t>
            </w:r>
          </w:p>
        </w:tc>
        <w:tc>
          <w:tcPr>
            <w:tcW w:w="240" w:type="dxa"/>
            <w:vAlign w:val="bottom"/>
            <w:tcBorders>
              <w:bottom w:val="single" w:sz="8" w:color="CCFFCC"/>
            </w:tcBorders>
          </w:tcPr>
          <w:p>
            <w:pPr>
              <w:spacing w:after="0"/>
              <w:rPr>
                <w:sz w:val="13"/>
                <w:szCs w:val="13"/>
                <w:color w:val="auto"/>
              </w:rPr>
            </w:pPr>
          </w:p>
        </w:tc>
        <w:tc>
          <w:tcPr>
            <w:tcW w:w="7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Jun-13</w:t>
            </w:r>
          </w:p>
        </w:tc>
        <w:tc>
          <w:tcPr>
            <w:tcW w:w="220" w:type="dxa"/>
            <w:vAlign w:val="bottom"/>
            <w:tcBorders>
              <w:bottom w:val="single" w:sz="8" w:color="CCFFCC"/>
            </w:tcBorders>
          </w:tcPr>
          <w:p>
            <w:pPr>
              <w:spacing w:after="0"/>
              <w:rPr>
                <w:sz w:val="13"/>
                <w:szCs w:val="13"/>
                <w:color w:val="auto"/>
              </w:rPr>
            </w:pPr>
          </w:p>
        </w:tc>
        <w:tc>
          <w:tcPr>
            <w:tcW w:w="780" w:type="dxa"/>
            <w:vAlign w:val="bottom"/>
            <w:tcBorders>
              <w:bottom w:val="single" w:sz="8" w:color="auto"/>
            </w:tcBorders>
            <w:gridSpan w:val="2"/>
          </w:tcPr>
          <w:p>
            <w:pPr>
              <w:jc w:val="right"/>
              <w:ind w:right="137"/>
              <w:spacing w:after="0"/>
              <w:rPr>
                <w:sz w:val="20"/>
                <w:szCs w:val="20"/>
                <w:color w:val="auto"/>
              </w:rPr>
            </w:pPr>
            <w:r>
              <w:rPr>
                <w:rFonts w:ascii="Arial" w:cs="Arial" w:eastAsia="Arial" w:hAnsi="Arial"/>
                <w:sz w:val="13"/>
                <w:szCs w:val="13"/>
                <w:b w:val="1"/>
                <w:bCs w:val="1"/>
                <w:color w:val="auto"/>
              </w:rPr>
              <w:t>Jun-12</w:t>
            </w:r>
          </w:p>
        </w:tc>
        <w:tc>
          <w:tcPr>
            <w:tcW w:w="220" w:type="dxa"/>
            <w:vAlign w:val="bottom"/>
            <w:tcBorders>
              <w:bottom w:val="single" w:sz="8" w:color="CCFFCC"/>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8"/>
              </w:rPr>
              <w:t>Jun13 / Jun12</w:t>
            </w:r>
          </w:p>
        </w:tc>
        <w:tc>
          <w:tcPr>
            <w:tcW w:w="140" w:type="dxa"/>
            <w:vAlign w:val="bottom"/>
            <w:tcBorders>
              <w:bottom w:val="single" w:sz="8" w:color="CCFFCC"/>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200" w:type="dxa"/>
            <w:vAlign w:val="bottom"/>
            <w:shd w:val="clear" w:color="auto" w:fill="CCFFCC"/>
          </w:tcPr>
          <w:p>
            <w:pPr>
              <w:spacing w:after="0" w:line="129" w:lineRule="exact"/>
              <w:rPr>
                <w:sz w:val="20"/>
                <w:szCs w:val="20"/>
                <w:color w:val="auto"/>
              </w:rPr>
            </w:pPr>
            <w:r>
              <w:rPr>
                <w:rFonts w:ascii="Arial" w:cs="Arial" w:eastAsia="Arial" w:hAnsi="Arial"/>
                <w:sz w:val="13"/>
                <w:szCs w:val="13"/>
                <w:color w:val="auto"/>
              </w:rPr>
              <w:t>Net financial income</w:t>
            </w:r>
          </w:p>
        </w:tc>
        <w:tc>
          <w:tcPr>
            <w:tcW w:w="140" w:type="dxa"/>
            <w:vAlign w:val="bottom"/>
            <w:shd w:val="clear" w:color="auto" w:fill="CCFFCC"/>
          </w:tcPr>
          <w:p>
            <w:pPr>
              <w:spacing w:after="0"/>
              <w:rPr>
                <w:sz w:val="11"/>
                <w:szCs w:val="11"/>
                <w:color w:val="auto"/>
              </w:rPr>
            </w:pPr>
          </w:p>
        </w:tc>
        <w:tc>
          <w:tcPr>
            <w:tcW w:w="80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55,861</w:t>
            </w:r>
          </w:p>
        </w:tc>
        <w:tc>
          <w:tcPr>
            <w:tcW w:w="240" w:type="dxa"/>
            <w:vAlign w:val="bottom"/>
            <w:shd w:val="clear" w:color="auto" w:fill="CCFFCC"/>
          </w:tcPr>
          <w:p>
            <w:pPr>
              <w:spacing w:after="0"/>
              <w:rPr>
                <w:sz w:val="11"/>
                <w:szCs w:val="11"/>
                <w:color w:val="auto"/>
              </w:rPr>
            </w:pPr>
          </w:p>
        </w:tc>
        <w:tc>
          <w:tcPr>
            <w:tcW w:w="82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48,966</w:t>
            </w: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35,908</w:t>
            </w:r>
          </w:p>
        </w:tc>
        <w:tc>
          <w:tcPr>
            <w:tcW w:w="22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77"/>
              <w:spacing w:after="0" w:line="129" w:lineRule="exact"/>
              <w:rPr>
                <w:sz w:val="20"/>
                <w:szCs w:val="20"/>
                <w:color w:val="auto"/>
              </w:rPr>
            </w:pPr>
            <w:r>
              <w:rPr>
                <w:rFonts w:ascii="Arial" w:cs="Arial" w:eastAsia="Arial" w:hAnsi="Arial"/>
                <w:sz w:val="13"/>
                <w:szCs w:val="13"/>
                <w:color w:val="auto"/>
              </w:rPr>
              <w:t>14.1%</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77"/>
              <w:spacing w:after="0" w:line="129" w:lineRule="exact"/>
              <w:rPr>
                <w:sz w:val="20"/>
                <w:szCs w:val="20"/>
                <w:color w:val="auto"/>
              </w:rPr>
            </w:pPr>
            <w:r>
              <w:rPr>
                <w:rFonts w:ascii="Arial" w:cs="Arial" w:eastAsia="Arial" w:hAnsi="Arial"/>
                <w:sz w:val="13"/>
                <w:szCs w:val="13"/>
                <w:color w:val="auto"/>
              </w:rPr>
              <w:t>55.6%</w:t>
            </w:r>
          </w:p>
        </w:tc>
        <w:tc>
          <w:tcPr>
            <w:tcW w:w="7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104,826</w:t>
            </w:r>
          </w:p>
        </w:tc>
        <w:tc>
          <w:tcPr>
            <w:tcW w:w="22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4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69,689</w:t>
            </w:r>
          </w:p>
        </w:tc>
        <w:tc>
          <w:tcPr>
            <w:tcW w:w="220" w:type="dxa"/>
            <w:vAlign w:val="bottom"/>
            <w:shd w:val="clear" w:color="auto" w:fill="CCFFCC"/>
          </w:tcPr>
          <w:p>
            <w:pPr>
              <w:spacing w:after="0"/>
              <w:rPr>
                <w:sz w:val="11"/>
                <w:szCs w:val="11"/>
                <w:color w:val="auto"/>
              </w:rPr>
            </w:pPr>
          </w:p>
        </w:tc>
        <w:tc>
          <w:tcPr>
            <w:tcW w:w="920" w:type="dxa"/>
            <w:vAlign w:val="bottom"/>
            <w:gridSpan w:val="2"/>
            <w:shd w:val="clear" w:color="auto" w:fill="CCFFCC"/>
          </w:tcPr>
          <w:p>
            <w:pPr>
              <w:jc w:val="right"/>
              <w:spacing w:after="0" w:line="129" w:lineRule="exact"/>
              <w:rPr>
                <w:sz w:val="20"/>
                <w:szCs w:val="20"/>
                <w:color w:val="auto"/>
              </w:rPr>
            </w:pPr>
            <w:r>
              <w:rPr>
                <w:rFonts w:ascii="Arial" w:cs="Arial" w:eastAsia="Arial" w:hAnsi="Arial"/>
                <w:sz w:val="13"/>
                <w:szCs w:val="13"/>
                <w:color w:val="auto"/>
              </w:rPr>
              <w:t>50.4%</w:t>
            </w:r>
          </w:p>
        </w:tc>
        <w:tc>
          <w:tcPr>
            <w:tcW w:w="0" w:type="dxa"/>
            <w:vAlign w:val="bottom"/>
          </w:tcPr>
          <w:p>
            <w:pPr>
              <w:spacing w:after="0"/>
              <w:rPr>
                <w:sz w:val="1"/>
                <w:szCs w:val="1"/>
                <w:color w:val="auto"/>
              </w:rPr>
            </w:pPr>
          </w:p>
        </w:tc>
      </w:tr>
      <w:tr>
        <w:trPr>
          <w:trHeight w:val="135"/>
        </w:trPr>
        <w:tc>
          <w:tcPr>
            <w:tcW w:w="3340" w:type="dxa"/>
            <w:vAlign w:val="bottom"/>
            <w:gridSpan w:val="2"/>
          </w:tcPr>
          <w:p>
            <w:pPr>
              <w:spacing w:after="0" w:line="135" w:lineRule="exact"/>
              <w:rPr>
                <w:sz w:val="20"/>
                <w:szCs w:val="20"/>
                <w:color w:val="auto"/>
              </w:rPr>
            </w:pPr>
            <w:r>
              <w:rPr>
                <w:rFonts w:ascii="Arial" w:cs="Arial" w:eastAsia="Arial" w:hAnsi="Arial"/>
                <w:sz w:val="13"/>
                <w:szCs w:val="13"/>
                <w:color w:val="auto"/>
              </w:rPr>
              <w:t>Total provisions for loan loasses</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(8,092)</w:t>
            </w:r>
          </w:p>
        </w:tc>
        <w:tc>
          <w:tcPr>
            <w:tcW w:w="10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(8,532)</w:t>
            </w: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(6,003)</w:t>
            </w:r>
          </w:p>
        </w:tc>
        <w:tc>
          <w:tcPr>
            <w:tcW w:w="10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-5.2%</w:t>
            </w:r>
          </w:p>
        </w:tc>
        <w:tc>
          <w:tcPr>
            <w:tcW w:w="220" w:type="dxa"/>
            <w:vAlign w:val="bottom"/>
          </w:tcPr>
          <w:p>
            <w:pPr>
              <w:spacing w:after="0"/>
              <w:rPr>
                <w:sz w:val="11"/>
                <w:szCs w:val="11"/>
                <w:color w:val="auto"/>
              </w:rPr>
            </w:pPr>
          </w:p>
        </w:tc>
        <w:tc>
          <w:tcPr>
            <w:tcW w:w="80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34.8%</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(16,624)</w:t>
            </w:r>
          </w:p>
        </w:tc>
        <w:tc>
          <w:tcPr>
            <w:tcW w:w="30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(11,283)</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47.3%</w:t>
            </w:r>
          </w:p>
        </w:tc>
        <w:tc>
          <w:tcPr>
            <w:tcW w:w="0" w:type="dxa"/>
            <w:vAlign w:val="bottom"/>
          </w:tcPr>
          <w:p>
            <w:pPr>
              <w:spacing w:after="0"/>
              <w:rPr>
                <w:sz w:val="1"/>
                <w:szCs w:val="1"/>
                <w:color w:val="auto"/>
              </w:rPr>
            </w:pPr>
          </w:p>
        </w:tc>
      </w:tr>
      <w:tr>
        <w:trPr>
          <w:trHeight w:val="135"/>
        </w:trPr>
        <w:tc>
          <w:tcPr>
            <w:tcW w:w="33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Non financial income</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194</w:t>
            </w:r>
          </w:p>
        </w:tc>
        <w:tc>
          <w:tcPr>
            <w:tcW w:w="10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498</w:t>
            </w:r>
          </w:p>
        </w:tc>
        <w:tc>
          <w:tcPr>
            <w:tcW w:w="10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387</w:t>
            </w:r>
          </w:p>
        </w:tc>
        <w:tc>
          <w:tcPr>
            <w:tcW w:w="102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-61.0%</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-49.8%</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693</w:t>
            </w:r>
          </w:p>
        </w:tc>
        <w:tc>
          <w:tcPr>
            <w:tcW w:w="30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611</w:t>
            </w:r>
          </w:p>
        </w:tc>
        <w:tc>
          <w:tcPr>
            <w:tcW w:w="9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13.4%</w:t>
            </w:r>
          </w:p>
        </w:tc>
        <w:tc>
          <w:tcPr>
            <w:tcW w:w="0" w:type="dxa"/>
            <w:vAlign w:val="bottom"/>
          </w:tcPr>
          <w:p>
            <w:pPr>
              <w:spacing w:after="0"/>
              <w:rPr>
                <w:sz w:val="1"/>
                <w:szCs w:val="1"/>
                <w:color w:val="auto"/>
              </w:rPr>
            </w:pPr>
          </w:p>
        </w:tc>
      </w:tr>
      <w:tr>
        <w:trPr>
          <w:trHeight w:val="135"/>
        </w:trPr>
        <w:tc>
          <w:tcPr>
            <w:tcW w:w="3340" w:type="dxa"/>
            <w:vAlign w:val="bottom"/>
            <w:gridSpan w:val="2"/>
          </w:tcPr>
          <w:p>
            <w:pPr>
              <w:spacing w:after="0" w:line="135" w:lineRule="exact"/>
              <w:rPr>
                <w:sz w:val="20"/>
                <w:szCs w:val="20"/>
                <w:color w:val="auto"/>
              </w:rPr>
            </w:pPr>
            <w:r>
              <w:rPr>
                <w:rFonts w:ascii="Arial" w:cs="Arial" w:eastAsia="Arial" w:hAnsi="Arial"/>
                <w:sz w:val="13"/>
                <w:szCs w:val="13"/>
                <w:color w:val="auto"/>
              </w:rPr>
              <w:t>Operating expenses</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(26,852)</w:t>
            </w:r>
          </w:p>
        </w:tc>
        <w:tc>
          <w:tcPr>
            <w:tcW w:w="10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(26,911)</w:t>
            </w: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(20,200)</w:t>
            </w:r>
          </w:p>
        </w:tc>
        <w:tc>
          <w:tcPr>
            <w:tcW w:w="10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-0.2%</w:t>
            </w:r>
          </w:p>
        </w:tc>
        <w:tc>
          <w:tcPr>
            <w:tcW w:w="220" w:type="dxa"/>
            <w:vAlign w:val="bottom"/>
          </w:tcPr>
          <w:p>
            <w:pPr>
              <w:spacing w:after="0"/>
              <w:rPr>
                <w:sz w:val="11"/>
                <w:szCs w:val="11"/>
                <w:color w:val="auto"/>
              </w:rPr>
            </w:pPr>
          </w:p>
        </w:tc>
        <w:tc>
          <w:tcPr>
            <w:tcW w:w="80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32.9%</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(53,763)</w:t>
            </w:r>
          </w:p>
        </w:tc>
        <w:tc>
          <w:tcPr>
            <w:tcW w:w="30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(39,491)</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36.1%</w:t>
            </w:r>
          </w:p>
        </w:tc>
        <w:tc>
          <w:tcPr>
            <w:tcW w:w="0" w:type="dxa"/>
            <w:vAlign w:val="bottom"/>
          </w:tcPr>
          <w:p>
            <w:pPr>
              <w:spacing w:after="0"/>
              <w:rPr>
                <w:sz w:val="1"/>
                <w:szCs w:val="1"/>
                <w:color w:val="auto"/>
              </w:rPr>
            </w:pPr>
          </w:p>
        </w:tc>
      </w:tr>
      <w:tr>
        <w:trPr>
          <w:trHeight w:val="135"/>
        </w:trPr>
        <w:tc>
          <w:tcPr>
            <w:tcW w:w="33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Operating Income</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21,111</w:t>
            </w:r>
          </w:p>
        </w:tc>
        <w:tc>
          <w:tcPr>
            <w:tcW w:w="10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14,021</w:t>
            </w:r>
          </w:p>
        </w:tc>
        <w:tc>
          <w:tcPr>
            <w:tcW w:w="10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10,092</w:t>
            </w:r>
          </w:p>
        </w:tc>
        <w:tc>
          <w:tcPr>
            <w:tcW w:w="102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b w:val="1"/>
                <w:bCs w:val="1"/>
                <w:color w:val="auto"/>
              </w:rPr>
              <w:t>50.6%</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b w:val="1"/>
                <w:bCs w:val="1"/>
                <w:color w:val="auto"/>
              </w:rPr>
              <w:t>109.2%</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35,132</w:t>
            </w:r>
          </w:p>
        </w:tc>
        <w:tc>
          <w:tcPr>
            <w:tcW w:w="30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19,526</w:t>
            </w:r>
          </w:p>
        </w:tc>
        <w:tc>
          <w:tcPr>
            <w:tcW w:w="9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79.9%</w:t>
            </w:r>
          </w:p>
        </w:tc>
        <w:tc>
          <w:tcPr>
            <w:tcW w:w="0" w:type="dxa"/>
            <w:vAlign w:val="bottom"/>
          </w:tcPr>
          <w:p>
            <w:pPr>
              <w:spacing w:after="0"/>
              <w:rPr>
                <w:sz w:val="1"/>
                <w:szCs w:val="1"/>
                <w:color w:val="auto"/>
              </w:rPr>
            </w:pPr>
          </w:p>
        </w:tc>
      </w:tr>
      <w:tr>
        <w:trPr>
          <w:trHeight w:val="135"/>
        </w:trPr>
        <w:tc>
          <w:tcPr>
            <w:tcW w:w="3340" w:type="dxa"/>
            <w:vAlign w:val="bottom"/>
            <w:gridSpan w:val="2"/>
          </w:tcPr>
          <w:p>
            <w:pPr>
              <w:spacing w:after="0" w:line="135" w:lineRule="exact"/>
              <w:rPr>
                <w:sz w:val="20"/>
                <w:szCs w:val="20"/>
                <w:color w:val="auto"/>
              </w:rPr>
            </w:pPr>
            <w:r>
              <w:rPr>
                <w:rFonts w:ascii="Arial" w:cs="Arial" w:eastAsia="Arial" w:hAnsi="Arial"/>
                <w:sz w:val="13"/>
                <w:szCs w:val="13"/>
                <w:color w:val="auto"/>
              </w:rPr>
              <w:t>Translation results</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(11,385)</w:t>
            </w:r>
          </w:p>
        </w:tc>
        <w:tc>
          <w:tcPr>
            <w:tcW w:w="10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(2,787)</w:t>
            </w: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330</w:t>
            </w:r>
          </w:p>
        </w:tc>
        <w:tc>
          <w:tcPr>
            <w:tcW w:w="10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308.5%</w:t>
            </w:r>
          </w:p>
        </w:tc>
        <w:tc>
          <w:tcPr>
            <w:tcW w:w="220" w:type="dxa"/>
            <w:vAlign w:val="bottom"/>
          </w:tcPr>
          <w:p>
            <w:pPr>
              <w:spacing w:after="0"/>
              <w:rPr>
                <w:sz w:val="11"/>
                <w:szCs w:val="11"/>
                <w:color w:val="auto"/>
              </w:rPr>
            </w:pPr>
          </w:p>
        </w:tc>
        <w:tc>
          <w:tcPr>
            <w:tcW w:w="80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-3546.2%</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(14,172)</w:t>
            </w:r>
          </w:p>
        </w:tc>
        <w:tc>
          <w:tcPr>
            <w:tcW w:w="30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1,971</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-819.0%</w:t>
            </w:r>
          </w:p>
        </w:tc>
        <w:tc>
          <w:tcPr>
            <w:tcW w:w="0" w:type="dxa"/>
            <w:vAlign w:val="bottom"/>
          </w:tcPr>
          <w:p>
            <w:pPr>
              <w:spacing w:after="0"/>
              <w:rPr>
                <w:sz w:val="1"/>
                <w:szCs w:val="1"/>
                <w:color w:val="auto"/>
              </w:rPr>
            </w:pPr>
          </w:p>
        </w:tc>
      </w:tr>
      <w:tr>
        <w:trPr>
          <w:trHeight w:val="135"/>
        </w:trPr>
        <w:tc>
          <w:tcPr>
            <w:tcW w:w="33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Income taxes</w:t>
            </w:r>
          </w:p>
        </w:tc>
        <w:tc>
          <w:tcPr>
            <w:tcW w:w="104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(4,223)</w:t>
            </w:r>
          </w:p>
        </w:tc>
        <w:tc>
          <w:tcPr>
            <w:tcW w:w="10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(3,173)</w:t>
            </w:r>
          </w:p>
        </w:tc>
        <w:tc>
          <w:tcPr>
            <w:tcW w:w="10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(3,031)</w:t>
            </w:r>
          </w:p>
        </w:tc>
        <w:tc>
          <w:tcPr>
            <w:tcW w:w="102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33.1%</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39.3%</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(7,396)</w:t>
            </w:r>
          </w:p>
        </w:tc>
        <w:tc>
          <w:tcPr>
            <w:tcW w:w="30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(6,167)</w:t>
            </w:r>
          </w:p>
        </w:tc>
        <w:tc>
          <w:tcPr>
            <w:tcW w:w="9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19.9%</w:t>
            </w:r>
          </w:p>
        </w:tc>
        <w:tc>
          <w:tcPr>
            <w:tcW w:w="0" w:type="dxa"/>
            <w:vAlign w:val="bottom"/>
          </w:tcPr>
          <w:p>
            <w:pPr>
              <w:spacing w:after="0"/>
              <w:rPr>
                <w:sz w:val="1"/>
                <w:szCs w:val="1"/>
                <w:color w:val="auto"/>
              </w:rPr>
            </w:pPr>
          </w:p>
        </w:tc>
      </w:tr>
      <w:tr>
        <w:trPr>
          <w:trHeight w:val="149"/>
        </w:trPr>
        <w:tc>
          <w:tcPr>
            <w:tcW w:w="3340" w:type="dxa"/>
            <w:vAlign w:val="bottom"/>
            <w:gridSpan w:val="2"/>
          </w:tcPr>
          <w:p>
            <w:pPr>
              <w:spacing w:after="0"/>
              <w:rPr>
                <w:sz w:val="20"/>
                <w:szCs w:val="20"/>
                <w:color w:val="auto"/>
              </w:rPr>
            </w:pPr>
            <w:r>
              <w:rPr>
                <w:rFonts w:ascii="Arial" w:cs="Arial" w:eastAsia="Arial" w:hAnsi="Arial"/>
                <w:sz w:val="13"/>
                <w:szCs w:val="13"/>
                <w:b w:val="1"/>
                <w:bCs w:val="1"/>
                <w:color w:val="auto"/>
              </w:rPr>
              <w:t>Net income</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5,503</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8,061</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7,391</w:t>
            </w:r>
          </w:p>
        </w:tc>
        <w:tc>
          <w:tcPr>
            <w:tcW w:w="1020" w:type="dxa"/>
            <w:vAlign w:val="bottom"/>
            <w:gridSpan w:val="2"/>
          </w:tcPr>
          <w:p>
            <w:pPr>
              <w:jc w:val="right"/>
              <w:ind w:right="57"/>
              <w:spacing w:after="0"/>
              <w:rPr>
                <w:sz w:val="20"/>
                <w:szCs w:val="20"/>
                <w:color w:val="auto"/>
              </w:rPr>
            </w:pPr>
            <w:r>
              <w:rPr>
                <w:rFonts w:ascii="Arial" w:cs="Arial" w:eastAsia="Arial" w:hAnsi="Arial"/>
                <w:sz w:val="13"/>
                <w:szCs w:val="13"/>
                <w:b w:val="1"/>
                <w:bCs w:val="1"/>
                <w:color w:val="auto"/>
              </w:rPr>
              <w:t>-31.7%</w:t>
            </w:r>
          </w:p>
        </w:tc>
        <w:tc>
          <w:tcPr>
            <w:tcW w:w="220" w:type="dxa"/>
            <w:vAlign w:val="bottom"/>
          </w:tcPr>
          <w:p>
            <w:pPr>
              <w:spacing w:after="0"/>
              <w:rPr>
                <w:sz w:val="12"/>
                <w:szCs w:val="12"/>
                <w:color w:val="auto"/>
              </w:rPr>
            </w:pPr>
          </w:p>
        </w:tc>
        <w:tc>
          <w:tcPr>
            <w:tcW w:w="800" w:type="dxa"/>
            <w:vAlign w:val="bottom"/>
            <w:gridSpan w:val="2"/>
          </w:tcPr>
          <w:p>
            <w:pPr>
              <w:jc w:val="right"/>
              <w:ind w:right="57"/>
              <w:spacing w:after="0"/>
              <w:rPr>
                <w:sz w:val="20"/>
                <w:szCs w:val="20"/>
                <w:color w:val="auto"/>
              </w:rPr>
            </w:pPr>
            <w:r>
              <w:rPr>
                <w:rFonts w:ascii="Arial" w:cs="Arial" w:eastAsia="Arial" w:hAnsi="Arial"/>
                <w:sz w:val="13"/>
                <w:szCs w:val="13"/>
                <w:b w:val="1"/>
                <w:bCs w:val="1"/>
                <w:color w:val="auto"/>
              </w:rPr>
              <w:t>-25.5%</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13,565</w:t>
            </w:r>
          </w:p>
        </w:tc>
        <w:tc>
          <w:tcPr>
            <w:tcW w:w="30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15,330</w:t>
            </w:r>
          </w:p>
        </w:tc>
        <w:tc>
          <w:tcPr>
            <w:tcW w:w="920" w:type="dxa"/>
            <w:vAlign w:val="bottom"/>
            <w:gridSpan w:val="2"/>
          </w:tcPr>
          <w:p>
            <w:pPr>
              <w:jc w:val="right"/>
              <w:spacing w:after="0"/>
              <w:rPr>
                <w:sz w:val="20"/>
                <w:szCs w:val="20"/>
                <w:color w:val="auto"/>
              </w:rPr>
            </w:pPr>
            <w:r>
              <w:rPr>
                <w:rFonts w:ascii="Arial" w:cs="Arial" w:eastAsia="Arial" w:hAnsi="Arial"/>
                <w:sz w:val="13"/>
                <w:szCs w:val="13"/>
                <w:b w:val="1"/>
                <w:bCs w:val="1"/>
                <w:color w:val="auto"/>
              </w:rPr>
              <w:t>-11.5%</w:t>
            </w:r>
          </w:p>
        </w:tc>
        <w:tc>
          <w:tcPr>
            <w:tcW w:w="0" w:type="dxa"/>
            <w:vAlign w:val="bottom"/>
          </w:tcPr>
          <w:p>
            <w:pPr>
              <w:spacing w:after="0"/>
              <w:rPr>
                <w:sz w:val="1"/>
                <w:szCs w:val="1"/>
                <w:color w:val="auto"/>
              </w:rPr>
            </w:pPr>
          </w:p>
        </w:tc>
      </w:tr>
      <w:tr>
        <w:trPr>
          <w:trHeight w:val="129"/>
        </w:trPr>
        <w:tc>
          <w:tcPr>
            <w:tcW w:w="3340" w:type="dxa"/>
            <w:vAlign w:val="bottom"/>
            <w:tcBorders>
              <w:top w:val="single" w:sz="8" w:color="CCFFCC"/>
            </w:tcBorders>
            <w:gridSpan w:val="2"/>
            <w:shd w:val="clear" w:color="auto" w:fill="CCFFCC"/>
          </w:tcPr>
          <w:p>
            <w:pPr>
              <w:spacing w:after="0" w:line="129" w:lineRule="exact"/>
              <w:rPr>
                <w:sz w:val="20"/>
                <w:szCs w:val="20"/>
                <w:color w:val="auto"/>
              </w:rPr>
            </w:pPr>
            <w:r>
              <w:rPr>
                <w:rFonts w:ascii="Arial" w:cs="Arial" w:eastAsia="Arial" w:hAnsi="Arial"/>
                <w:sz w:val="13"/>
                <w:szCs w:val="13"/>
                <w:b w:val="1"/>
                <w:bCs w:val="1"/>
                <w:color w:val="auto"/>
              </w:rPr>
              <w:t>Contribution to BCP</w:t>
            </w:r>
          </w:p>
        </w:tc>
        <w:tc>
          <w:tcPr>
            <w:tcW w:w="80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5,492</w:t>
            </w:r>
          </w:p>
        </w:tc>
        <w:tc>
          <w:tcPr>
            <w:tcW w:w="240" w:type="dxa"/>
            <w:vAlign w:val="bottom"/>
            <w:tcBorders>
              <w:top w:val="single" w:sz="8" w:color="CCFFCC"/>
            </w:tcBorders>
            <w:shd w:val="clear" w:color="auto" w:fill="CCFFCC"/>
          </w:tcPr>
          <w:p>
            <w:pPr>
              <w:spacing w:after="0"/>
              <w:rPr>
                <w:sz w:val="11"/>
                <w:szCs w:val="11"/>
                <w:color w:val="auto"/>
              </w:rPr>
            </w:pPr>
          </w:p>
        </w:tc>
        <w:tc>
          <w:tcPr>
            <w:tcW w:w="82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8,044</w:t>
            </w:r>
          </w:p>
        </w:tc>
        <w:tc>
          <w:tcPr>
            <w:tcW w:w="240" w:type="dxa"/>
            <w:vAlign w:val="bottom"/>
            <w:tcBorders>
              <w:top w:val="single" w:sz="8" w:color="CCFFCC"/>
            </w:tcBorders>
            <w:shd w:val="clear" w:color="auto" w:fill="CCFFCC"/>
          </w:tcPr>
          <w:p>
            <w:pPr>
              <w:spacing w:after="0"/>
              <w:rPr>
                <w:sz w:val="11"/>
                <w:szCs w:val="11"/>
                <w:color w:val="auto"/>
              </w:rPr>
            </w:pPr>
          </w:p>
        </w:tc>
        <w:tc>
          <w:tcPr>
            <w:tcW w:w="80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7,376</w:t>
            </w:r>
          </w:p>
        </w:tc>
        <w:tc>
          <w:tcPr>
            <w:tcW w:w="220" w:type="dxa"/>
            <w:vAlign w:val="bottom"/>
            <w:tcBorders>
              <w:top w:val="single" w:sz="8" w:color="CCFFCC"/>
            </w:tcBorders>
            <w:shd w:val="clear" w:color="auto" w:fill="CCFFCC"/>
          </w:tcPr>
          <w:p>
            <w:pPr>
              <w:spacing w:after="0"/>
              <w:rPr>
                <w:sz w:val="11"/>
                <w:szCs w:val="11"/>
                <w:color w:val="auto"/>
              </w:rPr>
            </w:pPr>
          </w:p>
        </w:tc>
        <w:tc>
          <w:tcPr>
            <w:tcW w:w="78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-31.7</w:t>
            </w:r>
          </w:p>
        </w:tc>
        <w:tc>
          <w:tcPr>
            <w:tcW w:w="240" w:type="dxa"/>
            <w:vAlign w:val="bottom"/>
            <w:tcBorders>
              <w:top w:val="single" w:sz="8" w:color="CCFFCC"/>
            </w:tcBorders>
            <w:shd w:val="clear" w:color="auto" w:fill="CCFFCC"/>
          </w:tcPr>
          <w:p>
            <w:pPr>
              <w:jc w:val="right"/>
              <w:ind w:right="57"/>
              <w:spacing w:after="0" w:line="129" w:lineRule="exact"/>
              <w:rPr>
                <w:sz w:val="20"/>
                <w:szCs w:val="20"/>
                <w:color w:val="auto"/>
              </w:rPr>
            </w:pPr>
            <w:r>
              <w:rPr>
                <w:rFonts w:ascii="Arial" w:cs="Arial" w:eastAsia="Arial" w:hAnsi="Arial"/>
                <w:sz w:val="13"/>
                <w:szCs w:val="13"/>
                <w:b w:val="1"/>
                <w:bCs w:val="1"/>
                <w:color w:val="auto"/>
                <w:w w:val="86"/>
              </w:rPr>
              <w:t>%</w:t>
            </w:r>
          </w:p>
        </w:tc>
        <w:tc>
          <w:tcPr>
            <w:tcW w:w="220" w:type="dxa"/>
            <w:vAlign w:val="bottom"/>
            <w:tcBorders>
              <w:top w:val="single" w:sz="8" w:color="auto"/>
              <w:bottom w:val="single" w:sz="8" w:color="auto"/>
            </w:tcBorders>
            <w:shd w:val="clear" w:color="auto" w:fill="CCFFCC"/>
          </w:tcPr>
          <w:p>
            <w:pPr>
              <w:spacing w:after="0"/>
              <w:rPr>
                <w:sz w:val="11"/>
                <w:szCs w:val="11"/>
                <w:color w:val="auto"/>
              </w:rPr>
            </w:pPr>
          </w:p>
        </w:tc>
        <w:tc>
          <w:tcPr>
            <w:tcW w:w="56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-25.5</w:t>
            </w:r>
          </w:p>
        </w:tc>
        <w:tc>
          <w:tcPr>
            <w:tcW w:w="240" w:type="dxa"/>
            <w:vAlign w:val="bottom"/>
            <w:tcBorders>
              <w:top w:val="single" w:sz="8" w:color="CCFFCC"/>
            </w:tcBorders>
            <w:shd w:val="clear" w:color="auto" w:fill="CCFFCC"/>
          </w:tcPr>
          <w:p>
            <w:pPr>
              <w:jc w:val="right"/>
              <w:ind w:right="57"/>
              <w:spacing w:after="0" w:line="129" w:lineRule="exact"/>
              <w:rPr>
                <w:sz w:val="20"/>
                <w:szCs w:val="20"/>
                <w:color w:val="auto"/>
              </w:rPr>
            </w:pPr>
            <w:r>
              <w:rPr>
                <w:rFonts w:ascii="Arial" w:cs="Arial" w:eastAsia="Arial" w:hAnsi="Arial"/>
                <w:sz w:val="13"/>
                <w:szCs w:val="13"/>
                <w:b w:val="1"/>
                <w:bCs w:val="1"/>
                <w:color w:val="auto"/>
                <w:w w:val="86"/>
              </w:rPr>
              <w:t>%</w:t>
            </w:r>
          </w:p>
        </w:tc>
        <w:tc>
          <w:tcPr>
            <w:tcW w:w="78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13,536</w:t>
            </w:r>
          </w:p>
        </w:tc>
        <w:tc>
          <w:tcPr>
            <w:tcW w:w="220" w:type="dxa"/>
            <w:vAlign w:val="bottom"/>
            <w:tcBorders>
              <w:top w:val="single" w:sz="8" w:color="CCFFCC"/>
            </w:tcBorders>
            <w:shd w:val="clear" w:color="auto" w:fill="CCFFCC"/>
          </w:tcPr>
          <w:p>
            <w:pPr>
              <w:spacing w:after="0"/>
              <w:rPr>
                <w:sz w:val="11"/>
                <w:szCs w:val="11"/>
                <w:color w:val="auto"/>
              </w:rPr>
            </w:pPr>
          </w:p>
        </w:tc>
        <w:tc>
          <w:tcPr>
            <w:tcW w:w="300" w:type="dxa"/>
            <w:vAlign w:val="bottom"/>
            <w:tcBorders>
              <w:top w:val="single" w:sz="8" w:color="auto"/>
              <w:bottom w:val="single" w:sz="8" w:color="auto"/>
            </w:tcBorders>
            <w:shd w:val="clear" w:color="auto" w:fill="CCFFCC"/>
          </w:tcPr>
          <w:p>
            <w:pPr>
              <w:spacing w:after="0"/>
              <w:rPr>
                <w:sz w:val="11"/>
                <w:szCs w:val="11"/>
                <w:color w:val="auto"/>
              </w:rPr>
            </w:pPr>
          </w:p>
        </w:tc>
        <w:tc>
          <w:tcPr>
            <w:tcW w:w="48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15,297</w:t>
            </w:r>
          </w:p>
        </w:tc>
        <w:tc>
          <w:tcPr>
            <w:tcW w:w="220" w:type="dxa"/>
            <w:vAlign w:val="bottom"/>
            <w:tcBorders>
              <w:top w:val="single" w:sz="8" w:color="CCFFCC"/>
            </w:tcBorders>
            <w:shd w:val="clear" w:color="auto" w:fill="CCFFCC"/>
          </w:tcPr>
          <w:p>
            <w:pPr>
              <w:spacing w:after="0"/>
              <w:rPr>
                <w:sz w:val="11"/>
                <w:szCs w:val="11"/>
                <w:color w:val="auto"/>
              </w:rPr>
            </w:pPr>
          </w:p>
        </w:tc>
        <w:tc>
          <w:tcPr>
            <w:tcW w:w="78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-11.5</w:t>
            </w:r>
          </w:p>
        </w:tc>
        <w:tc>
          <w:tcPr>
            <w:tcW w:w="140" w:type="dxa"/>
            <w:vAlign w:val="bottom"/>
            <w:tcBorders>
              <w:top w:val="single" w:sz="8" w:color="CCFFCC"/>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29"/>
        </w:trPr>
        <w:tc>
          <w:tcPr>
            <w:tcW w:w="3340" w:type="dxa"/>
            <w:vAlign w:val="bottom"/>
            <w:gridSpan w:val="2"/>
          </w:tcPr>
          <w:p>
            <w:pPr>
              <w:spacing w:after="0" w:line="129" w:lineRule="exact"/>
              <w:rPr>
                <w:sz w:val="20"/>
                <w:szCs w:val="20"/>
                <w:color w:val="auto"/>
              </w:rPr>
            </w:pPr>
            <w:r>
              <w:rPr>
                <w:rFonts w:ascii="Arial" w:cs="Arial" w:eastAsia="Arial" w:hAnsi="Arial"/>
                <w:sz w:val="13"/>
                <w:szCs w:val="13"/>
                <w:color w:val="auto"/>
              </w:rPr>
              <w:t>Total loans (1)</w:t>
            </w:r>
          </w:p>
        </w:tc>
        <w:tc>
          <w:tcPr>
            <w:tcW w:w="800" w:type="dxa"/>
            <w:vAlign w:val="bottom"/>
          </w:tcPr>
          <w:p>
            <w:pPr>
              <w:jc w:val="right"/>
              <w:spacing w:after="0" w:line="129" w:lineRule="exact"/>
              <w:rPr>
                <w:sz w:val="20"/>
                <w:szCs w:val="20"/>
                <w:color w:val="auto"/>
              </w:rPr>
            </w:pPr>
            <w:r>
              <w:rPr>
                <w:rFonts w:ascii="Arial" w:cs="Arial" w:eastAsia="Arial" w:hAnsi="Arial"/>
                <w:sz w:val="13"/>
                <w:szCs w:val="13"/>
                <w:color w:val="auto"/>
              </w:rPr>
              <w:t>815,029</w:t>
            </w:r>
          </w:p>
        </w:tc>
        <w:tc>
          <w:tcPr>
            <w:tcW w:w="24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3"/>
                <w:szCs w:val="13"/>
                <w:color w:val="auto"/>
              </w:rPr>
              <w:t>811,725</w:t>
            </w:r>
          </w:p>
        </w:tc>
        <w:tc>
          <w:tcPr>
            <w:tcW w:w="24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3"/>
                <w:szCs w:val="13"/>
                <w:color w:val="auto"/>
              </w:rPr>
              <w:t>595,021</w:t>
            </w:r>
          </w:p>
        </w:tc>
        <w:tc>
          <w:tcPr>
            <w:tcW w:w="220" w:type="dxa"/>
            <w:vAlign w:val="bottom"/>
          </w:tcPr>
          <w:p>
            <w:pPr>
              <w:spacing w:after="0"/>
              <w:rPr>
                <w:sz w:val="11"/>
                <w:szCs w:val="11"/>
                <w:color w:val="auto"/>
              </w:rPr>
            </w:pPr>
          </w:p>
        </w:tc>
        <w:tc>
          <w:tcPr>
            <w:tcW w:w="1020" w:type="dxa"/>
            <w:vAlign w:val="bottom"/>
            <w:gridSpan w:val="2"/>
          </w:tcPr>
          <w:p>
            <w:pPr>
              <w:jc w:val="right"/>
              <w:ind w:right="77"/>
              <w:spacing w:after="0" w:line="129" w:lineRule="exact"/>
              <w:rPr>
                <w:sz w:val="20"/>
                <w:szCs w:val="20"/>
                <w:color w:val="auto"/>
              </w:rPr>
            </w:pPr>
            <w:r>
              <w:rPr>
                <w:rFonts w:ascii="Arial" w:cs="Arial" w:eastAsia="Arial" w:hAnsi="Arial"/>
                <w:sz w:val="13"/>
                <w:szCs w:val="13"/>
                <w:color w:val="auto"/>
              </w:rPr>
              <w:t>0.4%</w:t>
            </w:r>
          </w:p>
        </w:tc>
        <w:tc>
          <w:tcPr>
            <w:tcW w:w="220" w:type="dxa"/>
            <w:vAlign w:val="bottom"/>
          </w:tcPr>
          <w:p>
            <w:pPr>
              <w:spacing w:after="0"/>
              <w:rPr>
                <w:sz w:val="11"/>
                <w:szCs w:val="11"/>
                <w:color w:val="auto"/>
              </w:rPr>
            </w:pPr>
          </w:p>
        </w:tc>
        <w:tc>
          <w:tcPr>
            <w:tcW w:w="800" w:type="dxa"/>
            <w:vAlign w:val="bottom"/>
            <w:gridSpan w:val="2"/>
          </w:tcPr>
          <w:p>
            <w:pPr>
              <w:jc w:val="right"/>
              <w:ind w:right="77"/>
              <w:spacing w:after="0" w:line="129" w:lineRule="exact"/>
              <w:rPr>
                <w:sz w:val="20"/>
                <w:szCs w:val="20"/>
                <w:color w:val="auto"/>
              </w:rPr>
            </w:pPr>
            <w:r>
              <w:rPr>
                <w:rFonts w:ascii="Arial" w:cs="Arial" w:eastAsia="Arial" w:hAnsi="Arial"/>
                <w:sz w:val="13"/>
                <w:szCs w:val="13"/>
                <w:color w:val="auto"/>
              </w:rPr>
              <w:t>37.0%</w:t>
            </w:r>
          </w:p>
        </w:tc>
        <w:tc>
          <w:tcPr>
            <w:tcW w:w="780" w:type="dxa"/>
            <w:vAlign w:val="bottom"/>
          </w:tcPr>
          <w:p>
            <w:pPr>
              <w:jc w:val="right"/>
              <w:spacing w:after="0" w:line="129" w:lineRule="exact"/>
              <w:rPr>
                <w:sz w:val="20"/>
                <w:szCs w:val="20"/>
                <w:color w:val="auto"/>
              </w:rPr>
            </w:pPr>
            <w:r>
              <w:rPr>
                <w:rFonts w:ascii="Arial" w:cs="Arial" w:eastAsia="Arial" w:hAnsi="Arial"/>
                <w:sz w:val="13"/>
                <w:szCs w:val="13"/>
                <w:color w:val="auto"/>
              </w:rPr>
              <w:t>815,029</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Arial" w:cs="Arial" w:eastAsia="Arial" w:hAnsi="Arial"/>
                <w:sz w:val="13"/>
                <w:szCs w:val="13"/>
                <w:color w:val="auto"/>
                <w:w w:val="97"/>
              </w:rPr>
              <w:t>595,021</w:t>
            </w:r>
          </w:p>
        </w:tc>
        <w:tc>
          <w:tcPr>
            <w:tcW w:w="220" w:type="dxa"/>
            <w:vAlign w:val="bottom"/>
          </w:tcPr>
          <w:p>
            <w:pPr>
              <w:spacing w:after="0"/>
              <w:rPr>
                <w:sz w:val="11"/>
                <w:szCs w:val="11"/>
                <w:color w:val="auto"/>
              </w:rPr>
            </w:pPr>
          </w:p>
        </w:tc>
        <w:tc>
          <w:tcPr>
            <w:tcW w:w="92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37.0%</w:t>
            </w:r>
          </w:p>
        </w:tc>
        <w:tc>
          <w:tcPr>
            <w:tcW w:w="0" w:type="dxa"/>
            <w:vAlign w:val="bottom"/>
          </w:tcPr>
          <w:p>
            <w:pPr>
              <w:spacing w:after="0"/>
              <w:rPr>
                <w:sz w:val="1"/>
                <w:szCs w:val="1"/>
                <w:color w:val="auto"/>
              </w:rPr>
            </w:pPr>
          </w:p>
        </w:tc>
      </w:tr>
      <w:tr>
        <w:trPr>
          <w:trHeight w:val="135"/>
        </w:trPr>
        <w:tc>
          <w:tcPr>
            <w:tcW w:w="33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Past due loans</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32,222</w:t>
            </w:r>
          </w:p>
        </w:tc>
        <w:tc>
          <w:tcPr>
            <w:tcW w:w="10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31,844</w:t>
            </w:r>
          </w:p>
        </w:tc>
        <w:tc>
          <w:tcPr>
            <w:tcW w:w="10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24,725</w:t>
            </w:r>
          </w:p>
        </w:tc>
        <w:tc>
          <w:tcPr>
            <w:tcW w:w="102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1.2%</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30.3%</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32,222</w:t>
            </w:r>
          </w:p>
        </w:tc>
        <w:tc>
          <w:tcPr>
            <w:tcW w:w="30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24,725</w:t>
            </w:r>
          </w:p>
        </w:tc>
        <w:tc>
          <w:tcPr>
            <w:tcW w:w="9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30.3%</w:t>
            </w:r>
          </w:p>
        </w:tc>
        <w:tc>
          <w:tcPr>
            <w:tcW w:w="0" w:type="dxa"/>
            <w:vAlign w:val="bottom"/>
          </w:tcPr>
          <w:p>
            <w:pPr>
              <w:spacing w:after="0"/>
              <w:rPr>
                <w:sz w:val="1"/>
                <w:szCs w:val="1"/>
                <w:color w:val="auto"/>
              </w:rPr>
            </w:pPr>
          </w:p>
        </w:tc>
      </w:tr>
      <w:tr>
        <w:trPr>
          <w:trHeight w:val="135"/>
        </w:trPr>
        <w:tc>
          <w:tcPr>
            <w:tcW w:w="3340" w:type="dxa"/>
            <w:vAlign w:val="bottom"/>
            <w:gridSpan w:val="2"/>
          </w:tcPr>
          <w:p>
            <w:pPr>
              <w:spacing w:after="0" w:line="135" w:lineRule="exact"/>
              <w:rPr>
                <w:sz w:val="20"/>
                <w:szCs w:val="20"/>
                <w:color w:val="auto"/>
              </w:rPr>
            </w:pPr>
            <w:r>
              <w:rPr>
                <w:rFonts w:ascii="Arial" w:cs="Arial" w:eastAsia="Arial" w:hAnsi="Arial"/>
                <w:sz w:val="13"/>
                <w:szCs w:val="13"/>
                <w:color w:val="auto"/>
              </w:rPr>
              <w:t>Net provisions for possible loan losses</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(56,201)</w:t>
            </w:r>
          </w:p>
        </w:tc>
        <w:tc>
          <w:tcPr>
            <w:tcW w:w="10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(55,936)</w:t>
            </w: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(41,040)</w:t>
            </w:r>
          </w:p>
        </w:tc>
        <w:tc>
          <w:tcPr>
            <w:tcW w:w="10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0.5%</w:t>
            </w:r>
          </w:p>
        </w:tc>
        <w:tc>
          <w:tcPr>
            <w:tcW w:w="220" w:type="dxa"/>
            <w:vAlign w:val="bottom"/>
          </w:tcPr>
          <w:p>
            <w:pPr>
              <w:spacing w:after="0"/>
              <w:rPr>
                <w:sz w:val="11"/>
                <w:szCs w:val="11"/>
                <w:color w:val="auto"/>
              </w:rPr>
            </w:pPr>
          </w:p>
        </w:tc>
        <w:tc>
          <w:tcPr>
            <w:tcW w:w="80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36.9%</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(56,201)</w:t>
            </w:r>
          </w:p>
        </w:tc>
        <w:tc>
          <w:tcPr>
            <w:tcW w:w="30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(41,040)</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36.9%</w:t>
            </w:r>
          </w:p>
        </w:tc>
        <w:tc>
          <w:tcPr>
            <w:tcW w:w="0" w:type="dxa"/>
            <w:vAlign w:val="bottom"/>
          </w:tcPr>
          <w:p>
            <w:pPr>
              <w:spacing w:after="0"/>
              <w:rPr>
                <w:sz w:val="1"/>
                <w:szCs w:val="1"/>
                <w:color w:val="auto"/>
              </w:rPr>
            </w:pPr>
          </w:p>
        </w:tc>
      </w:tr>
      <w:tr>
        <w:trPr>
          <w:trHeight w:val="135"/>
        </w:trPr>
        <w:tc>
          <w:tcPr>
            <w:tcW w:w="33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Total assets</w:t>
            </w: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1,133,505</w:t>
            </w:r>
          </w:p>
        </w:tc>
        <w:tc>
          <w:tcPr>
            <w:tcW w:w="240" w:type="dxa"/>
            <w:vAlign w:val="bottom"/>
            <w:shd w:val="clear" w:color="auto" w:fill="CCFFCC"/>
          </w:tcPr>
          <w:p>
            <w:pPr>
              <w:spacing w:after="0"/>
              <w:rPr>
                <w:sz w:val="11"/>
                <w:szCs w:val="11"/>
                <w:color w:val="auto"/>
              </w:rPr>
            </w:pPr>
          </w:p>
        </w:tc>
        <w:tc>
          <w:tcPr>
            <w:tcW w:w="8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1,164,132</w:t>
            </w:r>
          </w:p>
        </w:tc>
        <w:tc>
          <w:tcPr>
            <w:tcW w:w="24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812,299</w:t>
            </w:r>
          </w:p>
        </w:tc>
        <w:tc>
          <w:tcPr>
            <w:tcW w:w="102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-2.6%</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39.5%</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1,133,505</w:t>
            </w:r>
          </w:p>
        </w:tc>
        <w:tc>
          <w:tcPr>
            <w:tcW w:w="30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w w:val="97"/>
              </w:rPr>
              <w:t>812,299</w:t>
            </w:r>
          </w:p>
        </w:tc>
        <w:tc>
          <w:tcPr>
            <w:tcW w:w="9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39.5%</w:t>
            </w:r>
          </w:p>
        </w:tc>
        <w:tc>
          <w:tcPr>
            <w:tcW w:w="0" w:type="dxa"/>
            <w:vAlign w:val="bottom"/>
          </w:tcPr>
          <w:p>
            <w:pPr>
              <w:spacing w:after="0"/>
              <w:rPr>
                <w:sz w:val="1"/>
                <w:szCs w:val="1"/>
                <w:color w:val="auto"/>
              </w:rPr>
            </w:pPr>
          </w:p>
        </w:tc>
      </w:tr>
      <w:tr>
        <w:trPr>
          <w:trHeight w:val="135"/>
        </w:trPr>
        <w:tc>
          <w:tcPr>
            <w:tcW w:w="3340" w:type="dxa"/>
            <w:vAlign w:val="bottom"/>
            <w:gridSpan w:val="2"/>
          </w:tcPr>
          <w:p>
            <w:pPr>
              <w:spacing w:after="0" w:line="135" w:lineRule="exact"/>
              <w:rPr>
                <w:sz w:val="20"/>
                <w:szCs w:val="20"/>
                <w:color w:val="auto"/>
              </w:rPr>
            </w:pPr>
            <w:r>
              <w:rPr>
                <w:rFonts w:ascii="Arial" w:cs="Arial" w:eastAsia="Arial" w:hAnsi="Arial"/>
                <w:sz w:val="13"/>
                <w:szCs w:val="13"/>
                <w:color w:val="auto"/>
              </w:rPr>
              <w:t>Deposits and obligations</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454,862</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555,054</w:t>
            </w: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387,678</w:t>
            </w:r>
          </w:p>
        </w:tc>
        <w:tc>
          <w:tcPr>
            <w:tcW w:w="10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-18.1%</w:t>
            </w:r>
          </w:p>
        </w:tc>
        <w:tc>
          <w:tcPr>
            <w:tcW w:w="220" w:type="dxa"/>
            <w:vAlign w:val="bottom"/>
          </w:tcPr>
          <w:p>
            <w:pPr>
              <w:spacing w:after="0"/>
              <w:rPr>
                <w:sz w:val="11"/>
                <w:szCs w:val="11"/>
                <w:color w:val="auto"/>
              </w:rPr>
            </w:pPr>
          </w:p>
        </w:tc>
        <w:tc>
          <w:tcPr>
            <w:tcW w:w="80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17.3%</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454,862</w:t>
            </w:r>
          </w:p>
        </w:tc>
        <w:tc>
          <w:tcPr>
            <w:tcW w:w="30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97"/>
              </w:rPr>
              <w:t>387,678</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17.3%</w:t>
            </w: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FFCC"/>
          </w:tcPr>
          <w:p>
            <w:pPr>
              <w:spacing w:after="0"/>
              <w:rPr>
                <w:sz w:val="20"/>
                <w:szCs w:val="20"/>
                <w:color w:val="auto"/>
              </w:rPr>
            </w:pPr>
            <w:r>
              <w:rPr>
                <w:rFonts w:ascii="Arial" w:cs="Arial" w:eastAsia="Arial" w:hAnsi="Arial"/>
                <w:sz w:val="13"/>
                <w:szCs w:val="13"/>
                <w:color w:val="auto"/>
              </w:rPr>
              <w:t>Net shareholders´ equity</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105,763</w:t>
            </w:r>
          </w:p>
        </w:tc>
        <w:tc>
          <w:tcPr>
            <w:tcW w:w="106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100,260</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77,229</w:t>
            </w:r>
          </w:p>
        </w:tc>
        <w:tc>
          <w:tcPr>
            <w:tcW w:w="1020" w:type="dxa"/>
            <w:vAlign w:val="bottom"/>
            <w:gridSpan w:val="2"/>
            <w:shd w:val="clear" w:color="auto" w:fill="CCFFCC"/>
          </w:tcPr>
          <w:p>
            <w:pPr>
              <w:jc w:val="right"/>
              <w:ind w:right="77"/>
              <w:spacing w:after="0"/>
              <w:rPr>
                <w:sz w:val="20"/>
                <w:szCs w:val="20"/>
                <w:color w:val="auto"/>
              </w:rPr>
            </w:pPr>
            <w:r>
              <w:rPr>
                <w:rFonts w:ascii="Arial" w:cs="Arial" w:eastAsia="Arial" w:hAnsi="Arial"/>
                <w:sz w:val="13"/>
                <w:szCs w:val="13"/>
                <w:color w:val="auto"/>
              </w:rPr>
              <w:t>5.5%</w:t>
            </w:r>
          </w:p>
        </w:tc>
        <w:tc>
          <w:tcPr>
            <w:tcW w:w="2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77"/>
              <w:spacing w:after="0"/>
              <w:rPr>
                <w:sz w:val="20"/>
                <w:szCs w:val="20"/>
                <w:color w:val="auto"/>
              </w:rPr>
            </w:pPr>
            <w:r>
              <w:rPr>
                <w:rFonts w:ascii="Arial" w:cs="Arial" w:eastAsia="Arial" w:hAnsi="Arial"/>
                <w:sz w:val="13"/>
                <w:szCs w:val="13"/>
                <w:color w:val="auto"/>
              </w:rPr>
              <w:t>36.9%</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105,763</w:t>
            </w:r>
          </w:p>
        </w:tc>
        <w:tc>
          <w:tcPr>
            <w:tcW w:w="30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77,229</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3"/>
                <w:szCs w:val="13"/>
                <w:color w:val="auto"/>
              </w:rPr>
              <w:t>36.9%</w:t>
            </w: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spacing w:after="0"/>
              <w:rPr>
                <w:sz w:val="20"/>
                <w:szCs w:val="20"/>
                <w:color w:val="auto"/>
              </w:rPr>
            </w:pPr>
            <w:r>
              <w:rPr>
                <w:rFonts w:ascii="Arial" w:cs="Arial" w:eastAsia="Arial" w:hAnsi="Arial"/>
                <w:sz w:val="13"/>
                <w:szCs w:val="13"/>
                <w:color w:val="auto"/>
              </w:rPr>
              <w:t>PDL / Total loans</w:t>
            </w: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340" w:type="dxa"/>
            <w:vAlign w:val="bottom"/>
            <w:gridSpan w:val="2"/>
            <w:vMerge w:val="continue"/>
          </w:tcPr>
          <w:p>
            <w:pPr>
              <w:spacing w:after="0"/>
              <w:rPr>
                <w:sz w:val="11"/>
                <w:szCs w:val="11"/>
                <w:color w:val="auto"/>
              </w:rPr>
            </w:pPr>
          </w:p>
        </w:tc>
        <w:tc>
          <w:tcPr>
            <w:tcW w:w="1040" w:type="dxa"/>
            <w:vAlign w:val="bottom"/>
            <w:gridSpan w:val="2"/>
          </w:tcPr>
          <w:p>
            <w:pPr>
              <w:jc w:val="right"/>
              <w:ind w:right="140"/>
              <w:spacing w:after="0" w:line="129" w:lineRule="exact"/>
              <w:rPr>
                <w:sz w:val="20"/>
                <w:szCs w:val="20"/>
                <w:color w:val="auto"/>
              </w:rPr>
            </w:pPr>
            <w:r>
              <w:rPr>
                <w:rFonts w:ascii="Arial" w:cs="Arial" w:eastAsia="Arial" w:hAnsi="Arial"/>
                <w:sz w:val="13"/>
                <w:szCs w:val="13"/>
                <w:color w:val="auto"/>
              </w:rPr>
              <w:t>3.95%</w:t>
            </w:r>
          </w:p>
        </w:tc>
        <w:tc>
          <w:tcPr>
            <w:tcW w:w="1060" w:type="dxa"/>
            <w:vAlign w:val="bottom"/>
            <w:gridSpan w:val="2"/>
          </w:tcPr>
          <w:p>
            <w:pPr>
              <w:jc w:val="right"/>
              <w:ind w:right="140"/>
              <w:spacing w:after="0" w:line="129" w:lineRule="exact"/>
              <w:rPr>
                <w:sz w:val="20"/>
                <w:szCs w:val="20"/>
                <w:color w:val="auto"/>
              </w:rPr>
            </w:pPr>
            <w:r>
              <w:rPr>
                <w:rFonts w:ascii="Arial" w:cs="Arial" w:eastAsia="Arial" w:hAnsi="Arial"/>
                <w:sz w:val="13"/>
                <w:szCs w:val="13"/>
                <w:color w:val="auto"/>
              </w:rPr>
              <w:t>3.92%</w:t>
            </w:r>
          </w:p>
        </w:tc>
        <w:tc>
          <w:tcPr>
            <w:tcW w:w="102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4.16%</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3.95%</w:t>
            </w:r>
          </w:p>
        </w:tc>
        <w:tc>
          <w:tcPr>
            <w:tcW w:w="300" w:type="dxa"/>
            <w:vAlign w:val="bottom"/>
          </w:tcPr>
          <w:p>
            <w:pPr>
              <w:spacing w:after="0"/>
              <w:rPr>
                <w:sz w:val="11"/>
                <w:szCs w:val="11"/>
                <w:color w:val="auto"/>
              </w:rPr>
            </w:pPr>
          </w:p>
        </w:tc>
        <w:tc>
          <w:tcPr>
            <w:tcW w:w="70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4.16%</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Coverage ratio of PDLs</w:t>
            </w:r>
          </w:p>
        </w:tc>
        <w:tc>
          <w:tcPr>
            <w:tcW w:w="10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174.4%</w:t>
            </w:r>
          </w:p>
        </w:tc>
        <w:tc>
          <w:tcPr>
            <w:tcW w:w="10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175.7%</w:t>
            </w:r>
          </w:p>
        </w:tc>
        <w:tc>
          <w:tcPr>
            <w:tcW w:w="10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166.0%</w:t>
            </w: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00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174.4%</w:t>
            </w:r>
          </w:p>
        </w:tc>
        <w:tc>
          <w:tcPr>
            <w:tcW w:w="30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166.0%</w:t>
            </w:r>
          </w:p>
        </w:tc>
        <w:tc>
          <w:tcPr>
            <w:tcW w:w="7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40" w:type="dxa"/>
            <w:vAlign w:val="bottom"/>
            <w:gridSpan w:val="2"/>
          </w:tcPr>
          <w:p>
            <w:pPr>
              <w:spacing w:after="0"/>
              <w:rPr>
                <w:sz w:val="20"/>
                <w:szCs w:val="20"/>
                <w:color w:val="auto"/>
              </w:rPr>
            </w:pPr>
            <w:r>
              <w:rPr>
                <w:rFonts w:ascii="Arial" w:cs="Arial" w:eastAsia="Arial" w:hAnsi="Arial"/>
                <w:sz w:val="13"/>
                <w:szCs w:val="13"/>
                <w:color w:val="auto"/>
              </w:rPr>
              <w:t>Return on average equity (2)</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14.3%</w:t>
            </w: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21.5%</w:t>
            </w: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23.8%</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17.8%</w:t>
            </w:r>
          </w:p>
        </w:tc>
        <w:tc>
          <w:tcPr>
            <w:tcW w:w="30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24.1%</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340" w:type="dxa"/>
            <w:vAlign w:val="bottom"/>
            <w:tcBorders>
              <w:top w:val="single" w:sz="8" w:color="CCFFCC"/>
            </w:tcBorders>
            <w:gridSpan w:val="2"/>
            <w:shd w:val="clear" w:color="auto" w:fill="CCFFCC"/>
          </w:tcPr>
          <w:p>
            <w:pPr>
              <w:spacing w:after="0" w:line="129" w:lineRule="exact"/>
              <w:rPr>
                <w:sz w:val="20"/>
                <w:szCs w:val="20"/>
                <w:color w:val="auto"/>
              </w:rPr>
            </w:pPr>
            <w:r>
              <w:rPr>
                <w:rFonts w:ascii="Arial" w:cs="Arial" w:eastAsia="Arial" w:hAnsi="Arial"/>
                <w:sz w:val="13"/>
                <w:szCs w:val="13"/>
                <w:color w:val="auto"/>
              </w:rPr>
              <w:t>Branches</w:t>
            </w:r>
          </w:p>
        </w:tc>
        <w:tc>
          <w:tcPr>
            <w:tcW w:w="80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174</w:t>
            </w:r>
          </w:p>
        </w:tc>
        <w:tc>
          <w:tcPr>
            <w:tcW w:w="240" w:type="dxa"/>
            <w:vAlign w:val="bottom"/>
            <w:tcBorders>
              <w:top w:val="single" w:sz="8" w:color="CCFFCC"/>
            </w:tcBorders>
            <w:shd w:val="clear" w:color="auto" w:fill="CCFFCC"/>
          </w:tcPr>
          <w:p>
            <w:pPr>
              <w:spacing w:after="0"/>
              <w:rPr>
                <w:sz w:val="11"/>
                <w:szCs w:val="11"/>
                <w:color w:val="auto"/>
              </w:rPr>
            </w:pPr>
          </w:p>
        </w:tc>
        <w:tc>
          <w:tcPr>
            <w:tcW w:w="82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170</w:t>
            </w:r>
          </w:p>
        </w:tc>
        <w:tc>
          <w:tcPr>
            <w:tcW w:w="240" w:type="dxa"/>
            <w:vAlign w:val="bottom"/>
            <w:tcBorders>
              <w:top w:val="single" w:sz="8" w:color="CCFFCC"/>
            </w:tcBorders>
            <w:shd w:val="clear" w:color="auto" w:fill="CCFFCC"/>
          </w:tcPr>
          <w:p>
            <w:pPr>
              <w:spacing w:after="0"/>
              <w:rPr>
                <w:sz w:val="11"/>
                <w:szCs w:val="11"/>
                <w:color w:val="auto"/>
              </w:rPr>
            </w:pPr>
          </w:p>
        </w:tc>
        <w:tc>
          <w:tcPr>
            <w:tcW w:w="80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137</w:t>
            </w:r>
          </w:p>
        </w:tc>
        <w:tc>
          <w:tcPr>
            <w:tcW w:w="220" w:type="dxa"/>
            <w:vAlign w:val="bottom"/>
            <w:tcBorders>
              <w:top w:val="single" w:sz="8" w:color="CCFFCC"/>
            </w:tcBorders>
            <w:shd w:val="clear" w:color="auto" w:fill="CCFFCC"/>
          </w:tcPr>
          <w:p>
            <w:pPr>
              <w:spacing w:after="0"/>
              <w:rPr>
                <w:sz w:val="11"/>
                <w:szCs w:val="11"/>
                <w:color w:val="auto"/>
              </w:rPr>
            </w:pPr>
          </w:p>
        </w:tc>
        <w:tc>
          <w:tcPr>
            <w:tcW w:w="780" w:type="dxa"/>
            <w:vAlign w:val="bottom"/>
            <w:tcBorders>
              <w:top w:val="single" w:sz="8" w:color="CCFFCC"/>
            </w:tcBorders>
            <w:shd w:val="clear" w:color="auto" w:fill="CCFFCC"/>
          </w:tcPr>
          <w:p>
            <w:pPr>
              <w:spacing w:after="0"/>
              <w:rPr>
                <w:sz w:val="11"/>
                <w:szCs w:val="11"/>
                <w:color w:val="auto"/>
              </w:rPr>
            </w:pPr>
          </w:p>
        </w:tc>
        <w:tc>
          <w:tcPr>
            <w:tcW w:w="240" w:type="dxa"/>
            <w:vAlign w:val="bottom"/>
            <w:tcBorders>
              <w:top w:val="single" w:sz="8" w:color="CCFFCC"/>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560" w:type="dxa"/>
            <w:vAlign w:val="bottom"/>
            <w:tcBorders>
              <w:top w:val="single" w:sz="8" w:color="CCFFCC"/>
            </w:tcBorders>
            <w:shd w:val="clear" w:color="auto" w:fill="CCFFCC"/>
          </w:tcPr>
          <w:p>
            <w:pPr>
              <w:spacing w:after="0"/>
              <w:rPr>
                <w:sz w:val="11"/>
                <w:szCs w:val="11"/>
                <w:color w:val="auto"/>
              </w:rPr>
            </w:pPr>
          </w:p>
        </w:tc>
        <w:tc>
          <w:tcPr>
            <w:tcW w:w="240" w:type="dxa"/>
            <w:vAlign w:val="bottom"/>
            <w:tcBorders>
              <w:top w:val="single" w:sz="8" w:color="CCFFCC"/>
            </w:tcBorders>
            <w:shd w:val="clear" w:color="auto" w:fill="CCFFCC"/>
          </w:tcPr>
          <w:p>
            <w:pPr>
              <w:spacing w:after="0"/>
              <w:rPr>
                <w:sz w:val="11"/>
                <w:szCs w:val="11"/>
                <w:color w:val="auto"/>
              </w:rPr>
            </w:pPr>
          </w:p>
        </w:tc>
        <w:tc>
          <w:tcPr>
            <w:tcW w:w="78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300" w:type="dxa"/>
            <w:vAlign w:val="bottom"/>
            <w:tcBorders>
              <w:top w:val="single" w:sz="8" w:color="auto"/>
            </w:tcBorders>
            <w:shd w:val="clear" w:color="auto" w:fill="CCFFCC"/>
          </w:tcPr>
          <w:p>
            <w:pPr>
              <w:spacing w:after="0"/>
              <w:rPr>
                <w:sz w:val="11"/>
                <w:szCs w:val="11"/>
                <w:color w:val="auto"/>
              </w:rPr>
            </w:pPr>
          </w:p>
        </w:tc>
        <w:tc>
          <w:tcPr>
            <w:tcW w:w="48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780" w:type="dxa"/>
            <w:vAlign w:val="bottom"/>
            <w:tcBorders>
              <w:top w:val="single" w:sz="8" w:color="CCFFCC"/>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340" w:type="dxa"/>
            <w:vAlign w:val="bottom"/>
            <w:gridSpan w:val="2"/>
          </w:tcPr>
          <w:p>
            <w:pPr>
              <w:spacing w:after="0"/>
              <w:rPr>
                <w:sz w:val="20"/>
                <w:szCs w:val="20"/>
                <w:color w:val="auto"/>
              </w:rPr>
            </w:pPr>
            <w:r>
              <w:rPr>
                <w:rFonts w:ascii="Arial" w:cs="Arial" w:eastAsia="Arial" w:hAnsi="Arial"/>
                <w:sz w:val="13"/>
                <w:szCs w:val="13"/>
                <w:color w:val="auto"/>
              </w:rPr>
              <w:t>Employees</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3,974</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3,669</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3,045</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-6985</wp:posOffset>
            </wp:positionV>
            <wp:extent cx="184404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ind w:left="260" w:hanging="252"/>
        <w:spacing w:after="0"/>
        <w:tabs>
          <w:tab w:leader="none" w:pos="26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Accrued interest on current loans is now included as part of total loans.</w:t>
      </w:r>
    </w:p>
    <w:p>
      <w:pPr>
        <w:spacing w:after="0" w:line="10" w:lineRule="exact"/>
        <w:rPr>
          <w:rFonts w:ascii="Arial" w:cs="Arial" w:eastAsia="Arial" w:hAnsi="Arial"/>
          <w:sz w:val="18"/>
          <w:szCs w:val="18"/>
          <w:i w:val="1"/>
          <w:iCs w:val="1"/>
          <w:color w:val="auto"/>
        </w:rPr>
      </w:pPr>
    </w:p>
    <w:p>
      <w:pPr>
        <w:ind w:left="260" w:hanging="252"/>
        <w:spacing w:after="0"/>
        <w:tabs>
          <w:tab w:leader="none" w:pos="26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Net shareholders´ equity includes US$ 50.7 millions from goodwill.</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2Q13, Edyficar reported a net income of US$5.5 million, 31.7% lower than the figure reported in 1Q13 (-25.5% YoY). It is important to note that the evolution in net income this quarter was impacted by the devaluation of 7.5% of the Nuevo Sol because income statement lines are mostly denominated in LC and a translation loss of US$ 11.4 million was recorded. In local accounting, net income grew 28.2% QoQ and 80.8% YoY.</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Nevertheless, the business has performed exceptionally well this Q. This is reflected in the positive evolution of the operating income, which posted a significant increase of 50.6% QoQ despite the aforementioned devaluation’s impact. The dynamism reported this Q was due primarily to an increase in net interest income (+14.1%) that was associated with an increase in our portfolio volume and a decline in provisions (-5.2%) due to an increase in charge-offs (+7.8%).</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YoY comparison indicates a 109.2% increase in operating income due to growth in interest income (+55.6%), which was due primarily to an increase in our portfolio volume (+37.0%).</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terms of portfolio volume and quality, Edyficar’s loan portfolio grew 0.4% QoQ, continuing with its efforts to increase its market share in the sector. It is important to mention that 98.7% of the loan portfolio is denominated in Nuevos Soles and that the total loan portfolio actually grew 7.9% QoQ in local accounting.</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Meanwhile, the past due portfolio, reported growth of 1.2% QoQ and 30.3% YoY with a past due ratio of 3.95%, which falls below that posted in the second quarter of 2012 (4.16%). In this context, the coverage rate on past due loans was situated at 174.4% at the end of 2Q13.</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assets grew 39.5% YoY due to 37.0% YoY growth in loans and expansion in the investment portfolio. Fixed assets increased 53.7% YoY, which was attributable to growth in the number of branches, which went from 137 to 174.</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shareholders’ equity increased 5.5% in 2Q13 due to growth in accumulated results. In this context, ROAE was only 14.3% if we include goodwill and 21.4% without goodwill in 2Q13.</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accumulated terms at the end of June 2013, Edyficar’s net income fell 11.5% due to the aforementioned currency distortion. During this period, financial income demonstrated solid growth (+50.4%) while non-financial income increased 13.4%. Nevertheless, income expansion was offset by a translation loss (-819.0%) due to the 4.2% increase in the exchange rate (Jun12 - Jun13), higher requirements for provisions (+47.3%) and an increase in operating expenses (+36.1%).</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Despite the negative impact of devaluation, Financiera Edyficar’s results indicate that it continues to contribute to BCP’s objectives in terms of loan growth and earnings generation.</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0" w:name="page31"/>
    <w:bookmarkEnd w:id="30"/>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V. Credicorp Capital</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at Credicorp Capital in 2Q13 totaled US$ 1.4 million, which reflects a loss of US$ 1.3 million at BCP Capital; US$ 0.6 million in profit at Correval; US$ 1 million in earnings at IMTrust; and profit of US$ 109 thousand at CSI for 2Q13. It is important to note that BCP Capital’s results are primarily the result of a currency mismatch in the Balance Sheet and the Nuevo Sol’s 7.5% devaluation against the US Dollar in 2Q13, which generated an accounting loss of US$ 2.7 million in Credicorp Capital’s translation result.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Earnings contribution</w:t>
            </w:r>
          </w:p>
        </w:tc>
        <w:tc>
          <w:tcPr>
            <w:tcW w:w="1340" w:type="dxa"/>
            <w:vAlign w:val="bottom"/>
            <w:gridSpan w:val="3"/>
          </w:tcPr>
          <w:p>
            <w:pPr>
              <w:ind w:left="700"/>
              <w:spacing w:after="0"/>
              <w:rPr>
                <w:sz w:val="20"/>
                <w:szCs w:val="20"/>
                <w:color w:val="auto"/>
              </w:rPr>
            </w:pPr>
            <w:r>
              <w:rPr>
                <w:rFonts w:ascii="Arial" w:cs="Arial" w:eastAsia="Arial" w:hAnsi="Arial"/>
                <w:sz w:val="18"/>
                <w:szCs w:val="18"/>
                <w:b w:val="1"/>
                <w:bCs w:val="1"/>
                <w:color w:val="auto"/>
                <w:w w:val="95"/>
              </w:rPr>
              <w:t>Quarter</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w w:val="96"/>
              </w:rPr>
              <w:t>Change %</w:t>
            </w: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w w:val="97"/>
              </w:rPr>
              <w:t>Year to date</w:t>
            </w:r>
          </w:p>
        </w:tc>
      </w:tr>
      <w:tr>
        <w:trPr>
          <w:trHeight w:val="234"/>
        </w:trPr>
        <w:tc>
          <w:tcPr>
            <w:tcW w:w="5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US$ 000</w:t>
            </w:r>
          </w:p>
        </w:tc>
        <w:tc>
          <w:tcPr>
            <w:tcW w:w="100" w:type="dxa"/>
            <w:vAlign w:val="bottom"/>
            <w:tcBorders>
              <w:bottom w:val="single" w:sz="8" w:color="CCFFCC"/>
            </w:tcBorders>
          </w:tcPr>
          <w:p>
            <w:pPr>
              <w:spacing w:after="0"/>
              <w:rPr>
                <w:sz w:val="20"/>
                <w:szCs w:val="20"/>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2Q13</w:t>
            </w:r>
          </w:p>
        </w:tc>
        <w:tc>
          <w:tcPr>
            <w:tcW w:w="200" w:type="dxa"/>
            <w:vAlign w:val="bottom"/>
            <w:tcBorders>
              <w:bottom w:val="single" w:sz="8" w:color="CCFF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5"/>
              </w:rPr>
              <w:t>1Q13</w:t>
            </w:r>
          </w:p>
        </w:tc>
        <w:tc>
          <w:tcPr>
            <w:tcW w:w="200" w:type="dxa"/>
            <w:vAlign w:val="bottom"/>
            <w:tcBorders>
              <w:bottom w:val="single" w:sz="8" w:color="CCFFCC"/>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FFCC"/>
            </w:tcBorders>
          </w:tcPr>
          <w:p>
            <w:pPr>
              <w:spacing w:after="0"/>
              <w:rPr>
                <w:sz w:val="20"/>
                <w:szCs w:val="20"/>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Jun 13</w:t>
            </w:r>
          </w:p>
        </w:tc>
        <w:tc>
          <w:tcPr>
            <w:tcW w:w="100" w:type="dxa"/>
            <w:vAlign w:val="bottom"/>
            <w:tcBorders>
              <w:bottom w:val="single" w:sz="8" w:color="CCFFCC"/>
            </w:tcBorders>
          </w:tcPr>
          <w:p>
            <w:pPr>
              <w:spacing w:after="0"/>
              <w:rPr>
                <w:sz w:val="20"/>
                <w:szCs w:val="20"/>
                <w:color w:val="auto"/>
              </w:rPr>
            </w:pPr>
          </w:p>
        </w:tc>
      </w:tr>
      <w:tr>
        <w:trPr>
          <w:trHeight w:val="210"/>
        </w:trPr>
        <w:tc>
          <w:tcPr>
            <w:tcW w:w="5760" w:type="dxa"/>
            <w:vAlign w:val="bottom"/>
            <w:shd w:val="clear" w:color="auto" w:fill="CCFFCC"/>
          </w:tcPr>
          <w:p>
            <w:pPr>
              <w:spacing w:after="0"/>
              <w:rPr>
                <w:sz w:val="20"/>
                <w:szCs w:val="20"/>
                <w:color w:val="auto"/>
              </w:rPr>
            </w:pPr>
            <w:r>
              <w:rPr>
                <w:rFonts w:ascii="Arial" w:cs="Arial" w:eastAsia="Arial" w:hAnsi="Arial"/>
                <w:sz w:val="18"/>
                <w:szCs w:val="18"/>
                <w:color w:val="auto"/>
              </w:rPr>
              <w:t>BCP Capital</w:t>
            </w: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-1,305</w:t>
            </w:r>
          </w:p>
        </w:tc>
        <w:tc>
          <w:tcPr>
            <w:tcW w:w="2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2,960</w:t>
            </w:r>
          </w:p>
        </w:tc>
        <w:tc>
          <w:tcPr>
            <w:tcW w:w="2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-144.1%</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1,655</w:t>
            </w:r>
          </w:p>
        </w:tc>
        <w:tc>
          <w:tcPr>
            <w:tcW w:w="100" w:type="dxa"/>
            <w:vAlign w:val="bottom"/>
            <w:shd w:val="clear" w:color="auto" w:fill="CCFFCC"/>
          </w:tcPr>
          <w:p>
            <w:pPr>
              <w:spacing w:after="0"/>
              <w:rPr>
                <w:sz w:val="18"/>
                <w:szCs w:val="18"/>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Credicorp Investments</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2,632</w:t>
            </w: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3,433</w:t>
            </w: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-23.3%</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6,066</w:t>
            </w:r>
          </w:p>
        </w:tc>
      </w:tr>
      <w:tr>
        <w:trPr>
          <w:trHeight w:val="216"/>
        </w:trPr>
        <w:tc>
          <w:tcPr>
            <w:tcW w:w="586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Credicorp Investments (Holding)</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958</w:t>
            </w:r>
          </w:p>
        </w:tc>
        <w:tc>
          <w:tcPr>
            <w:tcW w:w="22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826</w:t>
            </w:r>
          </w:p>
        </w:tc>
        <w:tc>
          <w:tcPr>
            <w:tcW w:w="118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16.0%</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1,784</w:t>
            </w:r>
          </w:p>
        </w:tc>
      </w:tr>
      <w:tr>
        <w:trPr>
          <w:trHeight w:val="216"/>
        </w:trPr>
        <w:tc>
          <w:tcPr>
            <w:tcW w:w="5860" w:type="dxa"/>
            <w:vAlign w:val="bottom"/>
            <w:gridSpan w:val="2"/>
          </w:tcPr>
          <w:p>
            <w:pPr>
              <w:ind w:left="180"/>
              <w:spacing w:after="0"/>
              <w:rPr>
                <w:sz w:val="20"/>
                <w:szCs w:val="20"/>
                <w:color w:val="auto"/>
              </w:rPr>
            </w:pPr>
            <w:r>
              <w:rPr>
                <w:rFonts w:ascii="Arial" w:cs="Arial" w:eastAsia="Arial" w:hAnsi="Arial"/>
                <w:sz w:val="18"/>
                <w:szCs w:val="18"/>
                <w:color w:val="auto"/>
              </w:rPr>
              <w:t>BCP Colombia (Correval) (1)</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648</w:t>
            </w: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1,202</w:t>
            </w: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-46.1%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1,851</w:t>
            </w:r>
          </w:p>
        </w:tc>
      </w:tr>
      <w:tr>
        <w:trPr>
          <w:trHeight w:val="216"/>
        </w:trPr>
        <w:tc>
          <w:tcPr>
            <w:tcW w:w="586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BCP Chile (IM Trust)</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1,026</w:t>
            </w:r>
          </w:p>
        </w:tc>
        <w:tc>
          <w:tcPr>
            <w:tcW w:w="22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1,405</w:t>
            </w:r>
          </w:p>
        </w:tc>
        <w:tc>
          <w:tcPr>
            <w:tcW w:w="118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-27.0%</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2,431</w:t>
            </w:r>
          </w:p>
        </w:tc>
      </w:t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rPr>
              <w:t>CSI</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111</w:t>
            </w: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-1.8%</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r>
      <w:tr>
        <w:trPr>
          <w:trHeight w:val="210"/>
        </w:trPr>
        <w:tc>
          <w:tcPr>
            <w:tcW w:w="586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Credicorp Capital</w:t>
            </w: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1,436</w:t>
            </w:r>
          </w:p>
        </w:tc>
        <w:tc>
          <w:tcPr>
            <w:tcW w:w="20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bottom w:val="single" w:sz="8" w:color="auto"/>
            </w:tcBorders>
            <w:shd w:val="clear" w:color="auto" w:fill="CCFFCC"/>
          </w:tcPr>
          <w:p>
            <w:pPr>
              <w:spacing w:after="0"/>
              <w:rPr>
                <w:sz w:val="18"/>
                <w:szCs w:val="18"/>
                <w:color w:val="auto"/>
              </w:rPr>
            </w:pPr>
          </w:p>
        </w:tc>
        <w:tc>
          <w:tcPr>
            <w:tcW w:w="6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6,504</w:t>
            </w:r>
          </w:p>
        </w:tc>
        <w:tc>
          <w:tcPr>
            <w:tcW w:w="20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-77.9</w:t>
            </w:r>
          </w:p>
        </w:tc>
        <w:tc>
          <w:tcPr>
            <w:tcW w:w="280" w:type="dxa"/>
            <w:vAlign w:val="bottom"/>
            <w:tcBorders>
              <w:top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7,941</w:t>
            </w:r>
          </w:p>
        </w:tc>
        <w:tc>
          <w:tcPr>
            <w:tcW w:w="100" w:type="dxa"/>
            <w:vAlign w:val="bottom"/>
            <w:tcBorders>
              <w:top w:val="single" w:sz="8" w:color="CCFFCC"/>
            </w:tcBorders>
            <w:shd w:val="clear" w:color="auto" w:fill="CCFFCC"/>
          </w:tcPr>
          <w:p>
            <w:pPr>
              <w:spacing w:after="0"/>
              <w:rPr>
                <w:sz w:val="18"/>
                <w:szCs w:val="18"/>
                <w:color w:val="auto"/>
              </w:rPr>
            </w:pPr>
          </w:p>
        </w:tc>
      </w:tr>
      <w:tr>
        <w:trPr>
          <w:trHeight w:val="225"/>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Contribution to Credicorp (1)</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1,467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6,435</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-77.2</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7,903</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-8890</wp:posOffset>
            </wp:positionV>
            <wp:extent cx="2735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 Figures Proforma - Unaudited, according to IFRS.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BCP Capital contributes with 97.66%, while Credicorp investments and CSI contribute with 100% of their results.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aforementioned represented a contribution to Credicorp of US$ 1.5 million in 2Q13. In accumulated terms at the end of June 2013, Credicorp Capital had contributed to US$ 7.9 million to Credicorp.</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income in 2Q13 totaled US$ 38 million, which can be disaggregated as follows: 33% from the sales &amp; trading business; 46% from asset management; 14% from corporate finance; and the remaining 7% from fee income relative to confidence, trusts and treasury. Gross income in 2Q13 declined -12.1% QoQ due to an economic downturn and lower yields on stock exchanges throughout the region; this generated an adverse effect that was particularly visible in the sales &amp; trading and corporate finance businesses.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expenses amounted to US$30.9 million in 2Q13 (-4.5% QoQ); the main items were salaries and employee benefits, administrative expenses, and support expenses. With regard to operating efficiency, Credicorp Capital’s efficiency ratio was 78.2% in 2Q13. In accumulated terms at the end of June 2013, expenses totaled US$ 63.2 million, which represented an efficiency ratio of 76%.</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Credicorp Capital’s primary transactions in 2Q13, which were conducted by the Corporate Finance team in Peru and the Sales &amp; Trading teams in 3 countries, involved acting as a joint lead manager of several large transactions in the international bond market (144A / RegS): BCP (US$ 350 million in senior and US$ 170 million subordinated notes), Ferreyros (US$ 300 million senior, Transportadora de Gas del Perú (US$ 850 million) y Consorcio Transmantaro (US$ 450 million). Additionally, the company conducted a bond exchange for BCP bonds 2016 for US$ 366 million.</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Corporate Finance team in Chile won a liability management mandate for more than US$ 500 million (Maipo and Futaleufú) and has been hired to act as a Joint Book Runner to increase LAN’s capital by approximately US$ 1,000 million.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At the end of 2Q13, Credicorp Capital’s AuM totaled US$ 8,319 million, 55% of which correspond to BCP Capital, 17% to Correval and 28% to IM Trust.</w:t>
      </w: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1" w:name="page32"/>
    <w:bookmarkEnd w:id="31"/>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Credicorp Capital</w:t>
            </w:r>
          </w:p>
        </w:tc>
        <w:tc>
          <w:tcPr>
            <w:tcW w:w="1540" w:type="dxa"/>
            <w:vAlign w:val="bottom"/>
            <w:gridSpan w:val="3"/>
          </w:tcPr>
          <w:p>
            <w:pPr>
              <w:ind w:left="840"/>
              <w:spacing w:after="0"/>
              <w:rPr>
                <w:sz w:val="20"/>
                <w:szCs w:val="20"/>
                <w:color w:val="auto"/>
              </w:rPr>
            </w:pPr>
            <w:r>
              <w:rPr>
                <w:rFonts w:ascii="Arial" w:cs="Arial" w:eastAsia="Arial" w:hAnsi="Arial"/>
                <w:sz w:val="18"/>
                <w:szCs w:val="18"/>
                <w:b w:val="1"/>
                <w:bCs w:val="1"/>
                <w:color w:val="auto"/>
              </w:rPr>
              <w:t>Quarter</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Change %</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3"/>
              </w:rPr>
              <w:t>Year to date</w:t>
            </w:r>
          </w:p>
        </w:tc>
      </w:tr>
      <w:tr>
        <w:trPr>
          <w:trHeight w:val="234"/>
        </w:trPr>
        <w:tc>
          <w:tcPr>
            <w:tcW w:w="6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US$ 000</w:t>
            </w:r>
          </w:p>
        </w:tc>
        <w:tc>
          <w:tcPr>
            <w:tcW w:w="100" w:type="dxa"/>
            <w:vAlign w:val="bottom"/>
            <w:tcBorders>
              <w:bottom w:val="single" w:sz="8" w:color="CCFFCC"/>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2Q13</w:t>
            </w:r>
          </w:p>
        </w:tc>
        <w:tc>
          <w:tcPr>
            <w:tcW w:w="280" w:type="dxa"/>
            <w:vAlign w:val="bottom"/>
            <w:tcBorders>
              <w:bottom w:val="single" w:sz="8" w:color="CCFF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1Q13</w:t>
            </w:r>
          </w:p>
        </w:tc>
        <w:tc>
          <w:tcPr>
            <w:tcW w:w="28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Jun 13</w:t>
            </w:r>
          </w:p>
        </w:tc>
        <w:tc>
          <w:tcPr>
            <w:tcW w:w="160" w:type="dxa"/>
            <w:vAlign w:val="bottom"/>
            <w:tcBorders>
              <w:bottom w:val="single" w:sz="8" w:color="CCFFCC"/>
            </w:tcBorders>
          </w:tcPr>
          <w:p>
            <w:pPr>
              <w:spacing w:after="0"/>
              <w:rPr>
                <w:sz w:val="20"/>
                <w:szCs w:val="20"/>
                <w:color w:val="auto"/>
              </w:rPr>
            </w:pPr>
          </w:p>
        </w:tc>
      </w:tr>
      <w:tr>
        <w:trPr>
          <w:trHeight w:val="210"/>
        </w:trPr>
        <w:tc>
          <w:tcPr>
            <w:tcW w:w="6260" w:type="dxa"/>
            <w:vAlign w:val="bottom"/>
            <w:shd w:val="clear" w:color="auto" w:fill="CCFFCC"/>
          </w:tcPr>
          <w:p>
            <w:pPr>
              <w:spacing w:after="0"/>
              <w:rPr>
                <w:sz w:val="20"/>
                <w:szCs w:val="20"/>
                <w:color w:val="auto"/>
              </w:rPr>
            </w:pPr>
            <w:r>
              <w:rPr>
                <w:rFonts w:ascii="Arial" w:cs="Arial" w:eastAsia="Arial" w:hAnsi="Arial"/>
                <w:sz w:val="18"/>
                <w:szCs w:val="18"/>
                <w:color w:val="auto"/>
              </w:rPr>
              <w:t>Financial income</w:t>
            </w: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2,304</w:t>
            </w:r>
          </w:p>
        </w:tc>
        <w:tc>
          <w:tcPr>
            <w:tcW w:w="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2,617</w:t>
            </w:r>
          </w:p>
        </w:tc>
        <w:tc>
          <w:tcPr>
            <w:tcW w:w="28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-12.0%</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4,921</w:t>
            </w:r>
          </w:p>
        </w:tc>
        <w:tc>
          <w:tcPr>
            <w:tcW w:w="160" w:type="dxa"/>
            <w:vAlign w:val="bottom"/>
            <w:shd w:val="clear" w:color="auto" w:fill="CCFFCC"/>
          </w:tcPr>
          <w:p>
            <w:pPr>
              <w:spacing w:after="0"/>
              <w:rPr>
                <w:sz w:val="18"/>
                <w:szCs w:val="18"/>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Non-financial income</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38,518</w:t>
            </w:r>
          </w:p>
        </w:tc>
        <w:tc>
          <w:tcPr>
            <w:tcW w:w="2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42,638</w:t>
            </w:r>
          </w:p>
        </w:tc>
        <w:tc>
          <w:tcPr>
            <w:tcW w:w="1300" w:type="dxa"/>
            <w:vAlign w:val="bottom"/>
            <w:gridSpan w:val="2"/>
          </w:tcPr>
          <w:p>
            <w:pPr>
              <w:jc w:val="right"/>
              <w:ind w:right="50"/>
              <w:spacing w:after="0"/>
              <w:rPr>
                <w:sz w:val="20"/>
                <w:szCs w:val="20"/>
                <w:color w:val="auto"/>
              </w:rPr>
            </w:pPr>
            <w:r>
              <w:rPr>
                <w:rFonts w:ascii="Arial" w:cs="Arial" w:eastAsia="Arial" w:hAnsi="Arial"/>
                <w:sz w:val="18"/>
                <w:szCs w:val="18"/>
                <w:color w:val="auto"/>
              </w:rPr>
              <w:t>-9.7%</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81,156</w:t>
            </w:r>
          </w:p>
        </w:tc>
      </w:tr>
      <w:tr>
        <w:trPr>
          <w:trHeight w:val="216"/>
        </w:trPr>
        <w:tc>
          <w:tcPr>
            <w:tcW w:w="63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Financial expense</w:t>
            </w:r>
          </w:p>
        </w:tc>
        <w:tc>
          <w:tcPr>
            <w:tcW w:w="13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-1,334</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-1,542</w:t>
            </w:r>
          </w:p>
        </w:tc>
        <w:tc>
          <w:tcPr>
            <w:tcW w:w="13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-13.5%</w:t>
            </w: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-2,876</w:t>
            </w:r>
          </w:p>
        </w:tc>
      </w:t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Operating expense (1)</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-30,867</w:t>
            </w:r>
          </w:p>
        </w:tc>
        <w:tc>
          <w:tcPr>
            <w:tcW w:w="24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-32,330</w:t>
            </w:r>
          </w:p>
        </w:tc>
        <w:tc>
          <w:tcPr>
            <w:tcW w:w="1300" w:type="dxa"/>
            <w:vAlign w:val="bottom"/>
            <w:gridSpan w:val="2"/>
          </w:tcPr>
          <w:p>
            <w:pPr>
              <w:jc w:val="right"/>
              <w:ind w:right="50"/>
              <w:spacing w:after="0"/>
              <w:rPr>
                <w:sz w:val="20"/>
                <w:szCs w:val="20"/>
                <w:color w:val="auto"/>
              </w:rPr>
            </w:pPr>
            <w:r>
              <w:rPr>
                <w:rFonts w:ascii="Arial" w:cs="Arial" w:eastAsia="Arial" w:hAnsi="Arial"/>
                <w:sz w:val="18"/>
                <w:szCs w:val="18"/>
                <w:color w:val="auto"/>
              </w:rPr>
              <w:t>-4.5%</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-63,197</w:t>
            </w:r>
          </w:p>
        </w:tc>
      </w:tr>
      <w:tr>
        <w:trPr>
          <w:trHeight w:val="210"/>
        </w:trPr>
        <w:tc>
          <w:tcPr>
            <w:tcW w:w="636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Net income before income tax</w:t>
            </w: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8,621</w:t>
            </w:r>
          </w:p>
        </w:tc>
        <w:tc>
          <w:tcPr>
            <w:tcW w:w="28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bottom w:val="single" w:sz="8" w:color="auto"/>
            </w:tcBorders>
            <w:shd w:val="clear" w:color="auto" w:fill="CCFFCC"/>
          </w:tcPr>
          <w:p>
            <w:pPr>
              <w:spacing w:after="0"/>
              <w:rPr>
                <w:sz w:val="18"/>
                <w:szCs w:val="18"/>
                <w:color w:val="auto"/>
              </w:rPr>
            </w:pPr>
          </w:p>
        </w:tc>
        <w:tc>
          <w:tcPr>
            <w:tcW w:w="7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11,383</w:t>
            </w:r>
          </w:p>
        </w:tc>
        <w:tc>
          <w:tcPr>
            <w:tcW w:w="28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-24.3</w:t>
            </w:r>
          </w:p>
        </w:tc>
        <w:tc>
          <w:tcPr>
            <w:tcW w:w="300" w:type="dxa"/>
            <w:vAlign w:val="bottom"/>
            <w:tcBorders>
              <w:top w:val="single" w:sz="8" w:color="CCFFCC"/>
            </w:tcBorders>
            <w:shd w:val="clear" w:color="auto" w:fill="CCFFCC"/>
          </w:tcPr>
          <w:p>
            <w:pPr>
              <w:jc w:val="right"/>
              <w:ind w:right="50"/>
              <w:spacing w:after="0"/>
              <w:rPr>
                <w:sz w:val="20"/>
                <w:szCs w:val="20"/>
                <w:color w:val="auto"/>
              </w:rPr>
            </w:pPr>
            <w:r>
              <w:rPr>
                <w:rFonts w:ascii="Arial" w:cs="Arial" w:eastAsia="Arial" w:hAnsi="Arial"/>
                <w:sz w:val="18"/>
                <w:szCs w:val="18"/>
                <w:color w:val="auto"/>
                <w:w w:val="87"/>
              </w:rPr>
              <w:t>%</w:t>
            </w: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20,004</w:t>
            </w:r>
          </w:p>
        </w:tc>
        <w:tc>
          <w:tcPr>
            <w:tcW w:w="160" w:type="dxa"/>
            <w:vAlign w:val="bottom"/>
            <w:tcBorders>
              <w:top w:val="single" w:sz="8" w:color="CCFFCC"/>
            </w:tcBorders>
            <w:shd w:val="clear" w:color="auto" w:fill="CCFFCC"/>
          </w:tcPr>
          <w:p>
            <w:pPr>
              <w:spacing w:after="0"/>
              <w:rPr>
                <w:sz w:val="18"/>
                <w:szCs w:val="18"/>
                <w:color w:val="auto"/>
              </w:rPr>
            </w:pPr>
          </w:p>
        </w:tc>
      </w:tr>
      <w:tr>
        <w:trPr>
          <w:trHeight w:val="210"/>
        </w:trPr>
        <w:tc>
          <w:tcPr>
            <w:tcW w:w="636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020" w:type="dxa"/>
            <w:vAlign w:val="bottom"/>
          </w:tcPr>
          <w:p>
            <w:pPr>
              <w:jc w:val="right"/>
              <w:spacing w:after="0"/>
              <w:rPr>
                <w:sz w:val="20"/>
                <w:szCs w:val="20"/>
                <w:color w:val="auto"/>
              </w:rPr>
            </w:pPr>
            <w:r>
              <w:rPr>
                <w:rFonts w:ascii="Arial" w:cs="Arial" w:eastAsia="Arial" w:hAnsi="Arial"/>
                <w:sz w:val="18"/>
                <w:szCs w:val="18"/>
                <w:color w:val="auto"/>
              </w:rPr>
              <w:t>-1,867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-3,096</w:t>
            </w:r>
          </w:p>
        </w:tc>
        <w:tc>
          <w:tcPr>
            <w:tcW w:w="280" w:type="dxa"/>
            <w:vAlign w:val="bottom"/>
          </w:tcPr>
          <w:p>
            <w:pPr>
              <w:spacing w:after="0"/>
              <w:rPr>
                <w:sz w:val="18"/>
                <w:szCs w:val="18"/>
                <w:color w:val="auto"/>
              </w:rPr>
            </w:pPr>
          </w:p>
        </w:tc>
        <w:tc>
          <w:tcPr>
            <w:tcW w:w="1300" w:type="dxa"/>
            <w:vAlign w:val="bottom"/>
            <w:gridSpan w:val="2"/>
          </w:tcPr>
          <w:p>
            <w:pPr>
              <w:jc w:val="right"/>
              <w:ind w:right="50"/>
              <w:spacing w:after="0"/>
              <w:rPr>
                <w:sz w:val="20"/>
                <w:szCs w:val="20"/>
                <w:color w:val="auto"/>
              </w:rPr>
            </w:pPr>
            <w:r>
              <w:rPr>
                <w:rFonts w:ascii="Arial" w:cs="Arial" w:eastAsia="Arial" w:hAnsi="Arial"/>
                <w:sz w:val="18"/>
                <w:szCs w:val="18"/>
                <w:color w:val="auto"/>
              </w:rPr>
              <w:t>-39.7%</w:t>
            </w:r>
          </w:p>
        </w:tc>
        <w:tc>
          <w:tcPr>
            <w:tcW w:w="1020" w:type="dxa"/>
            <w:vAlign w:val="bottom"/>
          </w:tcPr>
          <w:p>
            <w:pPr>
              <w:jc w:val="right"/>
              <w:spacing w:after="0"/>
              <w:rPr>
                <w:sz w:val="20"/>
                <w:szCs w:val="20"/>
                <w:color w:val="auto"/>
              </w:rPr>
            </w:pPr>
            <w:r>
              <w:rPr>
                <w:rFonts w:ascii="Arial" w:cs="Arial" w:eastAsia="Arial" w:hAnsi="Arial"/>
                <w:sz w:val="18"/>
                <w:szCs w:val="18"/>
                <w:color w:val="auto"/>
              </w:rPr>
              <w:t>-4,963</w:t>
            </w:r>
          </w:p>
        </w:tc>
        <w:tc>
          <w:tcPr>
            <w:tcW w:w="160" w:type="dxa"/>
            <w:vAlign w:val="bottom"/>
          </w:tcPr>
          <w:p>
            <w:pPr>
              <w:spacing w:after="0"/>
              <w:rPr>
                <w:sz w:val="18"/>
                <w:szCs w:val="18"/>
                <w:color w:val="auto"/>
              </w:rPr>
            </w:pPr>
          </w:p>
        </w:tc>
      </w:tr>
      <w:tr>
        <w:trPr>
          <w:trHeight w:val="216"/>
        </w:trPr>
        <w:tc>
          <w:tcPr>
            <w:tcW w:w="63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Translation results</w:t>
            </w:r>
          </w:p>
        </w:tc>
        <w:tc>
          <w:tcPr>
            <w:tcW w:w="13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-2,713</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-487</w:t>
            </w:r>
          </w:p>
        </w:tc>
        <w:tc>
          <w:tcPr>
            <w:tcW w:w="13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457.1%</w:t>
            </w: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-3,200</w:t>
            </w:r>
          </w:p>
        </w:tc>
      </w:t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Minority interest (2)</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-2,605</w:t>
            </w:r>
          </w:p>
        </w:tc>
        <w:tc>
          <w:tcPr>
            <w:tcW w:w="24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-1,296</w:t>
            </w:r>
          </w:p>
        </w:tc>
        <w:tc>
          <w:tcPr>
            <w:tcW w:w="1300" w:type="dxa"/>
            <w:vAlign w:val="bottom"/>
            <w:gridSpan w:val="2"/>
          </w:tcPr>
          <w:p>
            <w:pPr>
              <w:jc w:val="right"/>
              <w:ind w:right="50"/>
              <w:spacing w:after="0"/>
              <w:rPr>
                <w:sz w:val="20"/>
                <w:szCs w:val="20"/>
                <w:color w:val="auto"/>
              </w:rPr>
            </w:pPr>
            <w:r>
              <w:rPr>
                <w:rFonts w:ascii="Arial" w:cs="Arial" w:eastAsia="Arial" w:hAnsi="Arial"/>
                <w:sz w:val="18"/>
                <w:szCs w:val="18"/>
                <w:color w:val="auto"/>
              </w:rPr>
              <w:t>101.0%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-3,901</w:t>
            </w:r>
          </w:p>
        </w:tc>
      </w:tr>
      <w:tr>
        <w:trPr>
          <w:trHeight w:val="210"/>
        </w:trPr>
        <w:tc>
          <w:tcPr>
            <w:tcW w:w="636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1,436</w:t>
            </w:r>
          </w:p>
        </w:tc>
        <w:tc>
          <w:tcPr>
            <w:tcW w:w="28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bottom w:val="single" w:sz="8" w:color="auto"/>
            </w:tcBorders>
            <w:shd w:val="clear" w:color="auto" w:fill="CCFFCC"/>
          </w:tcPr>
          <w:p>
            <w:pPr>
              <w:spacing w:after="0"/>
              <w:rPr>
                <w:sz w:val="18"/>
                <w:szCs w:val="18"/>
                <w:color w:val="auto"/>
              </w:rPr>
            </w:pPr>
          </w:p>
        </w:tc>
        <w:tc>
          <w:tcPr>
            <w:tcW w:w="7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6,504</w:t>
            </w:r>
          </w:p>
        </w:tc>
        <w:tc>
          <w:tcPr>
            <w:tcW w:w="28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-77.9</w:t>
            </w:r>
          </w:p>
        </w:tc>
        <w:tc>
          <w:tcPr>
            <w:tcW w:w="300" w:type="dxa"/>
            <w:vAlign w:val="bottom"/>
            <w:tcBorders>
              <w:top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7,941</w:t>
            </w:r>
          </w:p>
        </w:tc>
        <w:tc>
          <w:tcPr>
            <w:tcW w:w="160" w:type="dxa"/>
            <w:vAlign w:val="bottom"/>
            <w:tcBorders>
              <w:top w:val="single" w:sz="8" w:color="CCFFCC"/>
            </w:tcBorders>
            <w:shd w:val="clear" w:color="auto" w:fill="CCFFCC"/>
          </w:tcPr>
          <w:p>
            <w:pPr>
              <w:spacing w:after="0"/>
              <w:rPr>
                <w:sz w:val="18"/>
                <w:szCs w:val="18"/>
                <w:color w:val="auto"/>
              </w:rPr>
            </w:pPr>
          </w:p>
        </w:tc>
      </w:tr>
      <w:tr>
        <w:trPr>
          <w:trHeight w:val="210"/>
        </w:trPr>
        <w:tc>
          <w:tcPr>
            <w:tcW w:w="636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b w:val="1"/>
                <w:bCs w:val="1"/>
                <w:color w:val="auto"/>
              </w:rPr>
              <w:t>Contribution to Credicorp (3)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1,467</w:t>
            </w:r>
          </w:p>
        </w:tc>
        <w:tc>
          <w:tcPr>
            <w:tcW w:w="280" w:type="dxa"/>
            <w:vAlign w:val="bottom"/>
            <w:tcBorders>
              <w:bottom w:val="single" w:sz="8" w:color="CCFFC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6,435</w:t>
            </w:r>
          </w:p>
        </w:tc>
        <w:tc>
          <w:tcPr>
            <w:tcW w:w="280" w:type="dxa"/>
            <w:vAlign w:val="bottom"/>
            <w:tcBorders>
              <w:bottom w:val="single" w:sz="8" w:color="CCFFCC"/>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-77.2</w:t>
            </w:r>
          </w:p>
        </w:tc>
        <w:tc>
          <w:tcPr>
            <w:tcW w:w="30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7,903</w:t>
            </w:r>
          </w:p>
        </w:tc>
        <w:tc>
          <w:tcPr>
            <w:tcW w:w="160" w:type="dxa"/>
            <w:vAlign w:val="bottom"/>
            <w:tcBorders>
              <w:bottom w:val="single" w:sz="8" w:color="CCFFCC"/>
            </w:tcBorders>
          </w:tcPr>
          <w:p>
            <w:pPr>
              <w:spacing w:after="0"/>
              <w:rPr>
                <w:sz w:val="18"/>
                <w:szCs w:val="18"/>
                <w:color w:val="auto"/>
              </w:rPr>
            </w:pPr>
          </w:p>
        </w:tc>
      </w:tr>
      <w:tr>
        <w:trPr>
          <w:trHeight w:val="210"/>
        </w:trPr>
        <w:tc>
          <w:tcPr>
            <w:tcW w:w="63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shareholders' equity (4)</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243,179</w:t>
            </w:r>
          </w:p>
        </w:tc>
        <w:tc>
          <w:tcPr>
            <w:tcW w:w="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257,585</w:t>
            </w:r>
          </w:p>
        </w:tc>
        <w:tc>
          <w:tcPr>
            <w:tcW w:w="28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-5.6%</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243,179</w:t>
            </w:r>
          </w:p>
        </w:tc>
        <w:tc>
          <w:tcPr>
            <w:tcW w:w="160" w:type="dxa"/>
            <w:vAlign w:val="bottom"/>
            <w:shd w:val="clear" w:color="auto" w:fill="CCFFCC"/>
          </w:tcPr>
          <w:p>
            <w:pPr>
              <w:spacing w:after="0"/>
              <w:rPr>
                <w:sz w:val="18"/>
                <w:szCs w:val="18"/>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Assets under Management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8,319</w:t>
            </w:r>
          </w:p>
        </w:tc>
        <w:tc>
          <w:tcPr>
            <w:tcW w:w="2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9,000</w:t>
            </w:r>
          </w:p>
        </w:tc>
        <w:tc>
          <w:tcPr>
            <w:tcW w:w="1300" w:type="dxa"/>
            <w:vAlign w:val="bottom"/>
            <w:gridSpan w:val="2"/>
          </w:tcPr>
          <w:p>
            <w:pPr>
              <w:jc w:val="right"/>
              <w:ind w:right="50"/>
              <w:spacing w:after="0"/>
              <w:rPr>
                <w:sz w:val="20"/>
                <w:szCs w:val="20"/>
                <w:color w:val="auto"/>
              </w:rPr>
            </w:pPr>
            <w:r>
              <w:rPr>
                <w:rFonts w:ascii="Arial" w:cs="Arial" w:eastAsia="Arial" w:hAnsi="Arial"/>
                <w:sz w:val="18"/>
                <w:szCs w:val="18"/>
                <w:color w:val="auto"/>
              </w:rPr>
              <w:t>-7.6%</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8,319</w:t>
            </w:r>
          </w:p>
        </w:tc>
      </w:tr>
      <w:tr>
        <w:trPr>
          <w:trHeight w:val="216"/>
        </w:trPr>
        <w:tc>
          <w:tcPr>
            <w:tcW w:w="63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Efficiency ratio (5)</w:t>
            </w: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78.2%</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74.0%</w:t>
            </w:r>
          </w:p>
        </w:tc>
        <w:tc>
          <w:tcPr>
            <w:tcW w:w="13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0.0%</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76.0%</w:t>
            </w:r>
          </w:p>
        </w:tc>
      </w:t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Return on average equity (4) (6)</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10.2%</w:t>
            </w:r>
          </w:p>
        </w:tc>
        <w:tc>
          <w:tcPr>
            <w:tcW w:w="1300" w:type="dxa"/>
            <w:vAlign w:val="bottom"/>
            <w:gridSpan w:val="2"/>
          </w:tcPr>
          <w:p>
            <w:pPr>
              <w:jc w:val="right"/>
              <w:ind w:right="50"/>
              <w:spacing w:after="0"/>
              <w:rPr>
                <w:sz w:val="20"/>
                <w:szCs w:val="20"/>
                <w:color w:val="auto"/>
              </w:rPr>
            </w:pPr>
            <w:r>
              <w:rPr>
                <w:rFonts w:ascii="Arial" w:cs="Arial" w:eastAsia="Arial" w:hAnsi="Arial"/>
                <w:sz w:val="18"/>
                <w:szCs w:val="18"/>
                <w:color w:val="auto"/>
              </w:rPr>
              <w:t>0.0%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0</wp:posOffset>
            </wp:positionV>
            <wp:extent cx="310451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 Figures Proforma - Unaudited, according to IFRS.</w:t>
      </w:r>
    </w:p>
    <w:p>
      <w:pPr>
        <w:spacing w:after="0" w:line="22" w:lineRule="exact"/>
        <w:rPr>
          <w:sz w:val="20"/>
          <w:szCs w:val="20"/>
          <w:color w:val="auto"/>
        </w:rPr>
      </w:pPr>
    </w:p>
    <w:p>
      <w:pPr>
        <w:ind w:right="320" w:firstLine="8"/>
        <w:spacing w:after="0" w:line="250" w:lineRule="auto"/>
        <w:tabs>
          <w:tab w:leader="none" w:pos="255"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Salaries and employees benefits + Administrative expenses + Asigned expenses + Depreciation and amortization + Tax and contributions + Other expenses.</w:t>
      </w:r>
    </w:p>
    <w:p>
      <w:pPr>
        <w:ind w:left="260" w:hanging="252"/>
        <w:spacing w:after="0"/>
        <w:tabs>
          <w:tab w:leader="none" w:pos="26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Results of Correval and IMT that are not owned by BCP Colombia and BCP Chile (49% and 39.4% respectively).</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BCP Capital contributes with 97.66%, while Credicorp investments and CSI contribute with 100% of their results.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Net shareholders´ equity Dic-12 = US$ 250.8 million.</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Operating expense / (Net financial income + Non-financial income).</w:t>
      </w:r>
    </w:p>
    <w:p>
      <w:pPr>
        <w:spacing w:after="0" w:line="9" w:lineRule="exact"/>
        <w:rPr>
          <w:rFonts w:ascii="Arial" w:cs="Arial" w:eastAsia="Arial" w:hAnsi="Arial"/>
          <w:sz w:val="18"/>
          <w:szCs w:val="18"/>
          <w:i w:val="1"/>
          <w:iCs w:val="1"/>
          <w:color w:val="auto"/>
        </w:rPr>
      </w:pPr>
    </w:p>
    <w:p>
      <w:pPr>
        <w:ind w:right="420" w:firstLine="8"/>
        <w:spacing w:after="0" w:line="261" w:lineRule="auto"/>
        <w:tabs>
          <w:tab w:leader="none" w:pos="255"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ROAE = Annualized Net income / Average Net shareholders´ equity (Averages are determined as the average of period-beginning and period-ending balances).</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2" w:name="page33"/>
    <w:bookmarkEnd w:id="32"/>
    <w:p>
      <w:pPr>
        <w:spacing w:after="0" w:line="3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706120</wp:posOffset>
            </wp:positionV>
            <wp:extent cx="1132205" cy="3086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VI. Atlantic Security Bank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Atlantic Security Bank (ASB) reported net income of US$ 13.4 million in 2Q13, which represented a decline of -13.4% QoQ. This drop is primarily attributable to lower income from sales of investments and losses on foreign exchange transactions. On the other hand, this quarter’s annualized ROAE reached 30.3%, which falls below the 30.8% reported in 1Q13 but is higher than the 24.3% posted in 2Q12.</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Core income fell 8.7% QoQ due to a decrease in net interest income (-4.7%) as a result of a decline in the volume of interest earning assets; the loss in foreign exchange transactions (-US$ 900 thousand in 2Q13); and lower gains on sale of securities (- US$ 1.2 million) A YoY comparison shows that core income fell 0.5% due to losses on foreign exchange transactions, which was attenuated by an increase in the financial margin (+5.6%).</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 YoY analysis, Net income grew 26.5%, explained by higher gains on sale of securities (fixed and variable income instruments). In accumulated terms at the end of 2Q13, ASB’s contribution to Credicorp totaled US$ 28.9 million (+26.5% YoY), which represents a 30.5% increase with regard to the figure reported for the same period last year. This growth was attributable to growth in earnings on sales of securities (+218.1% QaQ), which was due primarily to realized earnings on sales of fixed income and equity instruments and a net increase in total income of (2.0%).</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80" w:type="dxa"/>
            <w:vAlign w:val="bottom"/>
            <w:gridSpan w:val="2"/>
          </w:tcPr>
          <w:p>
            <w:pPr>
              <w:spacing w:after="0"/>
              <w:rPr>
                <w:sz w:val="20"/>
                <w:szCs w:val="20"/>
                <w:color w:val="auto"/>
              </w:rPr>
            </w:pPr>
            <w:r>
              <w:rPr>
                <w:rFonts w:ascii="Arial" w:cs="Arial" w:eastAsia="Arial" w:hAnsi="Arial"/>
                <w:sz w:val="14"/>
                <w:szCs w:val="14"/>
                <w:b w:val="1"/>
                <w:bCs w:val="1"/>
                <w:color w:val="auto"/>
              </w:rPr>
              <w:t>ASB</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ind w:left="580"/>
              <w:spacing w:after="0"/>
              <w:rPr>
                <w:sz w:val="20"/>
                <w:szCs w:val="20"/>
                <w:color w:val="auto"/>
              </w:rPr>
            </w:pPr>
            <w:r>
              <w:rPr>
                <w:rFonts w:ascii="Arial" w:cs="Arial" w:eastAsia="Arial" w:hAnsi="Arial"/>
                <w:sz w:val="14"/>
                <w:szCs w:val="14"/>
                <w:b w:val="1"/>
                <w:bCs w:val="1"/>
                <w:color w:val="auto"/>
                <w:w w:val="97"/>
              </w:rPr>
              <w:t>Change %</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3"/>
          </w:tcPr>
          <w:p>
            <w:pPr>
              <w:ind w:left="520"/>
              <w:spacing w:after="0"/>
              <w:rPr>
                <w:sz w:val="20"/>
                <w:szCs w:val="20"/>
                <w:color w:val="auto"/>
              </w:rPr>
            </w:pPr>
            <w:r>
              <w:rPr>
                <w:rFonts w:ascii="Arial" w:cs="Arial" w:eastAsia="Arial" w:hAnsi="Arial"/>
                <w:sz w:val="14"/>
                <w:szCs w:val="14"/>
                <w:b w:val="1"/>
                <w:bCs w:val="1"/>
                <w:color w:val="auto"/>
                <w:w w:val="95"/>
              </w:rPr>
              <w:t>Year to Date</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71"/>
        </w:trPr>
        <w:tc>
          <w:tcPr>
            <w:tcW w:w="3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US$ million</w:t>
            </w:r>
          </w:p>
        </w:tc>
        <w:tc>
          <w:tcPr>
            <w:tcW w:w="10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2Q13</w:t>
            </w:r>
          </w:p>
        </w:tc>
        <w:tc>
          <w:tcPr>
            <w:tcW w:w="24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1Q13</w:t>
            </w:r>
          </w:p>
        </w:tc>
        <w:tc>
          <w:tcPr>
            <w:tcW w:w="22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2Q12</w:t>
            </w:r>
          </w:p>
        </w:tc>
        <w:tc>
          <w:tcPr>
            <w:tcW w:w="22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FFC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Jun 13</w:t>
            </w:r>
          </w:p>
        </w:tc>
        <w:tc>
          <w:tcPr>
            <w:tcW w:w="24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rPr>
              <w:t>Jun 12</w:t>
            </w:r>
          </w:p>
        </w:tc>
        <w:tc>
          <w:tcPr>
            <w:tcW w:w="220" w:type="dxa"/>
            <w:vAlign w:val="bottom"/>
            <w:tcBorders>
              <w:bottom w:val="single" w:sz="8" w:color="CCFFCC"/>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Jun 13 / Jun 12</w:t>
            </w:r>
          </w:p>
        </w:tc>
        <w:tc>
          <w:tcPr>
            <w:tcW w:w="140" w:type="dxa"/>
            <w:vAlign w:val="bottom"/>
            <w:tcBorders>
              <w:bottom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8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Net interest income</w:t>
            </w:r>
          </w:p>
        </w:tc>
        <w:tc>
          <w:tcPr>
            <w:tcW w:w="10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9.8</w:t>
            </w:r>
          </w:p>
        </w:tc>
        <w:tc>
          <w:tcPr>
            <w:tcW w:w="24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10.3</w:t>
            </w:r>
          </w:p>
        </w:tc>
        <w:tc>
          <w:tcPr>
            <w:tcW w:w="22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9.3</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-4.7%</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5.6%</w:t>
            </w: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20.1</w:t>
            </w:r>
          </w:p>
        </w:tc>
        <w:tc>
          <w:tcPr>
            <w:tcW w:w="24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4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18.7</w:t>
            </w:r>
          </w:p>
        </w:tc>
        <w:tc>
          <w:tcPr>
            <w:tcW w:w="22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9"/>
        </w:trPr>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Dividend income</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0.3</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0.3</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0.2</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-12.1%</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64.1%</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0.6</w:t>
            </w:r>
          </w:p>
        </w:tc>
        <w:tc>
          <w:tcPr>
            <w:tcW w:w="30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0.4</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75.7%</w:t>
            </w:r>
          </w:p>
        </w:tc>
        <w:tc>
          <w:tcPr>
            <w:tcW w:w="0" w:type="dxa"/>
            <w:vAlign w:val="bottom"/>
          </w:tcPr>
          <w:p>
            <w:pPr>
              <w:spacing w:after="0"/>
              <w:rPr>
                <w:sz w:val="1"/>
                <w:szCs w:val="1"/>
                <w:color w:val="auto"/>
              </w:rPr>
            </w:pPr>
          </w:p>
        </w:tc>
      </w:tr>
      <w:tr>
        <w:trPr>
          <w:trHeight w:val="149"/>
        </w:trPr>
        <w:tc>
          <w:tcPr>
            <w:tcW w:w="31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Fees and commissions from services</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2.3</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2.0</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2.1</w:t>
            </w:r>
          </w:p>
        </w:tc>
        <w:tc>
          <w:tcPr>
            <w:tcW w:w="10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15.4%</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9.6%</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4.2</w:t>
            </w:r>
          </w:p>
        </w:tc>
        <w:tc>
          <w:tcPr>
            <w:tcW w:w="30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4.5</w:t>
            </w:r>
          </w:p>
        </w:tc>
        <w:tc>
          <w:tcPr>
            <w:tcW w:w="11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9"/>
        </w:trPr>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Net gains on foreign exchange transactions</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(0.1)</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(0.1)</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-687.0%</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-921.5%</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w:t>
            </w:r>
          </w:p>
        </w:tc>
        <w:tc>
          <w:tcPr>
            <w:tcW w:w="30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(0.2)</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-443.5%</w:t>
            </w:r>
          </w:p>
        </w:tc>
        <w:tc>
          <w:tcPr>
            <w:tcW w:w="0" w:type="dxa"/>
            <w:vAlign w:val="bottom"/>
          </w:tcPr>
          <w:p>
            <w:pPr>
              <w:spacing w:after="0"/>
              <w:rPr>
                <w:sz w:val="1"/>
                <w:szCs w:val="1"/>
                <w:color w:val="auto"/>
              </w:rPr>
            </w:pPr>
          </w:p>
        </w:tc>
      </w:tr>
      <w:tr>
        <w:trPr>
          <w:trHeight w:val="162"/>
        </w:trPr>
        <w:tc>
          <w:tcPr>
            <w:tcW w:w="3180" w:type="dxa"/>
            <w:vAlign w:val="bottom"/>
            <w:gridSpan w:val="2"/>
            <w:shd w:val="clear" w:color="auto" w:fill="CCFFCC"/>
          </w:tcPr>
          <w:p>
            <w:pPr>
              <w:spacing w:after="0"/>
              <w:rPr>
                <w:sz w:val="20"/>
                <w:szCs w:val="20"/>
                <w:color w:val="auto"/>
              </w:rPr>
            </w:pPr>
            <w:r>
              <w:rPr>
                <w:rFonts w:ascii="Arial" w:cs="Arial" w:eastAsia="Arial" w:hAnsi="Arial"/>
                <w:sz w:val="14"/>
                <w:szCs w:val="14"/>
                <w:b w:val="1"/>
                <w:bCs w:val="1"/>
                <w:color w:val="auto"/>
              </w:rPr>
              <w:t>Core income</w:t>
            </w: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b w:val="1"/>
                <w:bCs w:val="1"/>
                <w:color w:val="auto"/>
              </w:rPr>
              <w:t>11.4</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12.5</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11.4</w:t>
            </w:r>
          </w:p>
        </w:tc>
        <w:tc>
          <w:tcPr>
            <w:tcW w:w="104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b w:val="1"/>
                <w:bCs w:val="1"/>
                <w:color w:val="auto"/>
              </w:rPr>
              <w:t>-8.7%</w:t>
            </w:r>
          </w:p>
        </w:tc>
        <w:tc>
          <w:tcPr>
            <w:tcW w:w="22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b w:val="1"/>
                <w:bCs w:val="1"/>
                <w:color w:val="auto"/>
              </w:rPr>
              <w:t>-0.5%</w:t>
            </w: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b w:val="1"/>
                <w:bCs w:val="1"/>
                <w:color w:val="auto"/>
              </w:rPr>
              <w:t>23.9</w:t>
            </w:r>
          </w:p>
        </w:tc>
        <w:tc>
          <w:tcPr>
            <w:tcW w:w="300" w:type="dxa"/>
            <w:vAlign w:val="bottom"/>
            <w:shd w:val="clear" w:color="auto" w:fill="CCFFCC"/>
          </w:tcPr>
          <w:p>
            <w:pPr>
              <w:spacing w:after="0"/>
              <w:rPr>
                <w:sz w:val="14"/>
                <w:szCs w:val="14"/>
                <w:color w:val="auto"/>
              </w:rPr>
            </w:pPr>
          </w:p>
        </w:tc>
        <w:tc>
          <w:tcPr>
            <w:tcW w:w="7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23.4</w:t>
            </w:r>
          </w:p>
        </w:tc>
        <w:tc>
          <w:tcPr>
            <w:tcW w:w="1100" w:type="dxa"/>
            <w:vAlign w:val="bottom"/>
            <w:gridSpan w:val="2"/>
            <w:shd w:val="clear" w:color="auto" w:fill="CCFFCC"/>
          </w:tcPr>
          <w:p>
            <w:pPr>
              <w:jc w:val="right"/>
              <w:spacing w:after="0"/>
              <w:rPr>
                <w:sz w:val="20"/>
                <w:szCs w:val="20"/>
                <w:color w:val="auto"/>
              </w:rPr>
            </w:pPr>
            <w:r>
              <w:rPr>
                <w:rFonts w:ascii="Arial" w:cs="Arial" w:eastAsia="Arial" w:hAnsi="Arial"/>
                <w:sz w:val="14"/>
                <w:szCs w:val="14"/>
                <w:b w:val="1"/>
                <w:bCs w:val="1"/>
                <w:color w:val="auto"/>
              </w:rPr>
              <w:t>2.0%</w:t>
            </w: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spacing w:after="0"/>
              <w:rPr>
                <w:sz w:val="20"/>
                <w:szCs w:val="20"/>
                <w:color w:val="auto"/>
              </w:rPr>
            </w:pPr>
            <w:r>
              <w:rPr>
                <w:rFonts w:ascii="Arial" w:cs="Arial" w:eastAsia="Arial" w:hAnsi="Arial"/>
                <w:sz w:val="14"/>
                <w:szCs w:val="14"/>
                <w:color w:val="auto"/>
              </w:rPr>
              <w:t>Net Provisions</w:t>
            </w:r>
          </w:p>
        </w:tc>
        <w:tc>
          <w:tcPr>
            <w:tcW w:w="7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80" w:type="dxa"/>
            <w:vAlign w:val="bottom"/>
            <w:gridSpan w:val="2"/>
            <w:vMerge w:val="continue"/>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0.0</w:t>
            </w:r>
          </w:p>
        </w:tc>
        <w:tc>
          <w:tcPr>
            <w:tcW w:w="240" w:type="dxa"/>
            <w:vAlign w:val="bottom"/>
            <w:vMerge w:val="continue"/>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-0.3</w:t>
            </w:r>
          </w:p>
        </w:tc>
        <w:tc>
          <w:tcPr>
            <w:tcW w:w="220" w:type="dxa"/>
            <w:vAlign w:val="bottom"/>
            <w:vMerge w:val="continue"/>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0.0</w:t>
            </w:r>
          </w:p>
        </w:tc>
        <w:tc>
          <w:tcPr>
            <w:tcW w:w="220" w:type="dxa"/>
            <w:vAlign w:val="bottom"/>
            <w:vMerge w:val="continue"/>
          </w:tcPr>
          <w:p>
            <w:pPr>
              <w:spacing w:after="0"/>
              <w:rPr>
                <w:sz w:val="12"/>
                <w:szCs w:val="12"/>
                <w:color w:val="auto"/>
              </w:rPr>
            </w:pPr>
          </w:p>
        </w:tc>
        <w:tc>
          <w:tcPr>
            <w:tcW w:w="1040" w:type="dxa"/>
            <w:vAlign w:val="bottom"/>
            <w:gridSpan w:val="2"/>
          </w:tcPr>
          <w:p>
            <w:pPr>
              <w:jc w:val="right"/>
              <w:ind w:right="68"/>
              <w:spacing w:after="0" w:line="142" w:lineRule="exact"/>
              <w:rPr>
                <w:sz w:val="20"/>
                <w:szCs w:val="20"/>
                <w:color w:val="auto"/>
              </w:rPr>
            </w:pPr>
            <w:r>
              <w:rPr>
                <w:rFonts w:ascii="Arial" w:cs="Arial" w:eastAsia="Arial" w:hAnsi="Arial"/>
                <w:sz w:val="14"/>
                <w:szCs w:val="14"/>
                <w:color w:val="auto"/>
              </w:rPr>
              <w:t>-99.3%</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2" w:lineRule="exact"/>
              <w:rPr>
                <w:sz w:val="20"/>
                <w:szCs w:val="20"/>
                <w:color w:val="auto"/>
              </w:rPr>
            </w:pPr>
            <w:r>
              <w:rPr>
                <w:rFonts w:ascii="Arial" w:cs="Arial" w:eastAsia="Arial" w:hAnsi="Arial"/>
                <w:sz w:val="14"/>
                <w:szCs w:val="14"/>
                <w:color w:val="auto"/>
              </w:rPr>
              <w:t>100.0%</w:t>
            </w:r>
          </w:p>
        </w:tc>
        <w:tc>
          <w:tcPr>
            <w:tcW w:w="102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rPr>
              <w:t>(0.3)</w:t>
            </w:r>
          </w:p>
        </w:tc>
        <w:tc>
          <w:tcPr>
            <w:tcW w:w="30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4"/>
                <w:szCs w:val="14"/>
                <w:color w:val="auto"/>
              </w:rPr>
              <w:t>0.0</w:t>
            </w:r>
          </w:p>
        </w:tc>
        <w:tc>
          <w:tcPr>
            <w:tcW w:w="220" w:type="dxa"/>
            <w:vAlign w:val="bottom"/>
            <w:vMerge w:val="continue"/>
          </w:tcPr>
          <w:p>
            <w:pPr>
              <w:spacing w:after="0"/>
              <w:rPr>
                <w:sz w:val="12"/>
                <w:szCs w:val="12"/>
                <w:color w:val="auto"/>
              </w:rPr>
            </w:pPr>
          </w:p>
        </w:tc>
        <w:tc>
          <w:tcPr>
            <w:tcW w:w="11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31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Net gains from sale of securities</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4.3</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5.5</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1.3</w:t>
            </w:r>
          </w:p>
        </w:tc>
        <w:tc>
          <w:tcPr>
            <w:tcW w:w="10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-21.6%</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224.3%</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9.9</w:t>
            </w:r>
          </w:p>
        </w:tc>
        <w:tc>
          <w:tcPr>
            <w:tcW w:w="30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3.1</w:t>
            </w:r>
          </w:p>
        </w:tc>
        <w:tc>
          <w:tcPr>
            <w:tcW w:w="11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218.1%</w:t>
            </w:r>
          </w:p>
        </w:tc>
        <w:tc>
          <w:tcPr>
            <w:tcW w:w="0" w:type="dxa"/>
            <w:vAlign w:val="bottom"/>
          </w:tcPr>
          <w:p>
            <w:pPr>
              <w:spacing w:after="0"/>
              <w:rPr>
                <w:sz w:val="1"/>
                <w:szCs w:val="1"/>
                <w:color w:val="auto"/>
              </w:rPr>
            </w:pPr>
          </w:p>
        </w:tc>
      </w:tr>
      <w:tr>
        <w:trPr>
          <w:trHeight w:val="149"/>
        </w:trPr>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Other income</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0.2</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-0.1</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0.0</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467.8%</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959.2%</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0.1</w:t>
            </w:r>
          </w:p>
        </w:tc>
        <w:tc>
          <w:tcPr>
            <w:tcW w:w="30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(0.1)</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206.7%</w:t>
            </w:r>
          </w:p>
        </w:tc>
        <w:tc>
          <w:tcPr>
            <w:tcW w:w="0" w:type="dxa"/>
            <w:vAlign w:val="bottom"/>
          </w:tcPr>
          <w:p>
            <w:pPr>
              <w:spacing w:after="0"/>
              <w:rPr>
                <w:sz w:val="1"/>
                <w:szCs w:val="1"/>
                <w:color w:val="auto"/>
              </w:rPr>
            </w:pPr>
          </w:p>
        </w:tc>
      </w:tr>
      <w:tr>
        <w:trPr>
          <w:trHeight w:val="162"/>
        </w:trPr>
        <w:tc>
          <w:tcPr>
            <w:tcW w:w="3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Operating expenses</w:t>
            </w:r>
          </w:p>
        </w:tc>
        <w:tc>
          <w:tcPr>
            <w:tcW w:w="102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(2.5)</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(2.2)</w:t>
            </w:r>
          </w:p>
        </w:tc>
        <w:tc>
          <w:tcPr>
            <w:tcW w:w="102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(2.1)</w:t>
            </w:r>
          </w:p>
        </w:tc>
        <w:tc>
          <w:tcPr>
            <w:tcW w:w="104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14.7%</w:t>
            </w:r>
          </w:p>
        </w:tc>
        <w:tc>
          <w:tcPr>
            <w:tcW w:w="22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15.0%</w:t>
            </w:r>
          </w:p>
        </w:tc>
        <w:tc>
          <w:tcPr>
            <w:tcW w:w="102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(4.6)</w:t>
            </w:r>
          </w:p>
        </w:tc>
        <w:tc>
          <w:tcPr>
            <w:tcW w:w="300" w:type="dxa"/>
            <w:vAlign w:val="bottom"/>
            <w:shd w:val="clear" w:color="auto" w:fill="CCFFCC"/>
          </w:tcPr>
          <w:p>
            <w:pPr>
              <w:spacing w:after="0"/>
              <w:rPr>
                <w:sz w:val="14"/>
                <w:szCs w:val="14"/>
                <w:color w:val="auto"/>
              </w:rPr>
            </w:pP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(4.2)</w:t>
            </w:r>
          </w:p>
        </w:tc>
        <w:tc>
          <w:tcPr>
            <w:tcW w:w="11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2"/>
        </w:trPr>
        <w:tc>
          <w:tcPr>
            <w:tcW w:w="3180" w:type="dxa"/>
            <w:vAlign w:val="bottom"/>
            <w:tcBorders>
              <w:bottom w:val="single" w:sz="8" w:color="CCFFCC"/>
            </w:tcBorders>
            <w:gridSpan w:val="2"/>
          </w:tcPr>
          <w:p>
            <w:pPr>
              <w:spacing w:after="0" w:line="142" w:lineRule="exact"/>
              <w:rPr>
                <w:sz w:val="20"/>
                <w:szCs w:val="20"/>
                <w:color w:val="auto"/>
              </w:rPr>
            </w:pPr>
            <w:r>
              <w:rPr>
                <w:rFonts w:ascii="Arial" w:cs="Arial" w:eastAsia="Arial" w:hAnsi="Arial"/>
                <w:sz w:val="14"/>
                <w:szCs w:val="14"/>
                <w:b w:val="1"/>
                <w:bCs w:val="1"/>
                <w:color w:val="auto"/>
              </w:rPr>
              <w:t>Net income</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13.4</w:t>
            </w:r>
          </w:p>
        </w:tc>
        <w:tc>
          <w:tcPr>
            <w:tcW w:w="240" w:type="dxa"/>
            <w:vAlign w:val="bottom"/>
            <w:tcBorders>
              <w:bottom w:val="single" w:sz="8" w:color="CCFFCC"/>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15.5</w:t>
            </w:r>
          </w:p>
        </w:tc>
        <w:tc>
          <w:tcPr>
            <w:tcW w:w="220" w:type="dxa"/>
            <w:vAlign w:val="bottom"/>
            <w:tcBorders>
              <w:bottom w:val="single" w:sz="8" w:color="CCFFCC"/>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10.6</w:t>
            </w:r>
          </w:p>
        </w:tc>
        <w:tc>
          <w:tcPr>
            <w:tcW w:w="220" w:type="dxa"/>
            <w:vAlign w:val="bottom"/>
            <w:tcBorders>
              <w:bottom w:val="single" w:sz="8" w:color="CCFFCC"/>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-13.4</w:t>
            </w:r>
          </w:p>
        </w:tc>
        <w:tc>
          <w:tcPr>
            <w:tcW w:w="260" w:type="dxa"/>
            <w:vAlign w:val="bottom"/>
            <w:tcBorders>
              <w:bottom w:val="single" w:sz="8" w:color="CCFFCC"/>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26.5</w:t>
            </w:r>
          </w:p>
        </w:tc>
        <w:tc>
          <w:tcPr>
            <w:tcW w:w="260" w:type="dxa"/>
            <w:vAlign w:val="bottom"/>
            <w:tcBorders>
              <w:bottom w:val="single" w:sz="8" w:color="CCFFCC"/>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28.9</w:t>
            </w:r>
          </w:p>
        </w:tc>
        <w:tc>
          <w:tcPr>
            <w:tcW w:w="240" w:type="dxa"/>
            <w:vAlign w:val="bottom"/>
            <w:tcBorders>
              <w:bottom w:val="single" w:sz="8" w:color="CCFFCC"/>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22.2</w:t>
            </w:r>
          </w:p>
        </w:tc>
        <w:tc>
          <w:tcPr>
            <w:tcW w:w="220" w:type="dxa"/>
            <w:vAlign w:val="bottom"/>
            <w:tcBorders>
              <w:bottom w:val="single" w:sz="8" w:color="CCFFCC"/>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30.5</w:t>
            </w:r>
          </w:p>
        </w:tc>
        <w:tc>
          <w:tcPr>
            <w:tcW w:w="140" w:type="dxa"/>
            <w:vAlign w:val="bottom"/>
            <w:tcBorders>
              <w:bottom w:val="single" w:sz="8" w:color="CCFFCC"/>
            </w:tcBorders>
          </w:tcPr>
          <w:p>
            <w:pPr>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3180" w:type="dxa"/>
            <w:vAlign w:val="bottom"/>
            <w:gridSpan w:val="2"/>
            <w:shd w:val="clear" w:color="auto" w:fill="CCFFCC"/>
          </w:tcPr>
          <w:p>
            <w:pPr>
              <w:spacing w:after="0" w:line="142" w:lineRule="exact"/>
              <w:rPr>
                <w:sz w:val="20"/>
                <w:szCs w:val="20"/>
                <w:color w:val="auto"/>
              </w:rPr>
            </w:pPr>
            <w:r>
              <w:rPr>
                <w:rFonts w:ascii="Arial" w:cs="Arial" w:eastAsia="Arial" w:hAnsi="Arial"/>
                <w:sz w:val="14"/>
                <w:szCs w:val="14"/>
                <w:color w:val="auto"/>
              </w:rPr>
              <w:t>Net income / share</w:t>
            </w:r>
          </w:p>
        </w:tc>
        <w:tc>
          <w:tcPr>
            <w:tcW w:w="7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0.2</w:t>
            </w:r>
          </w:p>
        </w:tc>
        <w:tc>
          <w:tcPr>
            <w:tcW w:w="240" w:type="dxa"/>
            <w:vAlign w:val="bottom"/>
            <w:shd w:val="clear" w:color="auto" w:fill="CCFFCC"/>
          </w:tcPr>
          <w:p>
            <w:pPr>
              <w:spacing w:after="0"/>
              <w:rPr>
                <w:sz w:val="12"/>
                <w:szCs w:val="12"/>
                <w:color w:val="auto"/>
              </w:rPr>
            </w:pPr>
          </w:p>
        </w:tc>
        <w:tc>
          <w:tcPr>
            <w:tcW w:w="7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0.2</w:t>
            </w:r>
          </w:p>
        </w:tc>
        <w:tc>
          <w:tcPr>
            <w:tcW w:w="220" w:type="dxa"/>
            <w:vAlign w:val="bottom"/>
            <w:shd w:val="clear" w:color="auto" w:fill="CCFFCC"/>
          </w:tcPr>
          <w:p>
            <w:pPr>
              <w:spacing w:after="0"/>
              <w:rPr>
                <w:sz w:val="12"/>
                <w:szCs w:val="12"/>
                <w:color w:val="auto"/>
              </w:rPr>
            </w:pPr>
          </w:p>
        </w:tc>
        <w:tc>
          <w:tcPr>
            <w:tcW w:w="80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0.2</w:t>
            </w:r>
          </w:p>
        </w:tc>
        <w:tc>
          <w:tcPr>
            <w:tcW w:w="220" w:type="dxa"/>
            <w:vAlign w:val="bottom"/>
            <w:shd w:val="clear" w:color="auto" w:fill="CCFFCC"/>
          </w:tcPr>
          <w:p>
            <w:pPr>
              <w:spacing w:after="0"/>
              <w:rPr>
                <w:sz w:val="12"/>
                <w:szCs w:val="12"/>
                <w:color w:val="auto"/>
              </w:rPr>
            </w:pPr>
          </w:p>
        </w:tc>
        <w:tc>
          <w:tcPr>
            <w:tcW w:w="7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-13.4</w:t>
            </w:r>
          </w:p>
        </w:tc>
        <w:tc>
          <w:tcPr>
            <w:tcW w:w="26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FFCC"/>
          </w:tcPr>
          <w:p>
            <w:pPr>
              <w:spacing w:after="0"/>
              <w:rPr>
                <w:sz w:val="12"/>
                <w:szCs w:val="12"/>
                <w:color w:val="auto"/>
              </w:rPr>
            </w:pPr>
          </w:p>
        </w:tc>
        <w:tc>
          <w:tcPr>
            <w:tcW w:w="56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26.5</w:t>
            </w:r>
          </w:p>
        </w:tc>
        <w:tc>
          <w:tcPr>
            <w:tcW w:w="26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0.4</w:t>
            </w:r>
          </w:p>
        </w:tc>
        <w:tc>
          <w:tcPr>
            <w:tcW w:w="240" w:type="dxa"/>
            <w:vAlign w:val="bottom"/>
            <w:shd w:val="clear" w:color="auto" w:fill="CCFFCC"/>
          </w:tcPr>
          <w:p>
            <w:pPr>
              <w:spacing w:after="0"/>
              <w:rPr>
                <w:sz w:val="12"/>
                <w:szCs w:val="12"/>
                <w:color w:val="auto"/>
              </w:rPr>
            </w:pPr>
          </w:p>
        </w:tc>
        <w:tc>
          <w:tcPr>
            <w:tcW w:w="300" w:type="dxa"/>
            <w:vAlign w:val="bottom"/>
            <w:tcBorders>
              <w:bottom w:val="single" w:sz="8" w:color="auto"/>
            </w:tcBorders>
            <w:shd w:val="clear" w:color="auto" w:fill="CCFFCC"/>
          </w:tcPr>
          <w:p>
            <w:pPr>
              <w:spacing w:after="0"/>
              <w:rPr>
                <w:sz w:val="12"/>
                <w:szCs w:val="12"/>
                <w:color w:val="auto"/>
              </w:rPr>
            </w:pPr>
          </w:p>
        </w:tc>
        <w:tc>
          <w:tcPr>
            <w:tcW w:w="4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0.3</w:t>
            </w:r>
          </w:p>
        </w:tc>
        <w:tc>
          <w:tcPr>
            <w:tcW w:w="220" w:type="dxa"/>
            <w:vAlign w:val="bottom"/>
            <w:shd w:val="clear" w:color="auto" w:fill="CCFFCC"/>
          </w:tcPr>
          <w:p>
            <w:pPr>
              <w:spacing w:after="0"/>
              <w:rPr>
                <w:sz w:val="12"/>
                <w:szCs w:val="12"/>
                <w:color w:val="auto"/>
              </w:rPr>
            </w:pPr>
          </w:p>
        </w:tc>
        <w:tc>
          <w:tcPr>
            <w:tcW w:w="96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30.5</w:t>
            </w:r>
          </w:p>
        </w:tc>
        <w:tc>
          <w:tcPr>
            <w:tcW w:w="14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2"/>
        </w:trPr>
        <w:tc>
          <w:tcPr>
            <w:tcW w:w="3180" w:type="dxa"/>
            <w:vAlign w:val="bottom"/>
            <w:tcBorders>
              <w:bottom w:val="single" w:sz="8" w:color="CCFFCC"/>
            </w:tcBorders>
            <w:gridSpan w:val="2"/>
          </w:tcPr>
          <w:p>
            <w:pPr>
              <w:spacing w:after="0" w:line="142" w:lineRule="exact"/>
              <w:rPr>
                <w:sz w:val="20"/>
                <w:szCs w:val="20"/>
                <w:color w:val="auto"/>
              </w:rPr>
            </w:pPr>
            <w:r>
              <w:rPr>
                <w:rFonts w:ascii="Arial" w:cs="Arial" w:eastAsia="Arial" w:hAnsi="Arial"/>
                <w:sz w:val="14"/>
                <w:szCs w:val="14"/>
                <w:b w:val="1"/>
                <w:bCs w:val="1"/>
                <w:color w:val="auto"/>
              </w:rPr>
              <w:t>Contribution to Credicorp</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13.4</w:t>
            </w:r>
          </w:p>
        </w:tc>
        <w:tc>
          <w:tcPr>
            <w:tcW w:w="240" w:type="dxa"/>
            <w:vAlign w:val="bottom"/>
            <w:tcBorders>
              <w:bottom w:val="single" w:sz="8" w:color="CCFFCC"/>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15.5</w:t>
            </w:r>
          </w:p>
        </w:tc>
        <w:tc>
          <w:tcPr>
            <w:tcW w:w="220" w:type="dxa"/>
            <w:vAlign w:val="bottom"/>
            <w:tcBorders>
              <w:bottom w:val="single" w:sz="8" w:color="CCFFCC"/>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10.6</w:t>
            </w:r>
          </w:p>
        </w:tc>
        <w:tc>
          <w:tcPr>
            <w:tcW w:w="220" w:type="dxa"/>
            <w:vAlign w:val="bottom"/>
            <w:tcBorders>
              <w:bottom w:val="single" w:sz="8" w:color="CCFFCC"/>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-13.4</w:t>
            </w:r>
          </w:p>
        </w:tc>
        <w:tc>
          <w:tcPr>
            <w:tcW w:w="260" w:type="dxa"/>
            <w:vAlign w:val="bottom"/>
            <w:tcBorders>
              <w:bottom w:val="single" w:sz="8" w:color="CCFFCC"/>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26.5</w:t>
            </w:r>
          </w:p>
        </w:tc>
        <w:tc>
          <w:tcPr>
            <w:tcW w:w="260" w:type="dxa"/>
            <w:vAlign w:val="bottom"/>
            <w:tcBorders>
              <w:bottom w:val="single" w:sz="8" w:color="CCFFCC"/>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28.9</w:t>
            </w:r>
          </w:p>
        </w:tc>
        <w:tc>
          <w:tcPr>
            <w:tcW w:w="240" w:type="dxa"/>
            <w:vAlign w:val="bottom"/>
            <w:tcBorders>
              <w:bottom w:val="single" w:sz="8" w:color="CCFFC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22.2</w:t>
            </w:r>
          </w:p>
        </w:tc>
        <w:tc>
          <w:tcPr>
            <w:tcW w:w="220" w:type="dxa"/>
            <w:vAlign w:val="bottom"/>
            <w:tcBorders>
              <w:bottom w:val="single" w:sz="8" w:color="CCFFCC"/>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30.5</w:t>
            </w:r>
          </w:p>
        </w:tc>
        <w:tc>
          <w:tcPr>
            <w:tcW w:w="140" w:type="dxa"/>
            <w:vAlign w:val="bottom"/>
            <w:tcBorders>
              <w:bottom w:val="single" w:sz="8" w:color="CCFFCC"/>
            </w:tcBorders>
          </w:tcPr>
          <w:p>
            <w:pPr>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3180" w:type="dxa"/>
            <w:vAlign w:val="bottom"/>
            <w:gridSpan w:val="2"/>
            <w:shd w:val="clear" w:color="auto" w:fill="CCFFCC"/>
          </w:tcPr>
          <w:p>
            <w:pPr>
              <w:spacing w:after="0" w:line="142" w:lineRule="exact"/>
              <w:rPr>
                <w:sz w:val="20"/>
                <w:szCs w:val="20"/>
                <w:color w:val="auto"/>
              </w:rPr>
            </w:pPr>
            <w:r>
              <w:rPr>
                <w:rFonts w:ascii="Arial" w:cs="Arial" w:eastAsia="Arial" w:hAnsi="Arial"/>
                <w:sz w:val="14"/>
                <w:szCs w:val="14"/>
                <w:color w:val="auto"/>
              </w:rPr>
              <w:t>Total loans</w:t>
            </w: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747.8</w:t>
            </w:r>
          </w:p>
        </w:tc>
        <w:tc>
          <w:tcPr>
            <w:tcW w:w="24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861.3</w:t>
            </w:r>
          </w:p>
        </w:tc>
        <w:tc>
          <w:tcPr>
            <w:tcW w:w="22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715.8</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-13.2%</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4.5%</w:t>
            </w: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747.8</w:t>
            </w:r>
          </w:p>
        </w:tc>
        <w:tc>
          <w:tcPr>
            <w:tcW w:w="24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4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715.8</w:t>
            </w:r>
          </w:p>
        </w:tc>
        <w:tc>
          <w:tcPr>
            <w:tcW w:w="220" w:type="dxa"/>
            <w:vAlign w:val="bottom"/>
            <w:shd w:val="clear" w:color="auto" w:fill="CCFFCC"/>
          </w:tcPr>
          <w:p>
            <w:pPr>
              <w:spacing w:after="0"/>
              <w:rPr>
                <w:sz w:val="12"/>
                <w:szCs w:val="12"/>
                <w:color w:val="auto"/>
              </w:rPr>
            </w:pPr>
          </w:p>
        </w:tc>
        <w:tc>
          <w:tcPr>
            <w:tcW w:w="9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Total investments available for sale</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785.7</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831.6</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805.1</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-5.5%</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-2.4%</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785.7</w:t>
            </w:r>
          </w:p>
        </w:tc>
        <w:tc>
          <w:tcPr>
            <w:tcW w:w="30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805.1</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Total assets</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1,634.4</w:t>
            </w:r>
          </w:p>
        </w:tc>
        <w:tc>
          <w:tcPr>
            <w:tcW w:w="24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1,787.3</w:t>
            </w: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1,623.6</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-8.6%</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0.7%</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1,634.4</w:t>
            </w:r>
          </w:p>
        </w:tc>
        <w:tc>
          <w:tcPr>
            <w:tcW w:w="300" w:type="dxa"/>
            <w:vAlign w:val="bottom"/>
            <w:shd w:val="clear" w:color="auto" w:fill="CCFFCC"/>
          </w:tcPr>
          <w:p>
            <w:pPr>
              <w:spacing w:after="0"/>
              <w:rPr>
                <w:sz w:val="12"/>
                <w:szCs w:val="12"/>
                <w:color w:val="auto"/>
              </w:rPr>
            </w:pPr>
          </w:p>
        </w:tc>
        <w:tc>
          <w:tcPr>
            <w:tcW w:w="4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98"/>
              </w:rPr>
              <w:t>1,623.6</w:t>
            </w:r>
          </w:p>
        </w:tc>
        <w:tc>
          <w:tcPr>
            <w:tcW w:w="220" w:type="dxa"/>
            <w:vAlign w:val="bottom"/>
            <w:shd w:val="clear" w:color="auto" w:fill="CCFFCC"/>
          </w:tcPr>
          <w:p>
            <w:pPr>
              <w:spacing w:after="0"/>
              <w:rPr>
                <w:sz w:val="12"/>
                <w:szCs w:val="12"/>
                <w:color w:val="auto"/>
              </w:rPr>
            </w:pPr>
          </w:p>
        </w:tc>
        <w:tc>
          <w:tcPr>
            <w:tcW w:w="9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Total deposits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1,321.7</w:t>
            </w:r>
          </w:p>
        </w:tc>
        <w:tc>
          <w:tcPr>
            <w:tcW w:w="24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1,333.6</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1,425.3</w:t>
            </w:r>
          </w:p>
        </w:tc>
        <w:tc>
          <w:tcPr>
            <w:tcW w:w="220" w:type="dxa"/>
            <w:vAlign w:val="bottom"/>
          </w:tcPr>
          <w:p>
            <w:pPr>
              <w:spacing w:after="0"/>
              <w:rPr>
                <w:sz w:val="12"/>
                <w:szCs w:val="12"/>
                <w:color w:val="auto"/>
              </w:rPr>
            </w:pP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-0.9%</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-7.3%</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1,321.7</w:t>
            </w:r>
          </w:p>
        </w:tc>
        <w:tc>
          <w:tcPr>
            <w:tcW w:w="3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8"/>
              </w:rPr>
              <w:t>1,425.3</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Net shareholder's equity</w:t>
            </w: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172.2</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182.6</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179.8</w:t>
            </w:r>
          </w:p>
        </w:tc>
        <w:tc>
          <w:tcPr>
            <w:tcW w:w="104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-5.7%</w:t>
            </w:r>
          </w:p>
        </w:tc>
        <w:tc>
          <w:tcPr>
            <w:tcW w:w="22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-4.2%</w:t>
            </w: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172.2</w:t>
            </w:r>
          </w:p>
        </w:tc>
        <w:tc>
          <w:tcPr>
            <w:tcW w:w="300" w:type="dxa"/>
            <w:vAlign w:val="bottom"/>
            <w:shd w:val="clear" w:color="auto" w:fill="CCFFCC"/>
          </w:tcPr>
          <w:p>
            <w:pPr>
              <w:spacing w:after="0"/>
              <w:rPr>
                <w:sz w:val="14"/>
                <w:szCs w:val="14"/>
                <w:color w:val="auto"/>
              </w:rPr>
            </w:pPr>
          </w:p>
        </w:tc>
        <w:tc>
          <w:tcPr>
            <w:tcW w:w="7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179.8</w:t>
            </w:r>
          </w:p>
        </w:tc>
        <w:tc>
          <w:tcPr>
            <w:tcW w:w="96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spacing w:after="0"/>
              <w:rPr>
                <w:sz w:val="20"/>
                <w:szCs w:val="20"/>
                <w:color w:val="auto"/>
              </w:rPr>
            </w:pPr>
            <w:r>
              <w:rPr>
                <w:rFonts w:ascii="Arial" w:cs="Arial" w:eastAsia="Arial" w:hAnsi="Arial"/>
                <w:sz w:val="14"/>
                <w:szCs w:val="14"/>
                <w:color w:val="auto"/>
              </w:rPr>
              <w:t>Net interest margin</w:t>
            </w: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80" w:type="dxa"/>
            <w:vAlign w:val="bottom"/>
            <w:gridSpan w:val="2"/>
            <w:vMerge w:val="continue"/>
          </w:tcPr>
          <w:p>
            <w:pPr>
              <w:spacing w:after="0"/>
              <w:rPr>
                <w:sz w:val="12"/>
                <w:szCs w:val="12"/>
                <w:color w:val="auto"/>
              </w:rPr>
            </w:pPr>
          </w:p>
        </w:tc>
        <w:tc>
          <w:tcPr>
            <w:tcW w:w="10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3.0%</w:t>
            </w:r>
          </w:p>
        </w:tc>
        <w:tc>
          <w:tcPr>
            <w:tcW w:w="10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3.1%</w:t>
            </w:r>
          </w:p>
        </w:tc>
        <w:tc>
          <w:tcPr>
            <w:tcW w:w="10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2.5%</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2.6%</w:t>
            </w:r>
          </w:p>
        </w:tc>
        <w:tc>
          <w:tcPr>
            <w:tcW w:w="300" w:type="dxa"/>
            <w:vAlign w:val="bottom"/>
          </w:tcPr>
          <w:p>
            <w:pPr>
              <w:spacing w:after="0"/>
              <w:rPr>
                <w:sz w:val="12"/>
                <w:szCs w:val="12"/>
                <w:color w:val="auto"/>
              </w:rPr>
            </w:pPr>
          </w:p>
        </w:tc>
        <w:tc>
          <w:tcPr>
            <w:tcW w:w="7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2.5%</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Efficiency ratio</w:t>
            </w: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15.5%</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12%</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16.8%</w:t>
            </w:r>
          </w:p>
        </w:tc>
        <w:tc>
          <w:tcPr>
            <w:tcW w:w="7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13.7%</w:t>
            </w:r>
          </w:p>
        </w:tc>
        <w:tc>
          <w:tcPr>
            <w:tcW w:w="30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15.9%</w:t>
            </w:r>
          </w:p>
        </w:tc>
        <w:tc>
          <w:tcPr>
            <w:tcW w:w="9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18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Return on average equity </w:t>
            </w:r>
            <w:r>
              <w:rPr>
                <w:rFonts w:ascii="Arial" w:cs="Arial" w:eastAsia="Arial" w:hAnsi="Arial"/>
                <w:sz w:val="21"/>
                <w:szCs w:val="21"/>
                <w:color w:val="auto"/>
                <w:vertAlign w:val="superscript"/>
              </w:rPr>
              <w:t>(1) (2)</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30.3%</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30.8%</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24.3%</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29.5%</w:t>
            </w:r>
          </w:p>
        </w:tc>
        <w:tc>
          <w:tcPr>
            <w:tcW w:w="30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24.0%</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PDL / Total loans</w:t>
            </w: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0.00</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0.00</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0.00</w:t>
            </w:r>
          </w:p>
        </w:tc>
        <w:tc>
          <w:tcPr>
            <w:tcW w:w="78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5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0.00</w:t>
            </w:r>
          </w:p>
        </w:tc>
        <w:tc>
          <w:tcPr>
            <w:tcW w:w="300" w:type="dxa"/>
            <w:vAlign w:val="bottom"/>
            <w:shd w:val="clear" w:color="auto" w:fill="CCFFCC"/>
          </w:tcPr>
          <w:p>
            <w:pPr>
              <w:spacing w:after="0"/>
              <w:rPr>
                <w:sz w:val="14"/>
                <w:szCs w:val="14"/>
                <w:color w:val="auto"/>
              </w:rPr>
            </w:pPr>
          </w:p>
        </w:tc>
        <w:tc>
          <w:tcPr>
            <w:tcW w:w="7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0.00</w:t>
            </w:r>
          </w:p>
        </w:tc>
        <w:tc>
          <w:tcPr>
            <w:tcW w:w="96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spacing w:after="0"/>
              <w:rPr>
                <w:sz w:val="20"/>
                <w:szCs w:val="20"/>
                <w:color w:val="auto"/>
              </w:rPr>
            </w:pPr>
            <w:r>
              <w:rPr>
                <w:rFonts w:ascii="Arial" w:cs="Arial" w:eastAsia="Arial" w:hAnsi="Arial"/>
                <w:sz w:val="14"/>
                <w:szCs w:val="14"/>
                <w:color w:val="auto"/>
              </w:rPr>
              <w:t>Coverage ratio</w:t>
            </w: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80" w:type="dxa"/>
            <w:vAlign w:val="bottom"/>
            <w:gridSpan w:val="2"/>
            <w:vMerge w:val="continue"/>
          </w:tcPr>
          <w:p>
            <w:pPr>
              <w:spacing w:after="0"/>
              <w:rPr>
                <w:sz w:val="12"/>
                <w:szCs w:val="12"/>
                <w:color w:val="auto"/>
              </w:rPr>
            </w:pPr>
          </w:p>
        </w:tc>
        <w:tc>
          <w:tcPr>
            <w:tcW w:w="10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0.1%</w:t>
            </w:r>
          </w:p>
        </w:tc>
        <w:tc>
          <w:tcPr>
            <w:tcW w:w="10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0.1%</w:t>
            </w:r>
          </w:p>
        </w:tc>
        <w:tc>
          <w:tcPr>
            <w:tcW w:w="10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0.1%</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0.1%</w:t>
            </w:r>
          </w:p>
        </w:tc>
        <w:tc>
          <w:tcPr>
            <w:tcW w:w="300" w:type="dxa"/>
            <w:vAlign w:val="bottom"/>
          </w:tcPr>
          <w:p>
            <w:pPr>
              <w:spacing w:after="0"/>
              <w:rPr>
                <w:sz w:val="12"/>
                <w:szCs w:val="12"/>
                <w:color w:val="auto"/>
              </w:rPr>
            </w:pPr>
          </w:p>
        </w:tc>
        <w:tc>
          <w:tcPr>
            <w:tcW w:w="7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0.1%</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180" w:type="dxa"/>
            <w:vAlign w:val="bottom"/>
            <w:gridSpan w:val="2"/>
            <w:shd w:val="clear" w:color="auto" w:fill="CCFFCC"/>
          </w:tcPr>
          <w:p>
            <w:pPr>
              <w:spacing w:after="0" w:line="202" w:lineRule="exact"/>
              <w:rPr>
                <w:sz w:val="20"/>
                <w:szCs w:val="20"/>
                <w:color w:val="auto"/>
              </w:rPr>
            </w:pPr>
            <w:r>
              <w:rPr>
                <w:rFonts w:ascii="Arial" w:cs="Arial" w:eastAsia="Arial" w:hAnsi="Arial"/>
                <w:sz w:val="14"/>
                <w:szCs w:val="14"/>
                <w:color w:val="auto"/>
              </w:rPr>
              <w:t xml:space="preserve">BIS Ratio </w:t>
            </w:r>
            <w:r>
              <w:rPr>
                <w:rFonts w:ascii="Arial" w:cs="Arial" w:eastAsia="Arial" w:hAnsi="Arial"/>
                <w:sz w:val="23"/>
                <w:szCs w:val="23"/>
                <w:color w:val="auto"/>
                <w:vertAlign w:val="superscript"/>
              </w:rPr>
              <w:t>(*)</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16.26%</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12.30%</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15.58%</w:t>
            </w:r>
          </w:p>
        </w:tc>
        <w:tc>
          <w:tcPr>
            <w:tcW w:w="78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5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16.26%</w:t>
            </w:r>
          </w:p>
        </w:tc>
        <w:tc>
          <w:tcPr>
            <w:tcW w:w="300" w:type="dxa"/>
            <w:vAlign w:val="bottom"/>
            <w:shd w:val="clear" w:color="auto" w:fill="CCFFCC"/>
          </w:tcPr>
          <w:p>
            <w:pPr>
              <w:spacing w:after="0"/>
              <w:rPr>
                <w:sz w:val="17"/>
                <w:szCs w:val="17"/>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15.58%</w:t>
            </w:r>
          </w:p>
        </w:tc>
        <w:tc>
          <w:tcPr>
            <w:tcW w:w="9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60" w:hanging="252"/>
        <w:spacing w:after="0" w:line="185" w:lineRule="auto"/>
        <w:tabs>
          <w:tab w:leader="none" w:pos="260" w:val="left"/>
        </w:tabs>
        <w:numPr>
          <w:ilvl w:val="0"/>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Basel II Bis Ratio = (Regulatory Capital - deductions) / (RWA </w:t>
      </w:r>
      <w:r>
        <w:rPr>
          <w:rFonts w:ascii="Arial" w:cs="Arial" w:eastAsia="Arial" w:hAnsi="Arial"/>
          <w:sz w:val="26"/>
          <w:szCs w:val="26"/>
          <w:i w:val="1"/>
          <w:iCs w:val="1"/>
          <w:color w:val="auto"/>
          <w:vertAlign w:val="subscript"/>
        </w:rPr>
        <w:t>Credit risk</w:t>
      </w:r>
      <w:r>
        <w:rPr>
          <w:rFonts w:ascii="Arial" w:cs="Arial" w:eastAsia="Arial" w:hAnsi="Arial"/>
          <w:sz w:val="16"/>
          <w:szCs w:val="16"/>
          <w:i w:val="1"/>
          <w:iCs w:val="1"/>
          <w:color w:val="auto"/>
        </w:rPr>
        <w:t xml:space="preserve"> + Charge Operational risk + Charge Market risk).</w:t>
      </w:r>
    </w:p>
    <w:p>
      <w:pPr>
        <w:spacing w:after="0"/>
        <w:rPr>
          <w:rFonts w:ascii="Arial" w:cs="Arial" w:eastAsia="Arial" w:hAnsi="Arial"/>
          <w:sz w:val="16"/>
          <w:szCs w:val="16"/>
          <w:i w:val="1"/>
          <w:iCs w:val="1"/>
          <w:color w:val="auto"/>
        </w:rPr>
      </w:pPr>
      <w:r>
        <w:rPr>
          <w:rFonts w:ascii="Arial" w:cs="Arial" w:eastAsia="Arial" w:hAnsi="Arial"/>
          <w:sz w:val="18"/>
          <w:szCs w:val="18"/>
          <w:i w:val="1"/>
          <w:iCs w:val="1"/>
          <w:color w:val="auto"/>
        </w:rPr>
        <w:t>(1) Ratios are annualized.</w:t>
      </w:r>
    </w:p>
    <w:p>
      <w:pPr>
        <w:spacing w:after="0" w:line="7" w:lineRule="exact"/>
        <w:rPr>
          <w:rFonts w:ascii="Arial" w:cs="Arial" w:eastAsia="Arial" w:hAnsi="Arial"/>
          <w:sz w:val="16"/>
          <w:szCs w:val="16"/>
          <w:i w:val="1"/>
          <w:iCs w:val="1"/>
          <w:color w:val="auto"/>
        </w:rPr>
      </w:pPr>
    </w:p>
    <w:p>
      <w:pPr>
        <w:spacing w:after="0"/>
        <w:rPr>
          <w:rFonts w:ascii="Arial" w:cs="Arial" w:eastAsia="Arial" w:hAnsi="Arial"/>
          <w:sz w:val="16"/>
          <w:szCs w:val="16"/>
          <w:i w:val="1"/>
          <w:iCs w:val="1"/>
          <w:color w:val="auto"/>
        </w:rPr>
      </w:pPr>
      <w:r>
        <w:rPr>
          <w:rFonts w:ascii="Arial" w:cs="Arial" w:eastAsia="Arial" w:hAnsi="Arial"/>
          <w:sz w:val="18"/>
          <w:szCs w:val="18"/>
          <w:i w:val="1"/>
          <w:iCs w:val="1"/>
          <w:color w:val="auto"/>
        </w:rPr>
        <w:t>(2) Averages are determined as the average of period-beginning and period-ending balances.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ASB reported an efficiency ratio of 15.5% in 2Q13, which represented an increase of 350 bps with regard to the previous quarter. In YoY terms, the efficiency ratio posted an improvement of 130 bps.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Interest earning assets totaled US$ 1,556 million, as indicated in the table below. The QoQ comparison indicates a decline of 8.6%, primarily in loans (-13.2% QoQ), due to the maturity of short-term loans, and investments (-5.5% QoQ), and a decline in the market value of investments. Total volumes remained stable with regard to 2Q12 and posted only marginal growth. The markets overreacted to the FED’s announcements of a possible reduction in economic stimuli in the US economy, which led the market value of investments to decline and strengthened the US dollar over the last few months. The increase posted in Cash and Banks (16.8% QoQ) is attributable to the net effect of the flow of assets and liabilities transactions during the quarter. It is important to note that ASB has maintained a good risk profile, which is reflected in the fact that our portfolio is delinquency-free.</w:t>
      </w:r>
    </w:p>
    <w:p>
      <w:pPr>
        <w:spacing w:after="0" w:line="395"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3" w:name="page34"/>
    <w:bookmarkEnd w:id="33"/>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Quarter</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3"/>
          </w:tcPr>
          <w:p>
            <w:pPr>
              <w:ind w:left="640"/>
              <w:spacing w:after="0"/>
              <w:rPr>
                <w:sz w:val="20"/>
                <w:szCs w:val="20"/>
                <w:color w:val="auto"/>
              </w:rPr>
            </w:pPr>
            <w:r>
              <w:rPr>
                <w:rFonts w:ascii="Arial" w:cs="Arial" w:eastAsia="Arial" w:hAnsi="Arial"/>
                <w:sz w:val="18"/>
                <w:szCs w:val="18"/>
                <w:b w:val="1"/>
                <w:bCs w:val="1"/>
                <w:color w:val="auto"/>
                <w:w w:val="94"/>
              </w:rPr>
              <w:t>Change %</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million</w:t>
            </w:r>
          </w:p>
        </w:tc>
        <w:tc>
          <w:tcPr>
            <w:tcW w:w="80" w:type="dxa"/>
            <w:vAlign w:val="bottom"/>
            <w:tcBorders>
              <w:bottom w:val="single" w:sz="8" w:color="CCFFCC"/>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2Q13</w:t>
            </w:r>
          </w:p>
        </w:tc>
        <w:tc>
          <w:tcPr>
            <w:tcW w:w="180" w:type="dxa"/>
            <w:vAlign w:val="bottom"/>
            <w:tcBorders>
              <w:bottom w:val="single" w:sz="8" w:color="CCFFCC"/>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1Q13</w:t>
            </w:r>
          </w:p>
        </w:tc>
        <w:tc>
          <w:tcPr>
            <w:tcW w:w="200" w:type="dxa"/>
            <w:vAlign w:val="bottom"/>
            <w:tcBorders>
              <w:bottom w:val="single" w:sz="8" w:color="CCFFCC"/>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2Q12</w:t>
            </w:r>
          </w:p>
        </w:tc>
        <w:tc>
          <w:tcPr>
            <w:tcW w:w="180" w:type="dxa"/>
            <w:vAlign w:val="bottom"/>
            <w:tcBorders>
              <w:bottom w:val="single" w:sz="8" w:color="CCFFCC"/>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1"/>
              </w:rPr>
              <w:t>YoY</w:t>
            </w:r>
          </w:p>
        </w:tc>
        <w:tc>
          <w:tcPr>
            <w:tcW w:w="200" w:type="dxa"/>
            <w:vAlign w:val="bottom"/>
            <w:tcBorders>
              <w:bottom w:val="single" w:sz="8" w:color="CCFFCC"/>
            </w:tcBorders>
          </w:tcPr>
          <w:p>
            <w:pPr>
              <w:spacing w:after="0"/>
              <w:rPr>
                <w:sz w:val="20"/>
                <w:szCs w:val="20"/>
                <w:color w:val="auto"/>
              </w:rPr>
            </w:pPr>
          </w:p>
        </w:tc>
      </w:tr>
      <w:tr>
        <w:trPr>
          <w:trHeight w:val="210"/>
        </w:trPr>
        <w:tc>
          <w:tcPr>
            <w:tcW w:w="4620" w:type="dxa"/>
            <w:vAlign w:val="bottom"/>
            <w:shd w:val="clear" w:color="auto" w:fill="CCFFCC"/>
          </w:tcPr>
          <w:p>
            <w:pPr>
              <w:spacing w:after="0"/>
              <w:rPr>
                <w:sz w:val="20"/>
                <w:szCs w:val="20"/>
                <w:color w:val="auto"/>
              </w:rPr>
            </w:pPr>
            <w:r>
              <w:rPr>
                <w:rFonts w:ascii="Arial" w:cs="Arial" w:eastAsia="Arial" w:hAnsi="Arial"/>
                <w:sz w:val="18"/>
                <w:szCs w:val="18"/>
                <w:color w:val="auto"/>
              </w:rPr>
              <w:t>Cash and deposits</w:t>
            </w:r>
          </w:p>
        </w:tc>
        <w:tc>
          <w:tcPr>
            <w:tcW w:w="8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16.8%</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Loans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748</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861</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716</w:t>
            </w: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-13.2%</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4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Investments</w:t>
            </w:r>
          </w:p>
        </w:tc>
        <w:tc>
          <w:tcPr>
            <w:tcW w:w="11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739</w:t>
            </w: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783</w:t>
            </w:r>
          </w:p>
        </w:tc>
        <w:tc>
          <w:tcPr>
            <w:tcW w:w="10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769</w:t>
            </w:r>
          </w:p>
        </w:tc>
        <w:tc>
          <w:tcPr>
            <w:tcW w:w="12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FFCC"/>
          </w:tcPr>
          <w:p>
            <w:pPr>
              <w:spacing w:after="0"/>
              <w:rPr>
                <w:sz w:val="19"/>
                <w:szCs w:val="19"/>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-3.8%</w:t>
            </w:r>
          </w:p>
        </w:tc>
      </w:tr>
      <w:tr>
        <w:trPr>
          <w:trHeight w:val="225"/>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Total interest-earning assets</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1,556</w:t>
            </w:r>
          </w:p>
        </w:tc>
        <w:tc>
          <w:tcPr>
            <w:tcW w:w="18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1,703</w:t>
            </w:r>
          </w:p>
        </w:tc>
        <w:tc>
          <w:tcPr>
            <w:tcW w:w="2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1,547</w:t>
            </w:r>
          </w:p>
        </w:tc>
        <w:tc>
          <w:tcPr>
            <w:tcW w:w="18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-8.6</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0.6</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-8890</wp:posOffset>
            </wp:positionV>
            <wp:extent cx="34131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 Excludes investments in equities and mutual funds.</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regard to the investment portfolio, it is important to note that a significant portion of ASB’s instruments continue to be investment grade (68%), which reflects the bank’s prudent and sustained policy to concentrate portfolio investment in instruments with a good risk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117475</wp:posOffset>
            </wp:positionV>
            <wp:extent cx="5977255" cy="23755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77255"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ASB exercises strict control over and follow-up on diversification strategies and the limits set for investment types. This helps maintain a healthy balance in its proprietary portfolio, ensure the quality of its investments and guarantee return levels that contribute to the financial margin which has a subsequently positive impact on shareholders’ returns.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Client deposits reflect a decline of 0.9% QoQ and 7.3% YoY. The decline in deposits was attributable to client investment decisions and the market conditions present throughout the quarter. Other liabilities, which are primarily composed of financing obligations, posted a 48.2% QoQ decline; this drop is in line with a reduction in assets. To maintain its asset level, the Bank has taken short-term financing for working capital. This decision explains, to a large extent, the balance posted for other liabilities (+660.7% YoY).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Quarter</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3"/>
          </w:tcPr>
          <w:p>
            <w:pPr>
              <w:ind w:left="640"/>
              <w:spacing w:after="0"/>
              <w:rPr>
                <w:sz w:val="20"/>
                <w:szCs w:val="20"/>
                <w:color w:val="auto"/>
              </w:rPr>
            </w:pPr>
            <w:r>
              <w:rPr>
                <w:rFonts w:ascii="Arial" w:cs="Arial" w:eastAsia="Arial" w:hAnsi="Arial"/>
                <w:sz w:val="18"/>
                <w:szCs w:val="18"/>
                <w:b w:val="1"/>
                <w:bCs w:val="1"/>
                <w:color w:val="auto"/>
                <w:w w:val="94"/>
              </w:rPr>
              <w:t>Change %</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million</w:t>
            </w:r>
          </w:p>
        </w:tc>
        <w:tc>
          <w:tcPr>
            <w:tcW w:w="80" w:type="dxa"/>
            <w:vAlign w:val="bottom"/>
            <w:tcBorders>
              <w:bottom w:val="single" w:sz="8" w:color="CCFFCC"/>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2Q13</w:t>
            </w:r>
          </w:p>
        </w:tc>
        <w:tc>
          <w:tcPr>
            <w:tcW w:w="180" w:type="dxa"/>
            <w:vAlign w:val="bottom"/>
            <w:tcBorders>
              <w:bottom w:val="single" w:sz="8" w:color="CCFFCC"/>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1Q13</w:t>
            </w:r>
          </w:p>
        </w:tc>
        <w:tc>
          <w:tcPr>
            <w:tcW w:w="200" w:type="dxa"/>
            <w:vAlign w:val="bottom"/>
            <w:tcBorders>
              <w:bottom w:val="single" w:sz="8" w:color="CCFFCC"/>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2Q12</w:t>
            </w:r>
          </w:p>
        </w:tc>
        <w:tc>
          <w:tcPr>
            <w:tcW w:w="180" w:type="dxa"/>
            <w:vAlign w:val="bottom"/>
            <w:tcBorders>
              <w:bottom w:val="single" w:sz="8" w:color="CCFFCC"/>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1"/>
              </w:rPr>
              <w:t>YoY</w:t>
            </w:r>
          </w:p>
        </w:tc>
        <w:tc>
          <w:tcPr>
            <w:tcW w:w="200" w:type="dxa"/>
            <w:vAlign w:val="bottom"/>
            <w:tcBorders>
              <w:bottom w:val="single" w:sz="8" w:color="CCFFCC"/>
            </w:tcBorders>
          </w:tcPr>
          <w:p>
            <w:pPr>
              <w:spacing w:after="0"/>
              <w:rPr>
                <w:sz w:val="20"/>
                <w:szCs w:val="20"/>
                <w:color w:val="auto"/>
              </w:rPr>
            </w:pPr>
          </w:p>
        </w:tc>
      </w:tr>
      <w:tr>
        <w:trPr>
          <w:trHeight w:val="210"/>
        </w:trPr>
        <w:tc>
          <w:tcPr>
            <w:tcW w:w="4620" w:type="dxa"/>
            <w:vAlign w:val="bottom"/>
            <w:shd w:val="clear" w:color="auto" w:fill="CCFFCC"/>
          </w:tcPr>
          <w:p>
            <w:pPr>
              <w:spacing w:after="0"/>
              <w:rPr>
                <w:sz w:val="20"/>
                <w:szCs w:val="20"/>
                <w:color w:val="auto"/>
              </w:rPr>
            </w:pPr>
            <w:r>
              <w:rPr>
                <w:rFonts w:ascii="Arial" w:cs="Arial" w:eastAsia="Arial" w:hAnsi="Arial"/>
                <w:sz w:val="18"/>
                <w:szCs w:val="18"/>
                <w:color w:val="auto"/>
              </w:rPr>
              <w:t>Deposits</w:t>
            </w:r>
          </w:p>
        </w:tc>
        <w:tc>
          <w:tcPr>
            <w:tcW w:w="8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1,322</w:t>
            </w:r>
          </w:p>
        </w:tc>
        <w:tc>
          <w:tcPr>
            <w:tcW w:w="18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1,334</w:t>
            </w:r>
          </w:p>
        </w:tc>
        <w:tc>
          <w:tcPr>
            <w:tcW w:w="20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1,425</w:t>
            </w:r>
          </w:p>
        </w:tc>
        <w:tc>
          <w:tcPr>
            <w:tcW w:w="1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-0.9%</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140</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271</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-48.2%</w:t>
            </w:r>
          </w:p>
        </w:tc>
        <w:tc>
          <w:tcPr>
            <w:tcW w:w="2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660.7%</w:t>
            </w:r>
          </w:p>
        </w:tc>
      </w:tr>
      <w:tr>
        <w:trPr>
          <w:trHeight w:val="210"/>
        </w:trPr>
        <w:tc>
          <w:tcPr>
            <w:tcW w:w="470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Liabilities</w:t>
            </w: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1,462</w:t>
            </w:r>
          </w:p>
        </w:tc>
        <w:tc>
          <w:tcPr>
            <w:tcW w:w="18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1,605</w:t>
            </w:r>
          </w:p>
        </w:tc>
        <w:tc>
          <w:tcPr>
            <w:tcW w:w="20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1,444</w:t>
            </w:r>
          </w:p>
        </w:tc>
        <w:tc>
          <w:tcPr>
            <w:tcW w:w="180" w:type="dxa"/>
            <w:vAlign w:val="bottom"/>
            <w:tcBorders>
              <w:top w:val="single" w:sz="8" w:color="CCFFCC"/>
            </w:tcBorders>
            <w:shd w:val="clear" w:color="auto" w:fill="CCFFCC"/>
          </w:tcPr>
          <w:p>
            <w:pPr>
              <w:spacing w:after="0"/>
              <w:rPr>
                <w:sz w:val="18"/>
                <w:szCs w:val="18"/>
                <w:color w:val="auto"/>
              </w:rPr>
            </w:pP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-8.9</w:t>
            </w:r>
          </w:p>
        </w:tc>
        <w:tc>
          <w:tcPr>
            <w:tcW w:w="280" w:type="dxa"/>
            <w:vAlign w:val="bottom"/>
            <w:tcBorders>
              <w:top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6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1.3</w:t>
            </w:r>
          </w:p>
        </w:tc>
        <w:tc>
          <w:tcPr>
            <w:tcW w:w="2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shareholders’ equity fell 5.7% QoQ. This was due primarily to the decline reported in the market value of investments, which was in turn reflected in the unrealized earnings account (-US$23.8 million) and in the quarter’s net earnings (-13.4% QoQ). All of these results were attributable to adverse market effects, which the Bank has mitigated by implementing strategies throughout the quarter to ensure sustainable returns for shareholders.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BIS ratio at the end of 2Q13 was situated at 16.26%, which tops the 12.30% reported in 1Q13. This was due to a decline in risk-weighted assets (drop in loans and investments) and an increase in the regulatory equity due to higher earnings this quarter. It is important to note that the Bank’s minimum requirement remains at 12%.</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4" w:name="page35"/>
    <w:bookmarkEnd w:id="34"/>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Funds under Management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Funds under management, which includes client deposits, investments in funds and financial instruments under custody, totaled US$5,027 million (market value) at the end of 2Q13. This represents a 9.7% decline with regard to 1Q13 but indicates a 1.4% increase YoY. The QoQ result was attributable to adverse market effects given that the investment stock posted net growth of+1.7% QoQ and +13.6% YoY, which indicates that our clients trust our asset management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127635</wp:posOffset>
            </wp:positionV>
            <wp:extent cx="3395980" cy="26327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95980" cy="263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5" w:name="page36"/>
    <w:bookmarkEnd w:id="35"/>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VII. Pacifico Grupo Asegurador (PGA)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PGA</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Quarter</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ind w:left="580"/>
              <w:spacing w:after="0"/>
              <w:rPr>
                <w:sz w:val="20"/>
                <w:szCs w:val="20"/>
                <w:color w:val="auto"/>
              </w:rPr>
            </w:pPr>
            <w:r>
              <w:rPr>
                <w:rFonts w:ascii="Arial" w:cs="Arial" w:eastAsia="Arial" w:hAnsi="Arial"/>
                <w:sz w:val="14"/>
                <w:szCs w:val="14"/>
                <w:b w:val="1"/>
                <w:bCs w:val="1"/>
                <w:color w:val="auto"/>
                <w:w w:val="97"/>
              </w:rPr>
              <w:t>Change %</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Year to date</w:t>
            </w:r>
          </w:p>
        </w:tc>
        <w:tc>
          <w:tcPr>
            <w:tcW w:w="110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71"/>
        </w:trPr>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US$ 000</w:t>
            </w:r>
          </w:p>
        </w:tc>
        <w:tc>
          <w:tcPr>
            <w:tcW w:w="10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2Q13</w:t>
            </w:r>
          </w:p>
        </w:tc>
        <w:tc>
          <w:tcPr>
            <w:tcW w:w="22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1Q13</w:t>
            </w:r>
          </w:p>
        </w:tc>
        <w:tc>
          <w:tcPr>
            <w:tcW w:w="24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2Q12</w:t>
            </w:r>
          </w:p>
        </w:tc>
        <w:tc>
          <w:tcPr>
            <w:tcW w:w="22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FFC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Jun 13</w:t>
            </w:r>
          </w:p>
        </w:tc>
        <w:tc>
          <w:tcPr>
            <w:tcW w:w="24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Jun 12</w:t>
            </w:r>
          </w:p>
        </w:tc>
        <w:tc>
          <w:tcPr>
            <w:tcW w:w="220" w:type="dxa"/>
            <w:vAlign w:val="bottom"/>
            <w:tcBorders>
              <w:bottom w:val="single" w:sz="8" w:color="CCFFCC"/>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Jun 13 / Jun 12</w:t>
            </w:r>
          </w:p>
        </w:tc>
        <w:tc>
          <w:tcPr>
            <w:tcW w:w="140" w:type="dxa"/>
            <w:vAlign w:val="bottom"/>
            <w:tcBorders>
              <w:bottom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Net earned premiums</w:t>
            </w:r>
          </w:p>
        </w:tc>
        <w:tc>
          <w:tcPr>
            <w:tcW w:w="10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204,167</w:t>
            </w: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199,962</w:t>
            </w:r>
          </w:p>
        </w:tc>
        <w:tc>
          <w:tcPr>
            <w:tcW w:w="24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174,024</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2.1%</w:t>
            </w:r>
          </w:p>
        </w:tc>
        <w:tc>
          <w:tcPr>
            <w:tcW w:w="2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17.3%</w:t>
            </w: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404,129</w:t>
            </w:r>
          </w:p>
        </w:tc>
        <w:tc>
          <w:tcPr>
            <w:tcW w:w="24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343,092</w:t>
            </w:r>
          </w:p>
        </w:tc>
        <w:tc>
          <w:tcPr>
            <w:tcW w:w="22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Net claims</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138,522</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131,691</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107,912</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5.2%</w:t>
            </w:r>
          </w:p>
        </w:tc>
        <w:tc>
          <w:tcPr>
            <w:tcW w:w="22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28.4%</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270,214</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236,773</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Net commissions</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34,113</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33,449</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28,812</w:t>
            </w:r>
          </w:p>
        </w:tc>
        <w:tc>
          <w:tcPr>
            <w:tcW w:w="10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2.0%</w:t>
            </w:r>
          </w:p>
        </w:tc>
        <w:tc>
          <w:tcPr>
            <w:tcW w:w="2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18.4%</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67,562</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57,529</w:t>
            </w:r>
          </w:p>
        </w:tc>
        <w:tc>
          <w:tcPr>
            <w:tcW w:w="11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62"/>
        </w:trPr>
        <w:tc>
          <w:tcPr>
            <w:tcW w:w="3200" w:type="dxa"/>
            <w:vAlign w:val="bottom"/>
            <w:gridSpan w:val="2"/>
          </w:tcPr>
          <w:p>
            <w:pPr>
              <w:spacing w:after="0"/>
              <w:rPr>
                <w:sz w:val="20"/>
                <w:szCs w:val="20"/>
                <w:color w:val="auto"/>
              </w:rPr>
            </w:pPr>
            <w:r>
              <w:rPr>
                <w:rFonts w:ascii="Arial" w:cs="Arial" w:eastAsia="Arial" w:hAnsi="Arial"/>
                <w:sz w:val="14"/>
                <w:szCs w:val="14"/>
                <w:color w:val="auto"/>
              </w:rPr>
              <w:t>Net underwriting expenses</w:t>
            </w:r>
          </w:p>
        </w:tc>
        <w:tc>
          <w:tcPr>
            <w:tcW w:w="800" w:type="dxa"/>
            <w:vAlign w:val="bottom"/>
          </w:tcPr>
          <w:p>
            <w:pPr>
              <w:jc w:val="right"/>
              <w:spacing w:after="0"/>
              <w:rPr>
                <w:sz w:val="20"/>
                <w:szCs w:val="20"/>
                <w:color w:val="auto"/>
              </w:rPr>
            </w:pPr>
            <w:r>
              <w:rPr>
                <w:rFonts w:ascii="Arial" w:cs="Arial" w:eastAsia="Arial" w:hAnsi="Arial"/>
                <w:sz w:val="14"/>
                <w:szCs w:val="14"/>
                <w:color w:val="auto"/>
              </w:rPr>
              <w:t>10,323</w:t>
            </w:r>
          </w:p>
        </w:tc>
        <w:tc>
          <w:tcPr>
            <w:tcW w:w="22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10,276</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8,853</w:t>
            </w:r>
          </w:p>
        </w:tc>
        <w:tc>
          <w:tcPr>
            <w:tcW w:w="1040" w:type="dxa"/>
            <w:vAlign w:val="bottom"/>
            <w:gridSpan w:val="2"/>
          </w:tcPr>
          <w:p>
            <w:pPr>
              <w:jc w:val="right"/>
              <w:ind w:right="68"/>
              <w:spacing w:after="0"/>
              <w:rPr>
                <w:sz w:val="20"/>
                <w:szCs w:val="20"/>
                <w:color w:val="auto"/>
              </w:rPr>
            </w:pPr>
            <w:r>
              <w:rPr>
                <w:rFonts w:ascii="Arial" w:cs="Arial" w:eastAsia="Arial" w:hAnsi="Arial"/>
                <w:sz w:val="14"/>
                <w:szCs w:val="14"/>
                <w:color w:val="auto"/>
              </w:rPr>
              <w:t>0.5%</w:t>
            </w:r>
          </w:p>
        </w:tc>
        <w:tc>
          <w:tcPr>
            <w:tcW w:w="220" w:type="dxa"/>
            <w:vAlign w:val="bottom"/>
          </w:tcPr>
          <w:p>
            <w:pPr>
              <w:spacing w:after="0"/>
              <w:rPr>
                <w:sz w:val="14"/>
                <w:szCs w:val="14"/>
                <w:color w:val="auto"/>
              </w:rPr>
            </w:pPr>
          </w:p>
        </w:tc>
        <w:tc>
          <w:tcPr>
            <w:tcW w:w="800" w:type="dxa"/>
            <w:vAlign w:val="bottom"/>
            <w:gridSpan w:val="2"/>
          </w:tcPr>
          <w:p>
            <w:pPr>
              <w:jc w:val="right"/>
              <w:ind w:right="68"/>
              <w:spacing w:after="0"/>
              <w:rPr>
                <w:sz w:val="20"/>
                <w:szCs w:val="20"/>
                <w:color w:val="auto"/>
              </w:rPr>
            </w:pPr>
            <w:r>
              <w:rPr>
                <w:rFonts w:ascii="Arial" w:cs="Arial" w:eastAsia="Arial" w:hAnsi="Arial"/>
                <w:sz w:val="14"/>
                <w:szCs w:val="14"/>
                <w:color w:val="auto"/>
              </w:rPr>
              <w:t>16.6%</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20,599</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15,267</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20"/>
        </w:trPr>
        <w:tc>
          <w:tcPr>
            <w:tcW w:w="3200" w:type="dxa"/>
            <w:vAlign w:val="bottom"/>
            <w:gridSpan w:val="2"/>
            <w:vMerge w:val="restart"/>
            <w:shd w:val="clear" w:color="auto" w:fill="CCFFCC"/>
          </w:tcPr>
          <w:p>
            <w:pPr>
              <w:spacing w:after="0"/>
              <w:rPr>
                <w:sz w:val="20"/>
                <w:szCs w:val="20"/>
                <w:color w:val="auto"/>
              </w:rPr>
            </w:pPr>
            <w:r>
              <w:rPr>
                <w:rFonts w:ascii="Arial" w:cs="Arial" w:eastAsia="Arial" w:hAnsi="Arial"/>
                <w:sz w:val="14"/>
                <w:szCs w:val="14"/>
                <w:b w:val="1"/>
                <w:bCs w:val="1"/>
                <w:color w:val="auto"/>
              </w:rPr>
              <w:t>Underwriting result</w:t>
            </w: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00" w:type="dxa"/>
            <w:vAlign w:val="bottom"/>
            <w:gridSpan w:val="2"/>
            <w:vMerge w:val="continue"/>
            <w:shd w:val="clear" w:color="auto" w:fill="CCFFCC"/>
          </w:tcPr>
          <w:p>
            <w:pPr>
              <w:spacing w:after="0"/>
              <w:rPr>
                <w:sz w:val="12"/>
                <w:szCs w:val="12"/>
                <w:color w:val="auto"/>
              </w:rPr>
            </w:pP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21,208</w:t>
            </w:r>
          </w:p>
        </w:tc>
        <w:tc>
          <w:tcPr>
            <w:tcW w:w="220" w:type="dxa"/>
            <w:vAlign w:val="bottom"/>
            <w:vMerge w:val="continue"/>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24,546</w:t>
            </w:r>
          </w:p>
        </w:tc>
        <w:tc>
          <w:tcPr>
            <w:tcW w:w="240" w:type="dxa"/>
            <w:vAlign w:val="bottom"/>
            <w:vMerge w:val="continue"/>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28,446</w:t>
            </w:r>
          </w:p>
        </w:tc>
        <w:tc>
          <w:tcPr>
            <w:tcW w:w="220" w:type="dxa"/>
            <w:vAlign w:val="bottom"/>
            <w:vMerge w:val="continue"/>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rPr>
              <w:t>-13.6%</w:t>
            </w:r>
          </w:p>
        </w:tc>
        <w:tc>
          <w:tcPr>
            <w:tcW w:w="2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rPr>
              <w:t>-25.4%</w:t>
            </w: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45,754</w:t>
            </w:r>
          </w:p>
        </w:tc>
        <w:tc>
          <w:tcPr>
            <w:tcW w:w="240" w:type="dxa"/>
            <w:vAlign w:val="bottom"/>
            <w:vMerge w:val="continue"/>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33,524</w:t>
            </w:r>
          </w:p>
        </w:tc>
        <w:tc>
          <w:tcPr>
            <w:tcW w:w="220" w:type="dxa"/>
            <w:vAlign w:val="bottom"/>
            <w:vMerge w:val="continue"/>
            <w:shd w:val="clear" w:color="auto" w:fill="CCFFCC"/>
          </w:tcPr>
          <w:p>
            <w:pPr>
              <w:spacing w:after="0"/>
              <w:rPr>
                <w:sz w:val="12"/>
                <w:szCs w:val="12"/>
                <w:color w:val="auto"/>
              </w:rPr>
            </w:pPr>
          </w:p>
        </w:tc>
        <w:tc>
          <w:tcPr>
            <w:tcW w:w="110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36.5%</w:t>
            </w: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Medical Services Underwriting result (1)</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6,466</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5,534</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5,727</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16.8%</w:t>
            </w:r>
          </w:p>
        </w:tc>
        <w:tc>
          <w:tcPr>
            <w:tcW w:w="220" w:type="dxa"/>
            <w:vAlign w:val="bottom"/>
          </w:tcPr>
          <w:p>
            <w:pPr>
              <w:spacing w:after="0"/>
              <w:rPr>
                <w:sz w:val="12"/>
                <w:szCs w:val="12"/>
                <w:color w:val="auto"/>
              </w:rPr>
            </w:pP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12.9%</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12,000</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10,033</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19.6%</w:t>
            </w:r>
          </w:p>
        </w:tc>
        <w:tc>
          <w:tcPr>
            <w:tcW w:w="0" w:type="dxa"/>
            <w:vAlign w:val="bottom"/>
          </w:tcPr>
          <w:p>
            <w:pPr>
              <w:spacing w:after="0"/>
              <w:rPr>
                <w:sz w:val="1"/>
                <w:szCs w:val="1"/>
                <w:color w:val="auto"/>
              </w:rPr>
            </w:pPr>
          </w:p>
        </w:tc>
      </w:tr>
      <w:tr>
        <w:trPr>
          <w:trHeight w:val="162"/>
        </w:trPr>
        <w:tc>
          <w:tcPr>
            <w:tcW w:w="3200" w:type="dxa"/>
            <w:vAlign w:val="bottom"/>
            <w:gridSpan w:val="2"/>
            <w:shd w:val="clear" w:color="auto" w:fill="CCFFCC"/>
          </w:tcPr>
          <w:p>
            <w:pPr>
              <w:spacing w:after="0"/>
              <w:rPr>
                <w:sz w:val="20"/>
                <w:szCs w:val="20"/>
                <w:color w:val="auto"/>
              </w:rPr>
            </w:pPr>
            <w:r>
              <w:rPr>
                <w:rFonts w:ascii="Arial" w:cs="Arial" w:eastAsia="Arial" w:hAnsi="Arial"/>
                <w:sz w:val="14"/>
                <w:szCs w:val="14"/>
                <w:b w:val="1"/>
                <w:bCs w:val="1"/>
                <w:color w:val="auto"/>
              </w:rPr>
              <w:t>Total Underwriting result (1)</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27,674</w:t>
            </w:r>
          </w:p>
        </w:tc>
        <w:tc>
          <w:tcPr>
            <w:tcW w:w="220" w:type="dxa"/>
            <w:vAlign w:val="bottom"/>
            <w:shd w:val="clear" w:color="auto" w:fill="CCFFCC"/>
          </w:tcPr>
          <w:p>
            <w:pPr>
              <w:spacing w:after="0"/>
              <w:rPr>
                <w:sz w:val="14"/>
                <w:szCs w:val="14"/>
                <w:color w:val="auto"/>
              </w:rPr>
            </w:pP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b w:val="1"/>
                <w:bCs w:val="1"/>
                <w:color w:val="auto"/>
              </w:rPr>
              <w:t>30,080</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34,173</w:t>
            </w:r>
          </w:p>
        </w:tc>
        <w:tc>
          <w:tcPr>
            <w:tcW w:w="104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b w:val="1"/>
                <w:bCs w:val="1"/>
                <w:color w:val="auto"/>
              </w:rPr>
              <w:t>-8.0%</w:t>
            </w:r>
          </w:p>
        </w:tc>
        <w:tc>
          <w:tcPr>
            <w:tcW w:w="22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b w:val="1"/>
                <w:bCs w:val="1"/>
                <w:color w:val="auto"/>
              </w:rPr>
              <w:t>-19.0%</w:t>
            </w: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b w:val="1"/>
                <w:bCs w:val="1"/>
                <w:color w:val="auto"/>
              </w:rPr>
              <w:t>57,754</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43,556</w:t>
            </w:r>
          </w:p>
        </w:tc>
        <w:tc>
          <w:tcPr>
            <w:tcW w:w="1100" w:type="dxa"/>
            <w:vAlign w:val="bottom"/>
            <w:gridSpan w:val="2"/>
            <w:shd w:val="clear" w:color="auto" w:fill="CCFFCC"/>
          </w:tcPr>
          <w:p>
            <w:pPr>
              <w:jc w:val="right"/>
              <w:spacing w:after="0"/>
              <w:rPr>
                <w:sz w:val="20"/>
                <w:szCs w:val="20"/>
                <w:color w:val="auto"/>
              </w:rPr>
            </w:pPr>
            <w:r>
              <w:rPr>
                <w:rFonts w:ascii="Arial" w:cs="Arial" w:eastAsia="Arial" w:hAnsi="Arial"/>
                <w:sz w:val="14"/>
                <w:szCs w:val="14"/>
                <w:b w:val="1"/>
                <w:bCs w:val="1"/>
                <w:color w:val="auto"/>
              </w:rPr>
              <w:t>32.6%</w:t>
            </w: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4"/>
                <w:szCs w:val="14"/>
                <w:color w:val="auto"/>
              </w:rPr>
              <w:t>Financial income, net</w:t>
            </w: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00" w:type="dxa"/>
            <w:vAlign w:val="bottom"/>
            <w:gridSpan w:val="2"/>
            <w:vMerge w:val="continue"/>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32,504</w:t>
            </w:r>
          </w:p>
        </w:tc>
        <w:tc>
          <w:tcPr>
            <w:tcW w:w="220" w:type="dxa"/>
            <w:vAlign w:val="bottom"/>
            <w:vMerge w:val="continue"/>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29,439</w:t>
            </w:r>
          </w:p>
        </w:tc>
        <w:tc>
          <w:tcPr>
            <w:tcW w:w="240" w:type="dxa"/>
            <w:vAlign w:val="bottom"/>
            <w:vMerge w:val="continue"/>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31,256</w:t>
            </w:r>
          </w:p>
        </w:tc>
        <w:tc>
          <w:tcPr>
            <w:tcW w:w="220" w:type="dxa"/>
            <w:vAlign w:val="bottom"/>
            <w:vMerge w:val="continue"/>
          </w:tcPr>
          <w:p>
            <w:pPr>
              <w:spacing w:after="0"/>
              <w:rPr>
                <w:sz w:val="12"/>
                <w:szCs w:val="12"/>
                <w:color w:val="auto"/>
              </w:rPr>
            </w:pPr>
          </w:p>
        </w:tc>
        <w:tc>
          <w:tcPr>
            <w:tcW w:w="1040" w:type="dxa"/>
            <w:vAlign w:val="bottom"/>
            <w:gridSpan w:val="2"/>
          </w:tcPr>
          <w:p>
            <w:pPr>
              <w:jc w:val="right"/>
              <w:ind w:right="68"/>
              <w:spacing w:after="0" w:line="142" w:lineRule="exact"/>
              <w:rPr>
                <w:sz w:val="20"/>
                <w:szCs w:val="20"/>
                <w:color w:val="auto"/>
              </w:rPr>
            </w:pPr>
            <w:r>
              <w:rPr>
                <w:rFonts w:ascii="Arial" w:cs="Arial" w:eastAsia="Arial" w:hAnsi="Arial"/>
                <w:sz w:val="14"/>
                <w:szCs w:val="14"/>
                <w:color w:val="auto"/>
              </w:rPr>
              <w:t>10.4%</w:t>
            </w:r>
          </w:p>
        </w:tc>
        <w:tc>
          <w:tcPr>
            <w:tcW w:w="220" w:type="dxa"/>
            <w:vAlign w:val="bottom"/>
          </w:tcPr>
          <w:p>
            <w:pPr>
              <w:spacing w:after="0"/>
              <w:rPr>
                <w:sz w:val="12"/>
                <w:szCs w:val="12"/>
                <w:color w:val="auto"/>
              </w:rPr>
            </w:pPr>
          </w:p>
        </w:tc>
        <w:tc>
          <w:tcPr>
            <w:tcW w:w="800" w:type="dxa"/>
            <w:vAlign w:val="bottom"/>
            <w:gridSpan w:val="2"/>
          </w:tcPr>
          <w:p>
            <w:pPr>
              <w:jc w:val="right"/>
              <w:ind w:right="68"/>
              <w:spacing w:after="0" w:line="142" w:lineRule="exact"/>
              <w:rPr>
                <w:sz w:val="20"/>
                <w:szCs w:val="20"/>
                <w:color w:val="auto"/>
              </w:rPr>
            </w:pPr>
            <w:r>
              <w:rPr>
                <w:rFonts w:ascii="Arial" w:cs="Arial" w:eastAsia="Arial" w:hAnsi="Arial"/>
                <w:sz w:val="14"/>
                <w:szCs w:val="14"/>
                <w:color w:val="auto"/>
              </w:rPr>
              <w:t>4.0%</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61,943</w:t>
            </w:r>
          </w:p>
        </w:tc>
        <w:tc>
          <w:tcPr>
            <w:tcW w:w="240" w:type="dxa"/>
            <w:vAlign w:val="bottom"/>
            <w:vMerge w:val="continue"/>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60,970</w:t>
            </w:r>
          </w:p>
        </w:tc>
        <w:tc>
          <w:tcPr>
            <w:tcW w:w="220" w:type="dxa"/>
            <w:vAlign w:val="bottom"/>
            <w:vMerge w:val="continue"/>
          </w:tcPr>
          <w:p>
            <w:pPr>
              <w:spacing w:after="0"/>
              <w:rPr>
                <w:sz w:val="12"/>
                <w:szCs w:val="12"/>
                <w:color w:val="auto"/>
              </w:rPr>
            </w:pPr>
          </w:p>
        </w:tc>
        <w:tc>
          <w:tcPr>
            <w:tcW w:w="11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Opertating expenses</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49,001</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47,507</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39,631</w:t>
            </w:r>
          </w:p>
        </w:tc>
        <w:tc>
          <w:tcPr>
            <w:tcW w:w="10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3.1%</w:t>
            </w:r>
          </w:p>
        </w:tc>
        <w:tc>
          <w:tcPr>
            <w:tcW w:w="2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23.6%</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96,508</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77,165</w:t>
            </w:r>
          </w:p>
        </w:tc>
        <w:tc>
          <w:tcPr>
            <w:tcW w:w="11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Traslations results</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-6,424</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-1,983</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-233</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224.0%</w:t>
            </w:r>
          </w:p>
        </w:tc>
        <w:tc>
          <w:tcPr>
            <w:tcW w:w="22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2654%</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-8,407</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1,534</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-648.2%</w:t>
            </w:r>
          </w:p>
        </w:tc>
        <w:tc>
          <w:tcPr>
            <w:tcW w:w="0" w:type="dxa"/>
            <w:vAlign w:val="bottom"/>
          </w:tcPr>
          <w:p>
            <w:pPr>
              <w:spacing w:after="0"/>
              <w:rPr>
                <w:sz w:val="1"/>
                <w:szCs w:val="1"/>
                <w:color w:val="auto"/>
              </w:rPr>
            </w:pPr>
          </w:p>
        </w:tc>
      </w:tr>
      <w:tr>
        <w:trPr>
          <w:trHeight w:val="162"/>
        </w:trPr>
        <w:tc>
          <w:tcPr>
            <w:tcW w:w="32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Income tax</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-1,214</w:t>
            </w: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-452</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2,647</w:t>
            </w:r>
          </w:p>
        </w:tc>
        <w:tc>
          <w:tcPr>
            <w:tcW w:w="104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168.6%</w:t>
            </w:r>
          </w:p>
        </w:tc>
        <w:tc>
          <w:tcPr>
            <w:tcW w:w="22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-146%</w:t>
            </w: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-1,666</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1,421</w:t>
            </w:r>
          </w:p>
        </w:tc>
        <w:tc>
          <w:tcPr>
            <w:tcW w:w="11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-217.3%</w:t>
            </w:r>
          </w:p>
        </w:tc>
        <w:tc>
          <w:tcPr>
            <w:tcW w:w="0" w:type="dxa"/>
            <w:vAlign w:val="bottom"/>
          </w:tcPr>
          <w:p>
            <w:pPr>
              <w:spacing w:after="0"/>
              <w:rPr>
                <w:sz w:val="1"/>
                <w:szCs w:val="1"/>
                <w:color w:val="auto"/>
              </w:rPr>
            </w:pPr>
          </w:p>
        </w:tc>
      </w:tr>
      <w:tr>
        <w:trPr>
          <w:trHeight w:val="142"/>
        </w:trPr>
        <w:tc>
          <w:tcPr>
            <w:tcW w:w="3200" w:type="dxa"/>
            <w:vAlign w:val="bottom"/>
            <w:tcBorders>
              <w:bottom w:val="single" w:sz="8" w:color="CCFFCC"/>
            </w:tcBorders>
            <w:gridSpan w:val="2"/>
          </w:tcPr>
          <w:p>
            <w:pPr>
              <w:spacing w:after="0" w:line="142" w:lineRule="exact"/>
              <w:rPr>
                <w:sz w:val="20"/>
                <w:szCs w:val="20"/>
                <w:color w:val="auto"/>
              </w:rPr>
            </w:pPr>
            <w:r>
              <w:rPr>
                <w:rFonts w:ascii="Arial" w:cs="Arial" w:eastAsia="Arial" w:hAnsi="Arial"/>
                <w:sz w:val="14"/>
                <w:szCs w:val="14"/>
                <w:b w:val="1"/>
                <w:bCs w:val="1"/>
                <w:color w:val="auto"/>
              </w:rPr>
              <w:t>Income before minority interest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5,450</w:t>
            </w:r>
          </w:p>
        </w:tc>
        <w:tc>
          <w:tcPr>
            <w:tcW w:w="220" w:type="dxa"/>
            <w:vAlign w:val="bottom"/>
            <w:tcBorders>
              <w:bottom w:val="single" w:sz="8" w:color="CCFFCC"/>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11,467</w:t>
            </w:r>
          </w:p>
        </w:tc>
        <w:tc>
          <w:tcPr>
            <w:tcW w:w="240" w:type="dxa"/>
            <w:vAlign w:val="bottom"/>
            <w:tcBorders>
              <w:bottom w:val="single" w:sz="8" w:color="CCFFCC"/>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24,168</w:t>
            </w:r>
          </w:p>
        </w:tc>
        <w:tc>
          <w:tcPr>
            <w:tcW w:w="220" w:type="dxa"/>
            <w:vAlign w:val="bottom"/>
            <w:tcBorders>
              <w:bottom w:val="single" w:sz="8" w:color="CCFFCC"/>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-52.5</w:t>
            </w:r>
          </w:p>
        </w:tc>
        <w:tc>
          <w:tcPr>
            <w:tcW w:w="260" w:type="dxa"/>
            <w:vAlign w:val="bottom"/>
            <w:tcBorders>
              <w:bottom w:val="single" w:sz="8" w:color="CCFFCC"/>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2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-77.5</w:t>
            </w:r>
          </w:p>
        </w:tc>
        <w:tc>
          <w:tcPr>
            <w:tcW w:w="260" w:type="dxa"/>
            <w:vAlign w:val="bottom"/>
            <w:tcBorders>
              <w:bottom w:val="single" w:sz="8" w:color="CCFFCC"/>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16,917</w:t>
            </w:r>
          </w:p>
        </w:tc>
        <w:tc>
          <w:tcPr>
            <w:tcW w:w="240" w:type="dxa"/>
            <w:vAlign w:val="bottom"/>
            <w:tcBorders>
              <w:bottom w:val="single" w:sz="8" w:color="CCFFCC"/>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29,090</w:t>
            </w:r>
          </w:p>
        </w:tc>
        <w:tc>
          <w:tcPr>
            <w:tcW w:w="220" w:type="dxa"/>
            <w:vAlign w:val="bottom"/>
            <w:tcBorders>
              <w:bottom w:val="single" w:sz="8" w:color="CCFFCC"/>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-41.8</w:t>
            </w:r>
          </w:p>
        </w:tc>
        <w:tc>
          <w:tcPr>
            <w:tcW w:w="140" w:type="dxa"/>
            <w:vAlign w:val="bottom"/>
            <w:tcBorders>
              <w:bottom w:val="single" w:sz="8" w:color="CCFFCC"/>
            </w:tcBorders>
          </w:tcPr>
          <w:p>
            <w:pPr>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2"/>
        </w:trPr>
        <w:tc>
          <w:tcPr>
            <w:tcW w:w="3200" w:type="dxa"/>
            <w:vAlign w:val="bottom"/>
            <w:gridSpan w:val="2"/>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Net income</w:t>
            </w:r>
          </w:p>
        </w:tc>
        <w:tc>
          <w:tcPr>
            <w:tcW w:w="80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3,824</w:t>
            </w:r>
          </w:p>
        </w:tc>
        <w:tc>
          <w:tcPr>
            <w:tcW w:w="220" w:type="dxa"/>
            <w:vAlign w:val="bottom"/>
            <w:shd w:val="clear" w:color="auto" w:fill="CCFFCC"/>
          </w:tcPr>
          <w:p>
            <w:pPr>
              <w:spacing w:after="0"/>
              <w:rPr>
                <w:sz w:val="12"/>
                <w:szCs w:val="12"/>
                <w:color w:val="auto"/>
              </w:rPr>
            </w:pPr>
          </w:p>
        </w:tc>
        <w:tc>
          <w:tcPr>
            <w:tcW w:w="7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9,490</w:t>
            </w:r>
          </w:p>
        </w:tc>
        <w:tc>
          <w:tcPr>
            <w:tcW w:w="240" w:type="dxa"/>
            <w:vAlign w:val="bottom"/>
            <w:shd w:val="clear" w:color="auto" w:fill="CCFFCC"/>
          </w:tcPr>
          <w:p>
            <w:pPr>
              <w:spacing w:after="0"/>
              <w:rPr>
                <w:sz w:val="12"/>
                <w:szCs w:val="12"/>
                <w:color w:val="auto"/>
              </w:rPr>
            </w:pPr>
          </w:p>
        </w:tc>
        <w:tc>
          <w:tcPr>
            <w:tcW w:w="7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21,888</w:t>
            </w:r>
          </w:p>
        </w:tc>
        <w:tc>
          <w:tcPr>
            <w:tcW w:w="220" w:type="dxa"/>
            <w:vAlign w:val="bottom"/>
            <w:shd w:val="clear" w:color="auto" w:fill="CCFFCC"/>
          </w:tcPr>
          <w:p>
            <w:pPr>
              <w:spacing w:after="0"/>
              <w:rPr>
                <w:sz w:val="12"/>
                <w:szCs w:val="12"/>
                <w:color w:val="auto"/>
              </w:rPr>
            </w:pPr>
          </w:p>
        </w:tc>
        <w:tc>
          <w:tcPr>
            <w:tcW w:w="7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-59.7</w:t>
            </w:r>
          </w:p>
        </w:tc>
        <w:tc>
          <w:tcPr>
            <w:tcW w:w="260" w:type="dxa"/>
            <w:vAlign w:val="bottom"/>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220" w:type="dxa"/>
            <w:vAlign w:val="bottom"/>
            <w:tcBorders>
              <w:bottom w:val="single" w:sz="8" w:color="auto"/>
            </w:tcBorders>
            <w:shd w:val="clear" w:color="auto" w:fill="CCFFCC"/>
          </w:tcPr>
          <w:p>
            <w:pPr>
              <w:spacing w:after="0"/>
              <w:rPr>
                <w:sz w:val="12"/>
                <w:szCs w:val="12"/>
                <w:color w:val="auto"/>
              </w:rPr>
            </w:pPr>
          </w:p>
        </w:tc>
        <w:tc>
          <w:tcPr>
            <w:tcW w:w="54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-82.5</w:t>
            </w:r>
          </w:p>
        </w:tc>
        <w:tc>
          <w:tcPr>
            <w:tcW w:w="260" w:type="dxa"/>
            <w:vAlign w:val="bottom"/>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7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13,314</w:t>
            </w:r>
          </w:p>
        </w:tc>
        <w:tc>
          <w:tcPr>
            <w:tcW w:w="240" w:type="dxa"/>
            <w:vAlign w:val="bottom"/>
            <w:shd w:val="clear" w:color="auto" w:fill="CCFFCC"/>
          </w:tcPr>
          <w:p>
            <w:pPr>
              <w:spacing w:after="0"/>
              <w:rPr>
                <w:sz w:val="12"/>
                <w:szCs w:val="12"/>
                <w:color w:val="auto"/>
              </w:rPr>
            </w:pPr>
          </w:p>
        </w:tc>
        <w:tc>
          <w:tcPr>
            <w:tcW w:w="7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25,180</w:t>
            </w:r>
          </w:p>
        </w:tc>
        <w:tc>
          <w:tcPr>
            <w:tcW w:w="220" w:type="dxa"/>
            <w:vAlign w:val="bottom"/>
            <w:shd w:val="clear" w:color="auto" w:fill="CCFFCC"/>
          </w:tcPr>
          <w:p>
            <w:pPr>
              <w:spacing w:after="0"/>
              <w:rPr>
                <w:sz w:val="12"/>
                <w:szCs w:val="12"/>
                <w:color w:val="auto"/>
              </w:rPr>
            </w:pPr>
          </w:p>
        </w:tc>
        <w:tc>
          <w:tcPr>
            <w:tcW w:w="96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-47.1</w:t>
            </w:r>
          </w:p>
        </w:tc>
        <w:tc>
          <w:tcPr>
            <w:tcW w:w="140" w:type="dxa"/>
            <w:vAlign w:val="bottom"/>
            <w:shd w:val="clear" w:color="auto" w:fill="CCFFCC"/>
          </w:tcPr>
          <w:p>
            <w:pPr>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3200" w:type="dxa"/>
            <w:vAlign w:val="bottom"/>
            <w:tcBorders>
              <w:bottom w:val="single" w:sz="8" w:color="CCFFCC"/>
            </w:tcBorders>
            <w:gridSpan w:val="2"/>
          </w:tcPr>
          <w:p>
            <w:pPr>
              <w:spacing w:after="0" w:line="142" w:lineRule="exact"/>
              <w:rPr>
                <w:sz w:val="20"/>
                <w:szCs w:val="20"/>
                <w:color w:val="auto"/>
              </w:rPr>
            </w:pPr>
            <w:r>
              <w:rPr>
                <w:rFonts w:ascii="Arial" w:cs="Arial" w:eastAsia="Arial" w:hAnsi="Arial"/>
                <w:sz w:val="14"/>
                <w:szCs w:val="14"/>
                <w:b w:val="1"/>
                <w:bCs w:val="1"/>
                <w:color w:val="auto"/>
              </w:rPr>
              <w:t>Contribution to Credicorp</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5,460</w:t>
            </w:r>
          </w:p>
        </w:tc>
        <w:tc>
          <w:tcPr>
            <w:tcW w:w="220" w:type="dxa"/>
            <w:vAlign w:val="bottom"/>
            <w:tcBorders>
              <w:bottom w:val="single" w:sz="8" w:color="CCFFCC"/>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11,259</w:t>
            </w:r>
          </w:p>
        </w:tc>
        <w:tc>
          <w:tcPr>
            <w:tcW w:w="240" w:type="dxa"/>
            <w:vAlign w:val="bottom"/>
            <w:tcBorders>
              <w:bottom w:val="single" w:sz="8" w:color="CCFFCC"/>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23,663</w:t>
            </w:r>
          </w:p>
        </w:tc>
        <w:tc>
          <w:tcPr>
            <w:tcW w:w="220" w:type="dxa"/>
            <w:vAlign w:val="bottom"/>
            <w:tcBorders>
              <w:bottom w:val="single" w:sz="8" w:color="CCFFCC"/>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-51.5</w:t>
            </w:r>
          </w:p>
        </w:tc>
        <w:tc>
          <w:tcPr>
            <w:tcW w:w="260" w:type="dxa"/>
            <w:vAlign w:val="bottom"/>
            <w:tcBorders>
              <w:bottom w:val="single" w:sz="8" w:color="CCFFCC"/>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-76.9</w:t>
            </w:r>
          </w:p>
        </w:tc>
        <w:tc>
          <w:tcPr>
            <w:tcW w:w="260" w:type="dxa"/>
            <w:vAlign w:val="bottom"/>
            <w:tcBorders>
              <w:bottom w:val="single" w:sz="8" w:color="CCFFCC"/>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16,718</w:t>
            </w:r>
          </w:p>
        </w:tc>
        <w:tc>
          <w:tcPr>
            <w:tcW w:w="240" w:type="dxa"/>
            <w:vAlign w:val="bottom"/>
            <w:tcBorders>
              <w:bottom w:val="single" w:sz="8" w:color="CCFFCC"/>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28,486</w:t>
            </w:r>
          </w:p>
        </w:tc>
        <w:tc>
          <w:tcPr>
            <w:tcW w:w="220" w:type="dxa"/>
            <w:vAlign w:val="bottom"/>
            <w:tcBorders>
              <w:bottom w:val="single" w:sz="8" w:color="CCFFCC"/>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-41.3</w:t>
            </w:r>
          </w:p>
        </w:tc>
        <w:tc>
          <w:tcPr>
            <w:tcW w:w="140" w:type="dxa"/>
            <w:vAlign w:val="bottom"/>
            <w:tcBorders>
              <w:bottom w:val="single" w:sz="8" w:color="CCFFCC"/>
            </w:tcBorders>
          </w:tcPr>
          <w:p>
            <w:pPr>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3200" w:type="dxa"/>
            <w:vAlign w:val="bottom"/>
            <w:gridSpan w:val="2"/>
            <w:shd w:val="clear" w:color="auto" w:fill="CCFFCC"/>
          </w:tcPr>
          <w:p>
            <w:pPr>
              <w:spacing w:after="0" w:line="142" w:lineRule="exact"/>
              <w:rPr>
                <w:sz w:val="20"/>
                <w:szCs w:val="20"/>
                <w:color w:val="auto"/>
              </w:rPr>
            </w:pPr>
            <w:r>
              <w:rPr>
                <w:rFonts w:ascii="Arial" w:cs="Arial" w:eastAsia="Arial" w:hAnsi="Arial"/>
                <w:sz w:val="14"/>
                <w:szCs w:val="14"/>
                <w:color w:val="auto"/>
              </w:rPr>
              <w:t>Total assets</w:t>
            </w: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2,626,453</w:t>
            </w: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2,805,693</w:t>
            </w:r>
          </w:p>
        </w:tc>
        <w:tc>
          <w:tcPr>
            <w:tcW w:w="24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2,380,110</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-6.4%</w:t>
            </w:r>
          </w:p>
        </w:tc>
        <w:tc>
          <w:tcPr>
            <w:tcW w:w="2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10.4%</w:t>
            </w: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2,626,453</w:t>
            </w:r>
          </w:p>
        </w:tc>
        <w:tc>
          <w:tcPr>
            <w:tcW w:w="24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2,380,110</w:t>
            </w:r>
          </w:p>
        </w:tc>
        <w:tc>
          <w:tcPr>
            <w:tcW w:w="22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Invesment on securities</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1,626,763</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1,764,873</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1,534,459</w:t>
            </w:r>
          </w:p>
        </w:tc>
        <w:tc>
          <w:tcPr>
            <w:tcW w:w="220" w:type="dxa"/>
            <w:vAlign w:val="bottom"/>
          </w:tcPr>
          <w:p>
            <w:pPr>
              <w:spacing w:after="0"/>
              <w:rPr>
                <w:sz w:val="12"/>
                <w:szCs w:val="12"/>
                <w:color w:val="auto"/>
              </w:rPr>
            </w:pP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-7.8%</w:t>
            </w:r>
          </w:p>
        </w:tc>
        <w:tc>
          <w:tcPr>
            <w:tcW w:w="22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6.0%</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1,626,763</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1,534,459</w:t>
            </w:r>
          </w:p>
        </w:tc>
        <w:tc>
          <w:tcPr>
            <w:tcW w:w="22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Technical reserves</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1,691,124</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1,701,502</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1,484,229</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-0.6%</w:t>
            </w:r>
          </w:p>
        </w:tc>
        <w:tc>
          <w:tcPr>
            <w:tcW w:w="2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13.9%</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1,691,124</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1,484,229</w:t>
            </w:r>
          </w:p>
        </w:tc>
        <w:tc>
          <w:tcPr>
            <w:tcW w:w="22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62"/>
        </w:trPr>
        <w:tc>
          <w:tcPr>
            <w:tcW w:w="3200" w:type="dxa"/>
            <w:vAlign w:val="bottom"/>
            <w:gridSpan w:val="2"/>
          </w:tcPr>
          <w:p>
            <w:pPr>
              <w:spacing w:after="0"/>
              <w:rPr>
                <w:sz w:val="20"/>
                <w:szCs w:val="20"/>
                <w:color w:val="auto"/>
              </w:rPr>
            </w:pPr>
            <w:r>
              <w:rPr>
                <w:rFonts w:ascii="Arial" w:cs="Arial" w:eastAsia="Arial" w:hAnsi="Arial"/>
                <w:sz w:val="14"/>
                <w:szCs w:val="14"/>
                <w:color w:val="auto"/>
              </w:rPr>
              <w:t>Net equity</w:t>
            </w:r>
          </w:p>
        </w:tc>
        <w:tc>
          <w:tcPr>
            <w:tcW w:w="800" w:type="dxa"/>
            <w:vAlign w:val="bottom"/>
          </w:tcPr>
          <w:p>
            <w:pPr>
              <w:jc w:val="right"/>
              <w:spacing w:after="0"/>
              <w:rPr>
                <w:sz w:val="20"/>
                <w:szCs w:val="20"/>
                <w:color w:val="auto"/>
              </w:rPr>
            </w:pPr>
            <w:r>
              <w:rPr>
                <w:rFonts w:ascii="Arial" w:cs="Arial" w:eastAsia="Arial" w:hAnsi="Arial"/>
                <w:sz w:val="14"/>
                <w:szCs w:val="14"/>
                <w:color w:val="auto"/>
              </w:rPr>
              <w:t>484,965</w:t>
            </w:r>
          </w:p>
        </w:tc>
        <w:tc>
          <w:tcPr>
            <w:tcW w:w="22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641,968</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523,180</w:t>
            </w:r>
          </w:p>
        </w:tc>
        <w:tc>
          <w:tcPr>
            <w:tcW w:w="1040" w:type="dxa"/>
            <w:vAlign w:val="bottom"/>
            <w:gridSpan w:val="2"/>
          </w:tcPr>
          <w:p>
            <w:pPr>
              <w:jc w:val="right"/>
              <w:ind w:right="68"/>
              <w:spacing w:after="0"/>
              <w:rPr>
                <w:sz w:val="20"/>
                <w:szCs w:val="20"/>
                <w:color w:val="auto"/>
              </w:rPr>
            </w:pPr>
            <w:r>
              <w:rPr>
                <w:rFonts w:ascii="Arial" w:cs="Arial" w:eastAsia="Arial" w:hAnsi="Arial"/>
                <w:sz w:val="14"/>
                <w:szCs w:val="14"/>
                <w:color w:val="auto"/>
              </w:rPr>
              <w:t>-24.5%</w:t>
            </w:r>
          </w:p>
        </w:tc>
        <w:tc>
          <w:tcPr>
            <w:tcW w:w="220" w:type="dxa"/>
            <w:vAlign w:val="bottom"/>
          </w:tcPr>
          <w:p>
            <w:pPr>
              <w:spacing w:after="0"/>
              <w:rPr>
                <w:sz w:val="14"/>
                <w:szCs w:val="14"/>
                <w:color w:val="auto"/>
              </w:rPr>
            </w:pPr>
          </w:p>
        </w:tc>
        <w:tc>
          <w:tcPr>
            <w:tcW w:w="800" w:type="dxa"/>
            <w:vAlign w:val="bottom"/>
            <w:gridSpan w:val="2"/>
          </w:tcPr>
          <w:p>
            <w:pPr>
              <w:jc w:val="right"/>
              <w:ind w:right="68"/>
              <w:spacing w:after="0"/>
              <w:rPr>
                <w:sz w:val="20"/>
                <w:szCs w:val="20"/>
                <w:color w:val="auto"/>
              </w:rPr>
            </w:pPr>
            <w:r>
              <w:rPr>
                <w:rFonts w:ascii="Arial" w:cs="Arial" w:eastAsia="Arial" w:hAnsi="Arial"/>
                <w:sz w:val="14"/>
                <w:szCs w:val="14"/>
                <w:color w:val="auto"/>
              </w:rPr>
              <w:t>-7.3%</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484,965</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523,180</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0"/>
        </w:trPr>
        <w:tc>
          <w:tcPr>
            <w:tcW w:w="3200" w:type="dxa"/>
            <w:vAlign w:val="bottom"/>
            <w:gridSpan w:val="2"/>
            <w:vMerge w:val="restart"/>
            <w:shd w:val="clear" w:color="auto" w:fill="CCFFCC"/>
          </w:tcPr>
          <w:p>
            <w:pPr>
              <w:spacing w:after="0"/>
              <w:rPr>
                <w:sz w:val="20"/>
                <w:szCs w:val="20"/>
                <w:color w:val="auto"/>
              </w:rPr>
            </w:pPr>
            <w:r>
              <w:rPr>
                <w:rFonts w:ascii="Arial" w:cs="Arial" w:eastAsia="Arial" w:hAnsi="Arial"/>
                <w:sz w:val="14"/>
                <w:szCs w:val="14"/>
                <w:color w:val="auto"/>
              </w:rPr>
              <w:t>Loss ratio</w:t>
            </w: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00" w:type="dxa"/>
            <w:vAlign w:val="bottom"/>
            <w:gridSpan w:val="2"/>
            <w:vMerge w:val="continue"/>
            <w:shd w:val="clear" w:color="auto" w:fill="CCFFCC"/>
          </w:tcPr>
          <w:p>
            <w:pPr>
              <w:spacing w:after="0"/>
              <w:rPr>
                <w:sz w:val="12"/>
                <w:szCs w:val="12"/>
                <w:color w:val="auto"/>
              </w:rPr>
            </w:pPr>
          </w:p>
        </w:tc>
        <w:tc>
          <w:tcPr>
            <w:tcW w:w="102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67.8%</w:t>
            </w:r>
          </w:p>
        </w:tc>
        <w:tc>
          <w:tcPr>
            <w:tcW w:w="102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65.9%</w:t>
            </w:r>
          </w:p>
        </w:tc>
        <w:tc>
          <w:tcPr>
            <w:tcW w:w="100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62.0%</w:t>
            </w:r>
          </w:p>
        </w:tc>
        <w:tc>
          <w:tcPr>
            <w:tcW w:w="7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66.9%</w:t>
            </w:r>
          </w:p>
        </w:tc>
        <w:tc>
          <w:tcPr>
            <w:tcW w:w="100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69.0%</w:t>
            </w:r>
          </w:p>
        </w:tc>
        <w:tc>
          <w:tcPr>
            <w:tcW w:w="9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Return on equity (2) (3)</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17.6%</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4.5%</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10.4%</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Combined ratio of PPS + PS (4)</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106.8%</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107.3%</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101.9%</w:t>
            </w:r>
          </w:p>
        </w:tc>
        <w:tc>
          <w:tcPr>
            <w:tcW w:w="78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54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107.1%</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108.1%</w:t>
            </w:r>
          </w:p>
        </w:tc>
        <w:tc>
          <w:tcPr>
            <w:tcW w:w="96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60" w:hanging="252"/>
        <w:spacing w:after="0"/>
        <w:tabs>
          <w:tab w:leader="none" w:pos="26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With consolidated adjustments between insurance companies and medical services.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Average are determined as the average of period - beginning and period ending.</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Without consolidated adjustments.</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Pacifico Grupo Asegurador reported net income before minority interest of US$ 5.5 million in 2Q13, which represents a 52.5% decline with regard to the US$ 11.5 million obtained last Q and a 77.5% decline from the US$ 24.2 million in 2Q12. This decline is mainly attributable to a translation loss of US$ 6.4 million due to a 7.5% devaluation in the Nuevo Sol against the US Dollar in the 2Q, which increases the total devaluation of the currency to 9% for the first half of the year. The drop in net income was also attributable to an increase in net claims (+5.2% QoQ) in the Health and Life businesses. It should be noted that the impact of the devaluation is accentuated because 48% of net premiums earned are denominated in Nuevo Soles.</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fact, in 2Q13 the underwriting result fell 13.6% QoQ due to an increase in claims in Health (US$ 4.4 million) and Life (+US$ 2.6 million). In the case of Health, higher claims were associated with an increase in the frequency of health service use due to seasonal factors. At Pacifico Vida, this Q’s higher loss ratio was due to an increase in reserves for obligatory insurance (AFP), which was recorded in claims given that during this second quarter, there were more cases of disability, less denials of claims, and less releases of reserves associated with aging clients. Furthermore, the increase in claims is reflected in the loss ratio which increased from 62% in 2Q12, to 65.9% in 1Q13 and 67.8% for this 2Q13.</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income totaled US$ 32.5 million in 2Q13. This represents a 10.4% increase QoQ, which is in line with growth in financial income in the Life Insurance business. The aforementioned is attributable to higher interest on investments due to an increase in the size of the fixed income portfolio, which was in turn attributable to growth in the business lines (primarily Annuity Income). Additionally, the new flow was invested at rates that were 50 bps and 60 bps higher on average.</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General expenses rose 3.1% QoQ. This was due primarily to an increase in expenses at the subsidiary level due to the launching of SANNA, the Group’s private healthcare network, and higher financial and administrative costs related to: (i) the expansion plan and infrastructure improvements as well as (ii) the plan to invest in medical equipment. A YoY analysis also reveals an increase in general expenses, which is attributable to investment to develop alternative distribution channels and the push to expand the Property and Casualty Business in the provinces.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context, the impact of the 9% accumulated devaluation through translation losses and the increase in claims from 62% to 68% of income squeezed Pacifico’s contribution to Credicorp dropped to the reported US$ 5.5 million (-51.5% QoQ) and (-76.9% YoY) .</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6" w:name="page37"/>
    <w:bookmarkEnd w:id="36"/>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PGA</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9"/>
              </w:rPr>
              <w:t>Net income *</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3"/>
          </w:tcPr>
          <w:p>
            <w:pPr>
              <w:ind w:left="760"/>
              <w:spacing w:after="0"/>
              <w:rPr>
                <w:sz w:val="20"/>
                <w:szCs w:val="20"/>
                <w:color w:val="auto"/>
              </w:rPr>
            </w:pPr>
            <w:r>
              <w:rPr>
                <w:rFonts w:ascii="Arial" w:cs="Arial" w:eastAsia="Arial" w:hAnsi="Arial"/>
                <w:sz w:val="18"/>
                <w:szCs w:val="18"/>
                <w:b w:val="1"/>
                <w:bCs w:val="1"/>
                <w:color w:val="auto"/>
                <w:w w:val="96"/>
              </w:rPr>
              <w:t>Change %</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00" w:type="dxa"/>
            <w:vAlign w:val="bottom"/>
            <w:tcBorders>
              <w:bottom w:val="single" w:sz="8" w:color="CCFFCC"/>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2Q13</w:t>
            </w:r>
          </w:p>
        </w:tc>
        <w:tc>
          <w:tcPr>
            <w:tcW w:w="22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1Q13</w:t>
            </w:r>
          </w:p>
        </w:tc>
        <w:tc>
          <w:tcPr>
            <w:tcW w:w="220" w:type="dxa"/>
            <w:vAlign w:val="bottom"/>
            <w:tcBorders>
              <w:bottom w:val="single" w:sz="8" w:color="CCFFCC"/>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2Q12</w:t>
            </w:r>
          </w:p>
        </w:tc>
        <w:tc>
          <w:tcPr>
            <w:tcW w:w="200" w:type="dxa"/>
            <w:vAlign w:val="bottom"/>
            <w:tcBorders>
              <w:bottom w:val="single" w:sz="8" w:color="CCFFCC"/>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6"/>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5120" w:type="dxa"/>
            <w:vAlign w:val="bottom"/>
            <w:shd w:val="clear" w:color="auto" w:fill="CCFFCC"/>
          </w:tcPr>
          <w:p>
            <w:pPr>
              <w:spacing w:after="0"/>
              <w:rPr>
                <w:sz w:val="20"/>
                <w:szCs w:val="20"/>
                <w:color w:val="auto"/>
              </w:rPr>
            </w:pPr>
            <w:r>
              <w:rPr>
                <w:rFonts w:ascii="Arial" w:cs="Arial" w:eastAsia="Arial" w:hAnsi="Arial"/>
                <w:sz w:val="18"/>
                <w:szCs w:val="18"/>
                <w:color w:val="auto"/>
              </w:rPr>
              <w:t>PPS</w:t>
            </w: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-6,689</w:t>
            </w: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-4,767</w:t>
            </w: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6,694</w:t>
            </w:r>
          </w:p>
        </w:tc>
        <w:tc>
          <w:tcPr>
            <w:tcW w:w="2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-40.3%</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-199.9%</w:t>
            </w: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PV</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13,826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14,936</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16,290</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52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EPS</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1,165</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2,284</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-199</w:t>
            </w:r>
          </w:p>
        </w:tc>
        <w:tc>
          <w:tcPr>
            <w:tcW w:w="13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-49.0%</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-685.8%</w:t>
            </w:r>
          </w:p>
        </w:tc>
      </w:tr>
      <w:tr>
        <w:trPr>
          <w:trHeight w:val="230"/>
        </w:trPr>
        <w:tc>
          <w:tcPr>
            <w:tcW w:w="5220" w:type="dxa"/>
            <w:vAlign w:val="bottom"/>
            <w:gridSpan w:val="2"/>
          </w:tcPr>
          <w:p>
            <w:pPr>
              <w:spacing w:after="0"/>
              <w:rPr>
                <w:sz w:val="20"/>
                <w:szCs w:val="20"/>
                <w:color w:val="auto"/>
              </w:rPr>
            </w:pPr>
            <w:r>
              <w:rPr>
                <w:rFonts w:ascii="Arial" w:cs="Arial" w:eastAsia="Arial" w:hAnsi="Arial"/>
                <w:sz w:val="18"/>
                <w:szCs w:val="18"/>
                <w:color w:val="auto"/>
              </w:rPr>
              <w:t>Medical subsidiaries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-2,205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-946</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1,388</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-133.1%</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-258.9%</w:t>
            </w:r>
          </w:p>
        </w:tc>
      </w:tr>
      <w:tr>
        <w:trPr>
          <w:trHeight w:val="210"/>
        </w:trPr>
        <w:tc>
          <w:tcPr>
            <w:tcW w:w="522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PGA</w:t>
            </w: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5,450</w:t>
            </w:r>
          </w:p>
        </w:tc>
        <w:tc>
          <w:tcPr>
            <w:tcW w:w="22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11,467</w:t>
            </w:r>
          </w:p>
        </w:tc>
        <w:tc>
          <w:tcPr>
            <w:tcW w:w="22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24,168</w:t>
            </w:r>
          </w:p>
        </w:tc>
        <w:tc>
          <w:tcPr>
            <w:tcW w:w="20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-52.5</w:t>
            </w:r>
          </w:p>
        </w:tc>
        <w:tc>
          <w:tcPr>
            <w:tcW w:w="300" w:type="dxa"/>
            <w:vAlign w:val="bottom"/>
            <w:tcBorders>
              <w:top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shd w:val="clear" w:color="auto" w:fill="CCFFCC"/>
          </w:tcPr>
          <w:p>
            <w:pPr>
              <w:spacing w:after="0"/>
              <w:rPr>
                <w:sz w:val="18"/>
                <w:szCs w:val="18"/>
                <w:color w:val="auto"/>
              </w:rPr>
            </w:pPr>
          </w:p>
        </w:tc>
        <w:tc>
          <w:tcPr>
            <w:tcW w:w="7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-77.5</w:t>
            </w:r>
          </w:p>
        </w:tc>
        <w:tc>
          <w:tcPr>
            <w:tcW w:w="18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522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color w:val="auto"/>
              </w:rPr>
              <w:t>Adjustment for consolidation</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FFCC"/>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220" w:type="dxa"/>
            <w:vAlign w:val="bottom"/>
            <w:tcBorders>
              <w:bottom w:val="single" w:sz="8" w:color="CCFFCC"/>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200" w:type="dxa"/>
            <w:vAlign w:val="bottom"/>
            <w:tcBorders>
              <w:bottom w:val="single" w:sz="8" w:color="CCFFCC"/>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300" w:type="dxa"/>
            <w:vAlign w:val="bottom"/>
            <w:tcBorders>
              <w:bottom w:val="single" w:sz="8" w:color="CCFFC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80" w:type="dxa"/>
            <w:vAlign w:val="bottom"/>
            <w:tcBorders>
              <w:bottom w:val="single" w:sz="8" w:color="CCFFCC"/>
            </w:tcBorders>
          </w:tcPr>
          <w:p>
            <w:pPr>
              <w:spacing w:after="0"/>
              <w:rPr>
                <w:sz w:val="18"/>
                <w:szCs w:val="18"/>
                <w:color w:val="auto"/>
              </w:rPr>
            </w:pPr>
          </w:p>
        </w:tc>
      </w:tr>
      <w:tr>
        <w:trPr>
          <w:trHeight w:val="210"/>
        </w:trPr>
        <w:tc>
          <w:tcPr>
            <w:tcW w:w="522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Contribution to Credicorp</w:t>
            </w: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5,460</w:t>
            </w:r>
          </w:p>
        </w:tc>
        <w:tc>
          <w:tcPr>
            <w:tcW w:w="220" w:type="dxa"/>
            <w:vAlign w:val="bottom"/>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11,259</w:t>
            </w:r>
          </w:p>
        </w:tc>
        <w:tc>
          <w:tcPr>
            <w:tcW w:w="220" w:type="dxa"/>
            <w:vAlign w:val="bottom"/>
            <w:shd w:val="clear" w:color="auto" w:fill="CCFFCC"/>
          </w:tcPr>
          <w:p>
            <w:pPr>
              <w:spacing w:after="0"/>
              <w:rPr>
                <w:sz w:val="18"/>
                <w:szCs w:val="18"/>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23,663</w:t>
            </w:r>
          </w:p>
        </w:tc>
        <w:tc>
          <w:tcPr>
            <w:tcW w:w="200" w:type="dxa"/>
            <w:vAlign w:val="bottom"/>
            <w:shd w:val="clear" w:color="auto" w:fill="CCFFCC"/>
          </w:tcPr>
          <w:p>
            <w:pPr>
              <w:spacing w:after="0"/>
              <w:rPr>
                <w:sz w:val="18"/>
                <w:szCs w:val="18"/>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-51.5</w:t>
            </w:r>
          </w:p>
        </w:tc>
        <w:tc>
          <w:tcPr>
            <w:tcW w:w="300" w:type="dxa"/>
            <w:vAlign w:val="bottom"/>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bottom w:val="single" w:sz="8" w:color="auto"/>
            </w:tcBorders>
            <w:shd w:val="clear" w:color="auto" w:fill="CCFFCC"/>
          </w:tcPr>
          <w:p>
            <w:pPr>
              <w:spacing w:after="0"/>
              <w:rPr>
                <w:sz w:val="18"/>
                <w:szCs w:val="18"/>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-76.9</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rPr>
          <w:sz w:val="20"/>
          <w:szCs w:val="20"/>
          <w:color w:val="auto"/>
        </w:rPr>
      </w:pPr>
      <w:r>
        <w:rPr>
          <w:rFonts w:ascii="Arial" w:cs="Arial" w:eastAsia="Arial" w:hAnsi="Arial"/>
          <w:sz w:val="18"/>
          <w:szCs w:val="18"/>
          <w:i w:val="1"/>
          <w:iCs w:val="1"/>
          <w:color w:val="auto"/>
        </w:rPr>
        <w:t>* Before minoritary interest.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Pacifico Property and Casualty (PPS)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PPS reported loss of - US$ 6.7 million in 2Q13, which represents a 40.3% decline QoQ figure due to the negative effect of the translation result (- US$ 2.8 million QoQ) and the decline in net financial income (-US$1.4 million QoQ). The aforementioned offset the increase in the underwriting result (+ US$ 1.5 million QoQ), which was attributable to a 2.1% increase in net premium turnover in the car line and a move to reduce general expenses (-US$1.2 million QoQ).</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YoY underwriting result fell 33.5% due to an increase in the loss ratio (+39.6%), which was in turn attributable to a deterioration in the loss ratio posted by the car line.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 property and are as follows:</w:t>
      </w: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 Result by Business Unit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2Q13</w:t>
            </w: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1Q13</w:t>
            </w: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rPr>
              <w:t>2Q12</w:t>
            </w:r>
          </w:p>
        </w:tc>
        <w:tc>
          <w:tcPr>
            <w:tcW w:w="5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gridSpan w:val="2"/>
          </w:tcPr>
          <w:p>
            <w:pPr>
              <w:jc w:val="center"/>
              <w:ind w:right="180"/>
              <w:spacing w:after="0" w:line="110" w:lineRule="exact"/>
              <w:rPr>
                <w:sz w:val="20"/>
                <w:szCs w:val="20"/>
                <w:color w:val="auto"/>
              </w:rPr>
            </w:pPr>
            <w:r>
              <w:rPr>
                <w:rFonts w:ascii="Arial" w:cs="Arial" w:eastAsia="Arial" w:hAnsi="Arial"/>
                <w:sz w:val="12"/>
                <w:szCs w:val="12"/>
                <w:b w:val="1"/>
                <w:bCs w:val="1"/>
                <w:color w:val="auto"/>
                <w:w w:val="94"/>
              </w:rPr>
              <w:t>Private</w:t>
            </w: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gridSpan w:val="2"/>
          </w:tcPr>
          <w:p>
            <w:pPr>
              <w:jc w:val="center"/>
              <w:ind w:right="200"/>
              <w:spacing w:after="0" w:line="110" w:lineRule="exact"/>
              <w:rPr>
                <w:sz w:val="20"/>
                <w:szCs w:val="20"/>
                <w:color w:val="auto"/>
              </w:rPr>
            </w:pPr>
            <w:r>
              <w:rPr>
                <w:rFonts w:ascii="Arial" w:cs="Arial" w:eastAsia="Arial" w:hAnsi="Arial"/>
                <w:sz w:val="12"/>
                <w:szCs w:val="12"/>
                <w:b w:val="1"/>
                <w:bCs w:val="1"/>
                <w:color w:val="auto"/>
                <w:w w:val="99"/>
              </w:rPr>
              <w:t>Private</w:t>
            </w: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2"/>
          </w:tcPr>
          <w:p>
            <w:pPr>
              <w:jc w:val="center"/>
              <w:ind w:right="200"/>
              <w:spacing w:after="0" w:line="110" w:lineRule="exact"/>
              <w:rPr>
                <w:sz w:val="20"/>
                <w:szCs w:val="20"/>
                <w:color w:val="auto"/>
              </w:rPr>
            </w:pPr>
            <w:r>
              <w:rPr>
                <w:rFonts w:ascii="Arial" w:cs="Arial" w:eastAsia="Arial" w:hAnsi="Arial"/>
                <w:sz w:val="12"/>
                <w:szCs w:val="12"/>
                <w:b w:val="1"/>
                <w:bCs w:val="1"/>
                <w:color w:val="auto"/>
                <w:w w:val="99"/>
              </w:rPr>
              <w:t>Private</w:t>
            </w: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12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90"/>
              </w:rPr>
              <w:t>Underwriting Result by Business Unit</w:t>
            </w:r>
          </w:p>
        </w:tc>
        <w:tc>
          <w:tcPr>
            <w:tcW w:w="780" w:type="dxa"/>
            <w:vAlign w:val="bottom"/>
            <w:gridSpan w:val="2"/>
          </w:tcPr>
          <w:p>
            <w:pPr>
              <w:jc w:val="right"/>
              <w:ind w:right="300"/>
              <w:spacing w:after="0" w:line="135" w:lineRule="exact"/>
              <w:rPr>
                <w:sz w:val="20"/>
                <w:szCs w:val="20"/>
                <w:color w:val="auto"/>
              </w:rPr>
            </w:pPr>
            <w:r>
              <w:rPr>
                <w:rFonts w:ascii="Arial" w:cs="Arial" w:eastAsia="Arial" w:hAnsi="Arial"/>
                <w:sz w:val="13"/>
                <w:szCs w:val="13"/>
                <w:b w:val="1"/>
                <w:bCs w:val="1"/>
                <w:color w:val="auto"/>
              </w:rPr>
              <w:t>Vehicle</w:t>
            </w: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5"/>
              </w:rPr>
              <w:t>Health</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TOTAL</w:t>
            </w:r>
          </w:p>
        </w:tc>
        <w:tc>
          <w:tcPr>
            <w:tcW w:w="820" w:type="dxa"/>
            <w:vAlign w:val="bottom"/>
            <w:gridSpan w:val="2"/>
          </w:tcPr>
          <w:p>
            <w:pPr>
              <w:jc w:val="right"/>
              <w:ind w:right="300"/>
              <w:spacing w:after="0" w:line="135" w:lineRule="exact"/>
              <w:rPr>
                <w:sz w:val="20"/>
                <w:szCs w:val="20"/>
                <w:color w:val="auto"/>
              </w:rPr>
            </w:pPr>
            <w:r>
              <w:rPr>
                <w:rFonts w:ascii="Arial" w:cs="Arial" w:eastAsia="Arial" w:hAnsi="Arial"/>
                <w:sz w:val="13"/>
                <w:szCs w:val="13"/>
                <w:b w:val="1"/>
                <w:bCs w:val="1"/>
                <w:color w:val="auto"/>
              </w:rPr>
              <w:t>Vehicle</w:t>
            </w:r>
          </w:p>
        </w:tc>
        <w:tc>
          <w:tcPr>
            <w:tcW w:w="8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0"/>
              </w:rPr>
              <w:t>Health</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TOTAL</w:t>
            </w:r>
          </w:p>
        </w:tc>
        <w:tc>
          <w:tcPr>
            <w:tcW w:w="840" w:type="dxa"/>
            <w:vAlign w:val="bottom"/>
            <w:gridSpan w:val="2"/>
          </w:tcPr>
          <w:p>
            <w:pPr>
              <w:jc w:val="right"/>
              <w:ind w:right="320"/>
              <w:spacing w:after="0" w:line="135" w:lineRule="exact"/>
              <w:rPr>
                <w:sz w:val="20"/>
                <w:szCs w:val="20"/>
                <w:color w:val="auto"/>
              </w:rPr>
            </w:pPr>
            <w:r>
              <w:rPr>
                <w:rFonts w:ascii="Arial" w:cs="Arial" w:eastAsia="Arial" w:hAnsi="Arial"/>
                <w:sz w:val="13"/>
                <w:szCs w:val="13"/>
                <w:b w:val="1"/>
                <w:bCs w:val="1"/>
                <w:color w:val="auto"/>
              </w:rPr>
              <w:t>Vehicle</w:t>
            </w:r>
          </w:p>
        </w:tc>
        <w:tc>
          <w:tcPr>
            <w:tcW w:w="8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0"/>
              </w:rPr>
              <w:t>Health</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2120" w:type="dxa"/>
            <w:vAlign w:val="bottom"/>
            <w:gridSpan w:val="2"/>
          </w:tcPr>
          <w:p>
            <w:pPr>
              <w:spacing w:after="0"/>
              <w:rPr>
                <w:sz w:val="20"/>
                <w:szCs w:val="20"/>
                <w:color w:val="auto"/>
              </w:rPr>
            </w:pPr>
            <w:r>
              <w:rPr>
                <w:rFonts w:ascii="Arial" w:cs="Arial" w:eastAsia="Arial" w:hAnsi="Arial"/>
                <w:sz w:val="13"/>
                <w:szCs w:val="13"/>
                <w:color w:val="auto"/>
              </w:rPr>
              <w:t>US$ million</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7"/>
              </w:rPr>
              <w:t>Insurance</w:t>
            </w:r>
          </w:p>
        </w:tc>
        <w:tc>
          <w:tcPr>
            <w:tcW w:w="8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Insurance</w:t>
            </w:r>
          </w:p>
        </w:tc>
        <w:tc>
          <w:tcPr>
            <w:tcW w:w="700" w:type="dxa"/>
            <w:vAlign w:val="bottom"/>
            <w:gridSpan w:val="2"/>
          </w:tcPr>
          <w:p>
            <w:pPr>
              <w:ind w:left="120"/>
              <w:spacing w:after="0"/>
              <w:rPr>
                <w:sz w:val="20"/>
                <w:szCs w:val="20"/>
                <w:color w:val="auto"/>
              </w:rPr>
            </w:pPr>
            <w:r>
              <w:rPr>
                <w:rFonts w:ascii="Arial" w:cs="Arial" w:eastAsia="Arial" w:hAnsi="Arial"/>
                <w:sz w:val="13"/>
                <w:szCs w:val="13"/>
                <w:b w:val="1"/>
                <w:bCs w:val="1"/>
                <w:color w:val="auto"/>
              </w:rPr>
              <w:t>P&amp;C</w:t>
            </w:r>
          </w:p>
        </w:tc>
        <w:tc>
          <w:tcPr>
            <w:tcW w:w="780" w:type="dxa"/>
            <w:vAlign w:val="bottom"/>
            <w:gridSpan w:val="2"/>
          </w:tcPr>
          <w:p>
            <w:pPr>
              <w:ind w:left="160"/>
              <w:spacing w:after="0"/>
              <w:rPr>
                <w:sz w:val="20"/>
                <w:szCs w:val="20"/>
                <w:color w:val="auto"/>
              </w:rPr>
            </w:pPr>
            <w:r>
              <w:rPr>
                <w:rFonts w:ascii="Arial" w:cs="Arial" w:eastAsia="Arial" w:hAnsi="Arial"/>
                <w:sz w:val="13"/>
                <w:szCs w:val="13"/>
                <w:b w:val="1"/>
                <w:bCs w:val="1"/>
                <w:color w:val="auto"/>
              </w:rPr>
              <w:t>PPS</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1"/>
              </w:rPr>
              <w:t>Insurance</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Insurance</w:t>
            </w:r>
          </w:p>
        </w:tc>
        <w:tc>
          <w:tcPr>
            <w:tcW w:w="7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P&amp;C</w:t>
            </w:r>
          </w:p>
        </w:tc>
        <w:tc>
          <w:tcPr>
            <w:tcW w:w="820" w:type="dxa"/>
            <w:vAlign w:val="bottom"/>
            <w:gridSpan w:val="2"/>
          </w:tcPr>
          <w:p>
            <w:pPr>
              <w:ind w:left="180"/>
              <w:spacing w:after="0"/>
              <w:rPr>
                <w:sz w:val="20"/>
                <w:szCs w:val="20"/>
                <w:color w:val="auto"/>
              </w:rPr>
            </w:pPr>
            <w:r>
              <w:rPr>
                <w:rFonts w:ascii="Arial" w:cs="Arial" w:eastAsia="Arial" w:hAnsi="Arial"/>
                <w:sz w:val="13"/>
                <w:szCs w:val="13"/>
                <w:b w:val="1"/>
                <w:bCs w:val="1"/>
                <w:color w:val="auto"/>
              </w:rPr>
              <w:t>PPS</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4"/>
              </w:rPr>
              <w:t>Insurance</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Insurance</w:t>
            </w:r>
          </w:p>
        </w:tc>
        <w:tc>
          <w:tcPr>
            <w:tcW w:w="7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P&amp;C</w:t>
            </w:r>
          </w:p>
        </w:tc>
        <w:tc>
          <w:tcPr>
            <w:tcW w:w="580" w:type="dxa"/>
            <w:vAlign w:val="bottom"/>
            <w:gridSpan w:val="2"/>
          </w:tcPr>
          <w:p>
            <w:pPr>
              <w:ind w:left="120"/>
              <w:spacing w:after="0"/>
              <w:rPr>
                <w:sz w:val="20"/>
                <w:szCs w:val="20"/>
                <w:color w:val="auto"/>
              </w:rPr>
            </w:pPr>
            <w:r>
              <w:rPr>
                <w:rFonts w:ascii="Arial" w:cs="Arial" w:eastAsia="Arial" w:hAnsi="Arial"/>
                <w:sz w:val="13"/>
                <w:szCs w:val="13"/>
                <w:b w:val="1"/>
                <w:bCs w:val="1"/>
                <w:color w:val="auto"/>
              </w:rPr>
              <w:t>PPS</w:t>
            </w:r>
          </w:p>
        </w:tc>
        <w:tc>
          <w:tcPr>
            <w:tcW w:w="0" w:type="dxa"/>
            <w:vAlign w:val="bottom"/>
          </w:tcPr>
          <w:p>
            <w:pPr>
              <w:spacing w:after="0"/>
              <w:rPr>
                <w:sz w:val="1"/>
                <w:szCs w:val="1"/>
                <w:color w:val="auto"/>
              </w:rPr>
            </w:pPr>
          </w:p>
        </w:tc>
      </w:tr>
      <w:tr>
        <w:trPr>
          <w:trHeight w:val="129"/>
        </w:trPr>
        <w:tc>
          <w:tcPr>
            <w:tcW w:w="2040" w:type="dxa"/>
            <w:vAlign w:val="bottom"/>
            <w:tcBorders>
              <w:top w:val="single" w:sz="8" w:color="auto"/>
            </w:tcBorders>
            <w:shd w:val="clear" w:color="auto" w:fill="CCFFCC"/>
          </w:tcPr>
          <w:p>
            <w:pPr>
              <w:spacing w:after="0" w:line="129" w:lineRule="exact"/>
              <w:rPr>
                <w:sz w:val="20"/>
                <w:szCs w:val="20"/>
                <w:color w:val="auto"/>
              </w:rPr>
            </w:pPr>
            <w:r>
              <w:rPr>
                <w:rFonts w:ascii="Arial" w:cs="Arial" w:eastAsia="Arial" w:hAnsi="Arial"/>
                <w:sz w:val="13"/>
                <w:szCs w:val="13"/>
                <w:color w:val="auto"/>
              </w:rPr>
              <w:t>Net earned premiums</w:t>
            </w:r>
          </w:p>
        </w:tc>
        <w:tc>
          <w:tcPr>
            <w:tcW w:w="80" w:type="dxa"/>
            <w:vAlign w:val="bottom"/>
            <w:tcBorders>
              <w:top w:val="single" w:sz="8" w:color="CCFFCC"/>
            </w:tcBorders>
            <w:shd w:val="clear" w:color="auto" w:fill="CCFFCC"/>
          </w:tcPr>
          <w:p>
            <w:pPr>
              <w:spacing w:after="0"/>
              <w:rPr>
                <w:sz w:val="11"/>
                <w:szCs w:val="11"/>
                <w:color w:val="auto"/>
              </w:rPr>
            </w:pPr>
          </w:p>
        </w:tc>
        <w:tc>
          <w:tcPr>
            <w:tcW w:w="58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31.2</w:t>
            </w:r>
          </w:p>
        </w:tc>
        <w:tc>
          <w:tcPr>
            <w:tcW w:w="200" w:type="dxa"/>
            <w:vAlign w:val="bottom"/>
            <w:tcBorders>
              <w:top w:val="single" w:sz="8" w:color="CCFFCC"/>
            </w:tcBorders>
            <w:shd w:val="clear" w:color="auto" w:fill="CCFFCC"/>
          </w:tcPr>
          <w:p>
            <w:pPr>
              <w:spacing w:after="0"/>
              <w:rPr>
                <w:sz w:val="11"/>
                <w:szCs w:val="11"/>
                <w:color w:val="auto"/>
              </w:rPr>
            </w:pPr>
          </w:p>
        </w:tc>
        <w:tc>
          <w:tcPr>
            <w:tcW w:w="62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25.5</w:t>
            </w:r>
          </w:p>
        </w:tc>
        <w:tc>
          <w:tcPr>
            <w:tcW w:w="180" w:type="dxa"/>
            <w:vAlign w:val="bottom"/>
            <w:tcBorders>
              <w:top w:val="single" w:sz="8" w:color="CCFFCC"/>
            </w:tcBorders>
            <w:shd w:val="clear" w:color="auto" w:fill="CCFFCC"/>
          </w:tcPr>
          <w:p>
            <w:pPr>
              <w:spacing w:after="0"/>
              <w:rPr>
                <w:sz w:val="11"/>
                <w:szCs w:val="11"/>
                <w:color w:val="auto"/>
              </w:rPr>
            </w:pPr>
          </w:p>
        </w:tc>
        <w:tc>
          <w:tcPr>
            <w:tcW w:w="500" w:type="dxa"/>
            <w:vAlign w:val="bottom"/>
            <w:tcBorders>
              <w:top w:val="single" w:sz="8" w:color="auto"/>
            </w:tcBorders>
            <w:shd w:val="clear" w:color="auto" w:fill="CCFFCC"/>
          </w:tcPr>
          <w:p>
            <w:pPr>
              <w:ind w:left="280"/>
              <w:spacing w:after="0" w:line="129" w:lineRule="exact"/>
              <w:rPr>
                <w:sz w:val="20"/>
                <w:szCs w:val="20"/>
                <w:color w:val="auto"/>
              </w:rPr>
            </w:pPr>
            <w:r>
              <w:rPr>
                <w:rFonts w:ascii="Arial" w:cs="Arial" w:eastAsia="Arial" w:hAnsi="Arial"/>
                <w:sz w:val="13"/>
                <w:szCs w:val="13"/>
                <w:color w:val="auto"/>
                <w:w w:val="78"/>
              </w:rPr>
              <w:t>16.2</w:t>
            </w:r>
          </w:p>
        </w:tc>
        <w:tc>
          <w:tcPr>
            <w:tcW w:w="200" w:type="dxa"/>
            <w:vAlign w:val="bottom"/>
            <w:tcBorders>
              <w:top w:val="single" w:sz="8" w:color="CCFFCC"/>
            </w:tcBorders>
            <w:shd w:val="clear" w:color="auto" w:fill="CCFFCC"/>
          </w:tcPr>
          <w:p>
            <w:pPr>
              <w:spacing w:after="0"/>
              <w:rPr>
                <w:sz w:val="11"/>
                <w:szCs w:val="11"/>
                <w:color w:val="auto"/>
              </w:rPr>
            </w:pPr>
          </w:p>
        </w:tc>
        <w:tc>
          <w:tcPr>
            <w:tcW w:w="560" w:type="dxa"/>
            <w:vAlign w:val="bottom"/>
            <w:tcBorders>
              <w:top w:val="single" w:sz="8" w:color="auto"/>
            </w:tcBorders>
            <w:shd w:val="clear" w:color="auto" w:fill="CCFFCC"/>
          </w:tcPr>
          <w:p>
            <w:pPr>
              <w:ind w:left="340"/>
              <w:spacing w:after="0" w:line="129" w:lineRule="exact"/>
              <w:rPr>
                <w:sz w:val="20"/>
                <w:szCs w:val="20"/>
                <w:color w:val="auto"/>
              </w:rPr>
            </w:pPr>
            <w:r>
              <w:rPr>
                <w:rFonts w:ascii="Arial" w:cs="Arial" w:eastAsia="Arial" w:hAnsi="Arial"/>
                <w:sz w:val="13"/>
                <w:szCs w:val="13"/>
                <w:b w:val="1"/>
                <w:bCs w:val="1"/>
                <w:color w:val="auto"/>
                <w:w w:val="78"/>
              </w:rPr>
              <w:t>72.9</w:t>
            </w:r>
          </w:p>
        </w:tc>
        <w:tc>
          <w:tcPr>
            <w:tcW w:w="220" w:type="dxa"/>
            <w:vAlign w:val="bottom"/>
            <w:tcBorders>
              <w:top w:val="single" w:sz="8" w:color="CCFFCC"/>
            </w:tcBorders>
            <w:shd w:val="clear" w:color="auto" w:fill="CCFFCC"/>
          </w:tcPr>
          <w:p>
            <w:pPr>
              <w:spacing w:after="0"/>
              <w:rPr>
                <w:sz w:val="11"/>
                <w:szCs w:val="11"/>
                <w:color w:val="auto"/>
              </w:rPr>
            </w:pPr>
          </w:p>
        </w:tc>
        <w:tc>
          <w:tcPr>
            <w:tcW w:w="64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29.3</w:t>
            </w:r>
          </w:p>
        </w:tc>
        <w:tc>
          <w:tcPr>
            <w:tcW w:w="180" w:type="dxa"/>
            <w:vAlign w:val="bottom"/>
            <w:tcBorders>
              <w:top w:val="single" w:sz="8" w:color="CCFFCC"/>
            </w:tcBorders>
            <w:shd w:val="clear" w:color="auto" w:fill="CCFFCC"/>
          </w:tcPr>
          <w:p>
            <w:pPr>
              <w:spacing w:after="0"/>
              <w:rPr>
                <w:sz w:val="11"/>
                <w:szCs w:val="11"/>
                <w:color w:val="auto"/>
              </w:rPr>
            </w:pPr>
          </w:p>
        </w:tc>
        <w:tc>
          <w:tcPr>
            <w:tcW w:w="64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25.1</w:t>
            </w:r>
          </w:p>
        </w:tc>
        <w:tc>
          <w:tcPr>
            <w:tcW w:w="200" w:type="dxa"/>
            <w:vAlign w:val="bottom"/>
            <w:tcBorders>
              <w:top w:val="single" w:sz="8" w:color="CCFFCC"/>
            </w:tcBorders>
            <w:shd w:val="clear" w:color="auto" w:fill="CCFFCC"/>
          </w:tcPr>
          <w:p>
            <w:pPr>
              <w:spacing w:after="0"/>
              <w:rPr>
                <w:sz w:val="11"/>
                <w:szCs w:val="11"/>
                <w:color w:val="auto"/>
              </w:rPr>
            </w:pPr>
          </w:p>
        </w:tc>
        <w:tc>
          <w:tcPr>
            <w:tcW w:w="54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16.9</w:t>
            </w:r>
          </w:p>
        </w:tc>
        <w:tc>
          <w:tcPr>
            <w:tcW w:w="200" w:type="dxa"/>
            <w:vAlign w:val="bottom"/>
            <w:tcBorders>
              <w:top w:val="single" w:sz="8" w:color="CCFFCC"/>
            </w:tcBorders>
            <w:shd w:val="clear" w:color="auto" w:fill="CCFFCC"/>
          </w:tcPr>
          <w:p>
            <w:pPr>
              <w:spacing w:after="0"/>
              <w:rPr>
                <w:sz w:val="11"/>
                <w:szCs w:val="11"/>
                <w:color w:val="auto"/>
              </w:rPr>
            </w:pPr>
          </w:p>
        </w:tc>
        <w:tc>
          <w:tcPr>
            <w:tcW w:w="600" w:type="dxa"/>
            <w:vAlign w:val="bottom"/>
            <w:tcBorders>
              <w:top w:val="single" w:sz="8" w:color="auto"/>
            </w:tcBorders>
            <w:shd w:val="clear" w:color="auto" w:fill="CCFFCC"/>
          </w:tcPr>
          <w:p>
            <w:pPr>
              <w:ind w:left="380"/>
              <w:spacing w:after="0" w:line="129" w:lineRule="exact"/>
              <w:rPr>
                <w:sz w:val="20"/>
                <w:szCs w:val="20"/>
                <w:color w:val="auto"/>
              </w:rPr>
            </w:pPr>
            <w:r>
              <w:rPr>
                <w:rFonts w:ascii="Arial" w:cs="Arial" w:eastAsia="Arial" w:hAnsi="Arial"/>
                <w:sz w:val="13"/>
                <w:szCs w:val="13"/>
                <w:b w:val="1"/>
                <w:bCs w:val="1"/>
                <w:color w:val="auto"/>
                <w:w w:val="78"/>
              </w:rPr>
              <w:t>71.4</w:t>
            </w:r>
          </w:p>
        </w:tc>
        <w:tc>
          <w:tcPr>
            <w:tcW w:w="220" w:type="dxa"/>
            <w:vAlign w:val="bottom"/>
            <w:tcBorders>
              <w:top w:val="single" w:sz="8" w:color="CCFFCC"/>
            </w:tcBorders>
            <w:shd w:val="clear" w:color="auto" w:fill="CCFFCC"/>
          </w:tcPr>
          <w:p>
            <w:pPr>
              <w:spacing w:after="0"/>
              <w:rPr>
                <w:sz w:val="11"/>
                <w:szCs w:val="11"/>
                <w:color w:val="auto"/>
              </w:rPr>
            </w:pPr>
          </w:p>
        </w:tc>
        <w:tc>
          <w:tcPr>
            <w:tcW w:w="64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25.7</w:t>
            </w:r>
          </w:p>
        </w:tc>
        <w:tc>
          <w:tcPr>
            <w:tcW w:w="200" w:type="dxa"/>
            <w:vAlign w:val="bottom"/>
            <w:tcBorders>
              <w:top w:val="single" w:sz="8" w:color="CCFFCC"/>
            </w:tcBorders>
            <w:shd w:val="clear" w:color="auto" w:fill="CCFFCC"/>
          </w:tcPr>
          <w:p>
            <w:pPr>
              <w:spacing w:after="0"/>
              <w:rPr>
                <w:sz w:val="11"/>
                <w:szCs w:val="11"/>
                <w:color w:val="auto"/>
              </w:rPr>
            </w:pPr>
          </w:p>
        </w:tc>
        <w:tc>
          <w:tcPr>
            <w:tcW w:w="64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21.2</w:t>
            </w:r>
          </w:p>
        </w:tc>
        <w:tc>
          <w:tcPr>
            <w:tcW w:w="200" w:type="dxa"/>
            <w:vAlign w:val="bottom"/>
            <w:tcBorders>
              <w:top w:val="single" w:sz="8" w:color="CCFFCC"/>
            </w:tcBorders>
            <w:shd w:val="clear" w:color="auto" w:fill="CCFFCC"/>
          </w:tcPr>
          <w:p>
            <w:pPr>
              <w:spacing w:after="0"/>
              <w:rPr>
                <w:sz w:val="11"/>
                <w:szCs w:val="11"/>
                <w:color w:val="auto"/>
              </w:rPr>
            </w:pPr>
          </w:p>
        </w:tc>
        <w:tc>
          <w:tcPr>
            <w:tcW w:w="56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17.6</w:t>
            </w:r>
          </w:p>
        </w:tc>
        <w:tc>
          <w:tcPr>
            <w:tcW w:w="200" w:type="dxa"/>
            <w:vAlign w:val="bottom"/>
            <w:tcBorders>
              <w:top w:val="single" w:sz="8" w:color="CCFFCC"/>
            </w:tcBorders>
            <w:shd w:val="clear" w:color="auto" w:fill="CCFFCC"/>
          </w:tcPr>
          <w:p>
            <w:pPr>
              <w:spacing w:after="0"/>
              <w:rPr>
                <w:sz w:val="11"/>
                <w:szCs w:val="11"/>
                <w:color w:val="auto"/>
              </w:rPr>
            </w:pPr>
          </w:p>
        </w:tc>
        <w:tc>
          <w:tcPr>
            <w:tcW w:w="460" w:type="dxa"/>
            <w:vAlign w:val="bottom"/>
            <w:tcBorders>
              <w:top w:val="single" w:sz="8" w:color="auto"/>
              <w:right w:val="single" w:sz="8" w:color="CCFFCC"/>
            </w:tcBorders>
            <w:shd w:val="clear" w:color="auto" w:fill="CCFFCC"/>
          </w:tcPr>
          <w:p>
            <w:pPr>
              <w:ind w:left="220"/>
              <w:spacing w:after="0" w:line="129" w:lineRule="exact"/>
              <w:rPr>
                <w:sz w:val="20"/>
                <w:szCs w:val="20"/>
                <w:color w:val="auto"/>
              </w:rPr>
            </w:pPr>
            <w:r>
              <w:rPr>
                <w:rFonts w:ascii="Arial" w:cs="Arial" w:eastAsia="Arial" w:hAnsi="Arial"/>
                <w:sz w:val="13"/>
                <w:szCs w:val="13"/>
                <w:b w:val="1"/>
                <w:bCs w:val="1"/>
                <w:color w:val="auto"/>
                <w:w w:val="78"/>
              </w:rPr>
              <w:t>64.6</w:t>
            </w:r>
          </w:p>
        </w:tc>
        <w:tc>
          <w:tcPr>
            <w:tcW w:w="120" w:type="dxa"/>
            <w:vAlign w:val="bottom"/>
            <w:tcBorders>
              <w:top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gridSpan w:val="2"/>
          </w:tcPr>
          <w:p>
            <w:pPr>
              <w:spacing w:after="0" w:line="135" w:lineRule="exact"/>
              <w:rPr>
                <w:sz w:val="20"/>
                <w:szCs w:val="20"/>
                <w:color w:val="auto"/>
              </w:rPr>
            </w:pPr>
            <w:r>
              <w:rPr>
                <w:rFonts w:ascii="Arial" w:cs="Arial" w:eastAsia="Arial" w:hAnsi="Arial"/>
                <w:sz w:val="13"/>
                <w:szCs w:val="13"/>
                <w:color w:val="auto"/>
              </w:rPr>
              <w:t>Underwriting results</w:t>
            </w: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2.9</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5.1</w:t>
            </w:r>
          </w:p>
        </w:tc>
        <w:tc>
          <w:tcPr>
            <w:tcW w:w="180" w:type="dxa"/>
            <w:vAlign w:val="bottom"/>
          </w:tcPr>
          <w:p>
            <w:pPr>
              <w:spacing w:after="0"/>
              <w:rPr>
                <w:sz w:val="11"/>
                <w:szCs w:val="11"/>
                <w:color w:val="auto"/>
              </w:rPr>
            </w:pPr>
          </w:p>
        </w:tc>
        <w:tc>
          <w:tcPr>
            <w:tcW w:w="700" w:type="dxa"/>
            <w:vAlign w:val="bottom"/>
            <w:gridSpan w:val="2"/>
          </w:tcPr>
          <w:p>
            <w:pPr>
              <w:ind w:left="360"/>
              <w:spacing w:after="0" w:line="135" w:lineRule="exact"/>
              <w:rPr>
                <w:sz w:val="20"/>
                <w:szCs w:val="20"/>
                <w:color w:val="auto"/>
              </w:rPr>
            </w:pPr>
            <w:r>
              <w:rPr>
                <w:rFonts w:ascii="Arial" w:cs="Arial" w:eastAsia="Arial" w:hAnsi="Arial"/>
                <w:sz w:val="13"/>
                <w:szCs w:val="13"/>
                <w:color w:val="auto"/>
              </w:rPr>
              <w:t>4.5</w:t>
            </w:r>
          </w:p>
        </w:tc>
        <w:tc>
          <w:tcPr>
            <w:tcW w:w="780" w:type="dxa"/>
            <w:vAlign w:val="bottom"/>
            <w:gridSpan w:val="2"/>
          </w:tcPr>
          <w:p>
            <w:pPr>
              <w:ind w:left="340"/>
              <w:spacing w:after="0" w:line="135" w:lineRule="exact"/>
              <w:rPr>
                <w:sz w:val="20"/>
                <w:szCs w:val="20"/>
                <w:color w:val="auto"/>
              </w:rPr>
            </w:pPr>
            <w:r>
              <w:rPr>
                <w:rFonts w:ascii="Arial" w:cs="Arial" w:eastAsia="Arial" w:hAnsi="Arial"/>
                <w:sz w:val="13"/>
                <w:szCs w:val="13"/>
                <w:b w:val="1"/>
                <w:bCs w:val="1"/>
                <w:color w:val="auto"/>
              </w:rPr>
              <w:t>12.4</w:t>
            </w: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0.9</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6.5</w:t>
            </w: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3.5</w:t>
            </w:r>
          </w:p>
        </w:tc>
        <w:tc>
          <w:tcPr>
            <w:tcW w:w="820" w:type="dxa"/>
            <w:vAlign w:val="bottom"/>
            <w:gridSpan w:val="2"/>
          </w:tcPr>
          <w:p>
            <w:pPr>
              <w:ind w:left="380"/>
              <w:spacing w:after="0" w:line="135" w:lineRule="exact"/>
              <w:rPr>
                <w:sz w:val="20"/>
                <w:szCs w:val="20"/>
                <w:color w:val="auto"/>
              </w:rPr>
            </w:pPr>
            <w:r>
              <w:rPr>
                <w:rFonts w:ascii="Arial" w:cs="Arial" w:eastAsia="Arial" w:hAnsi="Arial"/>
                <w:sz w:val="13"/>
                <w:szCs w:val="13"/>
                <w:b w:val="1"/>
                <w:bCs w:val="1"/>
                <w:color w:val="auto"/>
              </w:rPr>
              <w:t>10.9</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7.0</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3.9</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7.8</w:t>
            </w:r>
          </w:p>
        </w:tc>
        <w:tc>
          <w:tcPr>
            <w:tcW w:w="460" w:type="dxa"/>
            <w:vAlign w:val="bottom"/>
          </w:tcPr>
          <w:p>
            <w:pPr>
              <w:ind w:left="220"/>
              <w:spacing w:after="0" w:line="135" w:lineRule="exact"/>
              <w:rPr>
                <w:sz w:val="20"/>
                <w:szCs w:val="20"/>
                <w:color w:val="auto"/>
              </w:rPr>
            </w:pPr>
            <w:r>
              <w:rPr>
                <w:rFonts w:ascii="Arial" w:cs="Arial" w:eastAsia="Arial" w:hAnsi="Arial"/>
                <w:sz w:val="13"/>
                <w:szCs w:val="13"/>
                <w:b w:val="1"/>
                <w:bCs w:val="1"/>
                <w:color w:val="auto"/>
                <w:w w:val="78"/>
              </w:rPr>
              <w:t>18.7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Loss ratio</w:t>
            </w:r>
          </w:p>
        </w:tc>
        <w:tc>
          <w:tcPr>
            <w:tcW w:w="78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62.8%</w:t>
            </w:r>
          </w:p>
        </w:tc>
        <w:tc>
          <w:tcPr>
            <w:tcW w:w="80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68.0%</w:t>
            </w:r>
          </w:p>
        </w:tc>
        <w:tc>
          <w:tcPr>
            <w:tcW w:w="700" w:type="dxa"/>
            <w:vAlign w:val="bottom"/>
            <w:gridSpan w:val="2"/>
            <w:shd w:val="clear" w:color="auto" w:fill="CCFFCC"/>
          </w:tcPr>
          <w:p>
            <w:pPr>
              <w:ind w:left="280"/>
              <w:spacing w:after="0" w:line="135" w:lineRule="exact"/>
              <w:rPr>
                <w:sz w:val="20"/>
                <w:szCs w:val="20"/>
                <w:color w:val="auto"/>
              </w:rPr>
            </w:pPr>
            <w:r>
              <w:rPr>
                <w:rFonts w:ascii="Arial" w:cs="Arial" w:eastAsia="Arial" w:hAnsi="Arial"/>
                <w:sz w:val="13"/>
                <w:szCs w:val="13"/>
                <w:color w:val="auto"/>
              </w:rPr>
              <w:t>55.3%</w:t>
            </w:r>
          </w:p>
        </w:tc>
        <w:tc>
          <w:tcPr>
            <w:tcW w:w="780" w:type="dxa"/>
            <w:vAlign w:val="bottom"/>
            <w:gridSpan w:val="2"/>
            <w:shd w:val="clear" w:color="auto" w:fill="CCFFCC"/>
          </w:tcPr>
          <w:p>
            <w:pPr>
              <w:ind w:left="340"/>
              <w:spacing w:after="0" w:line="135" w:lineRule="exact"/>
              <w:rPr>
                <w:sz w:val="20"/>
                <w:szCs w:val="20"/>
                <w:color w:val="auto"/>
              </w:rPr>
            </w:pPr>
            <w:r>
              <w:rPr>
                <w:rFonts w:ascii="Arial" w:cs="Arial" w:eastAsia="Arial" w:hAnsi="Arial"/>
                <w:sz w:val="13"/>
                <w:szCs w:val="13"/>
                <w:b w:val="1"/>
                <w:bCs w:val="1"/>
                <w:color w:val="auto"/>
              </w:rPr>
              <w:t>62.9%</w:t>
            </w:r>
          </w:p>
        </w:tc>
        <w:tc>
          <w:tcPr>
            <w:tcW w:w="82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69.1%</w:t>
            </w:r>
          </w:p>
        </w:tc>
        <w:tc>
          <w:tcPr>
            <w:tcW w:w="8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63.3%</w:t>
            </w:r>
          </w:p>
        </w:tc>
        <w:tc>
          <w:tcPr>
            <w:tcW w:w="7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55.7%</w:t>
            </w:r>
          </w:p>
        </w:tc>
        <w:tc>
          <w:tcPr>
            <w:tcW w:w="820" w:type="dxa"/>
            <w:vAlign w:val="bottom"/>
            <w:gridSpan w:val="2"/>
            <w:shd w:val="clear" w:color="auto" w:fill="CCFFCC"/>
          </w:tcPr>
          <w:p>
            <w:pPr>
              <w:ind w:left="380"/>
              <w:spacing w:after="0" w:line="135" w:lineRule="exact"/>
              <w:rPr>
                <w:sz w:val="20"/>
                <w:szCs w:val="20"/>
                <w:color w:val="auto"/>
              </w:rPr>
            </w:pPr>
            <w:r>
              <w:rPr>
                <w:rFonts w:ascii="Arial" w:cs="Arial" w:eastAsia="Arial" w:hAnsi="Arial"/>
                <w:sz w:val="13"/>
                <w:szCs w:val="13"/>
                <w:b w:val="1"/>
                <w:bCs w:val="1"/>
                <w:color w:val="auto"/>
              </w:rPr>
              <w:t>63.9%</w:t>
            </w:r>
          </w:p>
        </w:tc>
        <w:tc>
          <w:tcPr>
            <w:tcW w:w="8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45.2%</w:t>
            </w:r>
          </w:p>
        </w:tc>
        <w:tc>
          <w:tcPr>
            <w:tcW w:w="8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68.8%</w:t>
            </w:r>
          </w:p>
        </w:tc>
        <w:tc>
          <w:tcPr>
            <w:tcW w:w="7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37.6%</w:t>
            </w:r>
          </w:p>
        </w:tc>
        <w:tc>
          <w:tcPr>
            <w:tcW w:w="580" w:type="dxa"/>
            <w:vAlign w:val="bottom"/>
            <w:gridSpan w:val="2"/>
            <w:shd w:val="clear" w:color="auto" w:fill="CCFFCC"/>
          </w:tcPr>
          <w:p>
            <w:pPr>
              <w:ind w:left="220"/>
              <w:spacing w:after="0" w:line="135" w:lineRule="exact"/>
              <w:rPr>
                <w:sz w:val="20"/>
                <w:szCs w:val="20"/>
                <w:color w:val="auto"/>
              </w:rPr>
            </w:pPr>
            <w:r>
              <w:rPr>
                <w:rFonts w:ascii="Arial" w:cs="Arial" w:eastAsia="Arial" w:hAnsi="Arial"/>
                <w:sz w:val="13"/>
                <w:szCs w:val="13"/>
                <w:b w:val="1"/>
                <w:bCs w:val="1"/>
                <w:color w:val="auto"/>
                <w:w w:val="92"/>
              </w:rPr>
              <w:t>50.9%</w:t>
            </w:r>
          </w:p>
        </w:tc>
        <w:tc>
          <w:tcPr>
            <w:tcW w:w="0" w:type="dxa"/>
            <w:vAlign w:val="bottom"/>
          </w:tcPr>
          <w:p>
            <w:pPr>
              <w:spacing w:after="0"/>
              <w:rPr>
                <w:sz w:val="1"/>
                <w:szCs w:val="1"/>
                <w:color w:val="auto"/>
              </w:rPr>
            </w:pPr>
          </w:p>
        </w:tc>
      </w:tr>
      <w:tr>
        <w:trPr>
          <w:trHeight w:val="121"/>
        </w:trPr>
        <w:tc>
          <w:tcPr>
            <w:tcW w:w="2120" w:type="dxa"/>
            <w:vAlign w:val="bottom"/>
            <w:gridSpan w:val="2"/>
          </w:tcPr>
          <w:p>
            <w:pPr>
              <w:spacing w:after="0" w:line="121" w:lineRule="exact"/>
              <w:rPr>
                <w:sz w:val="20"/>
                <w:szCs w:val="20"/>
                <w:color w:val="auto"/>
              </w:rPr>
            </w:pPr>
            <w:r>
              <w:rPr>
                <w:rFonts w:ascii="Arial" w:cs="Arial" w:eastAsia="Arial" w:hAnsi="Arial"/>
                <w:sz w:val="13"/>
                <w:szCs w:val="13"/>
                <w:color w:val="auto"/>
              </w:rPr>
              <w:t>Underwriting results / net earned</w:t>
            </w: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2"/>
            <w:vMerge w:val="restart"/>
          </w:tcPr>
          <w:p>
            <w:pPr>
              <w:ind w:left="340"/>
              <w:spacing w:after="0"/>
              <w:rPr>
                <w:sz w:val="20"/>
                <w:szCs w:val="20"/>
                <w:color w:val="auto"/>
              </w:rPr>
            </w:pPr>
            <w:r>
              <w:rPr>
                <w:rFonts w:ascii="Arial" w:cs="Arial" w:eastAsia="Arial" w:hAnsi="Arial"/>
                <w:sz w:val="13"/>
                <w:szCs w:val="13"/>
                <w:b w:val="1"/>
                <w:bCs w:val="1"/>
                <w:color w:val="auto"/>
              </w:rPr>
              <w:t>17.1%</w:t>
            </w: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vMerge w:val="restart"/>
          </w:tcPr>
          <w:p>
            <w:pPr>
              <w:ind w:left="380"/>
              <w:spacing w:after="0"/>
              <w:rPr>
                <w:sz w:val="20"/>
                <w:szCs w:val="20"/>
                <w:color w:val="auto"/>
              </w:rPr>
            </w:pPr>
            <w:r>
              <w:rPr>
                <w:rFonts w:ascii="Arial" w:cs="Arial" w:eastAsia="Arial" w:hAnsi="Arial"/>
                <w:sz w:val="13"/>
                <w:szCs w:val="13"/>
                <w:b w:val="1"/>
                <w:bCs w:val="1"/>
                <w:color w:val="auto"/>
              </w:rPr>
              <w:t>15.3%</w:t>
            </w: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w w:val="92"/>
              </w:rPr>
              <w:t>29.0%</w:t>
            </w:r>
          </w:p>
        </w:tc>
        <w:tc>
          <w:tcPr>
            <w:tcW w:w="0" w:type="dxa"/>
            <w:vAlign w:val="bottom"/>
          </w:tcPr>
          <w:p>
            <w:pPr>
              <w:spacing w:after="0"/>
              <w:rPr>
                <w:sz w:val="1"/>
                <w:szCs w:val="1"/>
                <w:color w:val="auto"/>
              </w:rPr>
            </w:pPr>
          </w:p>
        </w:tc>
      </w:tr>
      <w:tr>
        <w:trPr>
          <w:trHeight w:val="163"/>
        </w:trPr>
        <w:tc>
          <w:tcPr>
            <w:tcW w:w="2120" w:type="dxa"/>
            <w:vAlign w:val="bottom"/>
            <w:gridSpan w:val="2"/>
          </w:tcPr>
          <w:p>
            <w:pPr>
              <w:spacing w:after="0"/>
              <w:rPr>
                <w:sz w:val="20"/>
                <w:szCs w:val="20"/>
                <w:color w:val="auto"/>
              </w:rPr>
            </w:pPr>
            <w:r>
              <w:rPr>
                <w:rFonts w:ascii="Arial" w:cs="Arial" w:eastAsia="Arial" w:hAnsi="Arial"/>
                <w:sz w:val="13"/>
                <w:szCs w:val="13"/>
                <w:color w:val="auto"/>
              </w:rPr>
              <w:t>premiums</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9.4%</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19.9%</w:t>
            </w:r>
          </w:p>
        </w:tc>
        <w:tc>
          <w:tcPr>
            <w:tcW w:w="700" w:type="dxa"/>
            <w:vAlign w:val="bottom"/>
            <w:gridSpan w:val="2"/>
          </w:tcPr>
          <w:p>
            <w:pPr>
              <w:ind w:left="280"/>
              <w:spacing w:after="0"/>
              <w:rPr>
                <w:sz w:val="20"/>
                <w:szCs w:val="20"/>
                <w:color w:val="auto"/>
              </w:rPr>
            </w:pPr>
            <w:r>
              <w:rPr>
                <w:rFonts w:ascii="Arial" w:cs="Arial" w:eastAsia="Arial" w:hAnsi="Arial"/>
                <w:sz w:val="13"/>
                <w:szCs w:val="13"/>
                <w:color w:val="auto"/>
              </w:rPr>
              <w:t>27.6%</w:t>
            </w:r>
          </w:p>
        </w:tc>
        <w:tc>
          <w:tcPr>
            <w:tcW w:w="780" w:type="dxa"/>
            <w:vAlign w:val="bottom"/>
            <w:gridSpan w:val="2"/>
            <w:vMerge w:val="continue"/>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3.1%</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26.0%</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20.6%</w:t>
            </w:r>
          </w:p>
        </w:tc>
        <w:tc>
          <w:tcPr>
            <w:tcW w:w="820" w:type="dxa"/>
            <w:vAlign w:val="bottom"/>
            <w:gridSpan w:val="2"/>
            <w:vMerge w:val="continue"/>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27.1%</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18.5%</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44.4%</w:t>
            </w: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980" w:hanging="324"/>
        <w:spacing w:after="0" w:line="255"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Car Insurance line posted an underwriting result of US$ 2.9 million in 2Q13, which tops the US$ 0.9 million reported in 1Q13. Growth was attributable to an increase in net premium turnover (+6.5% QoQ) and a decline in claim. A YoY analysis indicates that the underwriting result fell due to an increase in the loss ratio, which was in turn attributable to two factors: (i) higher costs per insured vehicle (increase in costs for repairs, parts and manual labor at garages) and, (ii) the fact that premiums have fallen in a highly competitive market. To reverse this situation, the company is readjusting rates and implementing a scoring process to improve underwriting processes to select better risks and subsequently improve portfolio quality.</w:t>
      </w:r>
    </w:p>
    <w:p>
      <w:pPr>
        <w:spacing w:after="0" w:line="193" w:lineRule="exact"/>
        <w:rPr>
          <w:rFonts w:ascii="Arial" w:cs="Arial" w:eastAsia="Arial" w:hAnsi="Arial"/>
          <w:sz w:val="18"/>
          <w:szCs w:val="18"/>
          <w:color w:val="auto"/>
        </w:rPr>
      </w:pPr>
    </w:p>
    <w:p>
      <w:pPr>
        <w:jc w:val="both"/>
        <w:ind w:left="980" w:hanging="324"/>
        <w:spacing w:after="0" w:line="297" w:lineRule="auto"/>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Private Health line posted an underwriting result of US$ 5.1 million in 2Q12. This represents a 22.6% decline that was attributable to a rise in claims occurrences which was associated with an increase in the frequency of health service use due to seasonal factors. The aforementioned was offset by an increase in net earned premiums (+1.4% QoQ) given that the company captured more clients through low-premium and group products (+7% increase in the portfolio for these products, which represents the incorporation of an additional 17 thousand insured individuals compared to 1Q13’s figure). YoY, the result rose 29.1% due to an increase in the net earned premium (+20.1%).</w:t>
      </w:r>
    </w:p>
    <w:p>
      <w:pPr>
        <w:spacing w:after="0" w:line="158" w:lineRule="exact"/>
        <w:rPr>
          <w:rFonts w:ascii="Arial" w:cs="Arial" w:eastAsia="Arial" w:hAnsi="Arial"/>
          <w:sz w:val="16"/>
          <w:szCs w:val="16"/>
          <w:color w:val="auto"/>
        </w:rPr>
      </w:pPr>
    </w:p>
    <w:p>
      <w:pPr>
        <w:jc w:val="both"/>
        <w:ind w:left="980" w:hanging="324"/>
        <w:spacing w:after="0" w:line="255"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Property and Casualty business (P &amp; C) reported an underwriting result of US$ 4.5 million in 2Q13, which represents a 27.7% increase with regard to 1Q13’s figure. This result was due to: a decrease in net commissions and a drop in net claims. The YoY underwriting result fell 43.1% due to a decrease in net earned premiums that was associated with an increase in ceded premiums due to quota contracts in the Fire, Technical Lines and Household segments (this approach is part of the company’s reinsurance strategy). This type of contract reduces exposure to severe claims by transferring 35% of the portfolio risk associated with the Fire and Technical Lines segment to the reinsurance market to improve the company’s underwriting policy.</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7" w:name="page38"/>
    <w:bookmarkEnd w:id="37"/>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With these results, PPS obtained a combined ratio of 112.3% in 2Q13. This can be disaggregated into 62.9 points for costs or expenses for net claims (loss ratio), 20.0 points for business acquisition costs, and 29.3 points for general or administrative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Pacifico Vida (PV)</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Pacifico Vida reported net earnings of US$ 13.8 million in 2Q13, which represents a 7.4% decline with regard to the US$ 14.9 million QoQ. This drop was primarily attributable to the translation result (-US$ 4.3 million QoQ) and a decline in the underwriting result. In YoY terms, net earnings fell 15% due to higher claims and an increase in the translation loss.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decrease posted in this quarter’s underwriting result was due to an increase in claims, primarily in the Obligatory Insurance (AFP) and Group Life segment, higher Commissions (Credit Life), and a retroactive reclassification of translation results to reserves due to a translation loss on Investment Link products for Individual Life (US$ 1.7 million 2Q13), which affected net premiums but had no impact on the company’s net earnings.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Despite the aforementioned reclassification, net premiums in 2Q13 increased 4.0% QoQ in 2Q13. Growth was particularly noteworthy in Annuity Income and Credit Life, with the exception of Group Life (given the mid-year and annual renewals that were registered in the first quarter of the year). A YoY analysis reveals an increase of 19.1%, which was due primarily to growth in the Credit Life and Obligatory Insurance Lines (AFP).</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Net claims increased 10.4% QoQ due to the fact that Obligatory Insurance posted more cases of disability, less denials of claims and less releases of reserves associated with aging clients. Additionally, more catastrophic events were reported in Group Life in 2Q13 for a total of US$ 0.5 million (Pesquera Exalmar and Odebretch). In contrast, the Individual and Accident lines posted a decrease in their loss ratios QoQ. A YoY analysis indicates that claims have risen 27%.</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Financial Income grew 21% QoQ and 29% YoY. This was due primarily to an increase in interest income on investments, which is in line with business growth (mainly in Annuity Income). Interest also grew due to two factors: i) the new flow was invested in instruments that offer higher rates, and ii) higher earnings on sales of fixed income securities associated with global bond sales.</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940" w:type="dxa"/>
            <w:vAlign w:val="bottom"/>
            <w:gridSpan w:val="4"/>
          </w:tcPr>
          <w:p>
            <w:pPr>
              <w:ind w:left="880"/>
              <w:spacing w:after="0"/>
              <w:rPr>
                <w:sz w:val="20"/>
                <w:szCs w:val="20"/>
                <w:color w:val="auto"/>
              </w:rPr>
            </w:pPr>
            <w:r>
              <w:rPr>
                <w:rFonts w:ascii="Arial" w:cs="Arial" w:eastAsia="Arial" w:hAnsi="Arial"/>
                <w:sz w:val="18"/>
                <w:szCs w:val="18"/>
                <w:b w:val="1"/>
                <w:bCs w:val="1"/>
                <w:color w:val="auto"/>
                <w:w w:val="92"/>
              </w:rPr>
              <w:t>Pacífico Vida</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Products</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gridSpan w:val="5"/>
          </w:tcPr>
          <w:p>
            <w:pPr>
              <w:jc w:val="center"/>
              <w:ind w:left="610"/>
              <w:spacing w:after="0"/>
              <w:rPr>
                <w:sz w:val="20"/>
                <w:szCs w:val="20"/>
                <w:color w:val="auto"/>
              </w:rPr>
            </w:pPr>
            <w:r>
              <w:rPr>
                <w:rFonts w:ascii="Arial" w:cs="Arial" w:eastAsia="Arial" w:hAnsi="Arial"/>
                <w:sz w:val="18"/>
                <w:szCs w:val="18"/>
                <w:b w:val="1"/>
                <w:bCs w:val="1"/>
                <w:color w:val="auto"/>
                <w:w w:val="91"/>
              </w:rPr>
              <w:t>Total Premiums</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34"/>
        </w:trPr>
        <w:tc>
          <w:tcPr>
            <w:tcW w:w="3180" w:type="dxa"/>
            <w:vAlign w:val="bottom"/>
            <w:gridSpan w:val="2"/>
          </w:tcPr>
          <w:p>
            <w:pPr>
              <w:spacing w:after="0"/>
              <w:rPr>
                <w:sz w:val="20"/>
                <w:szCs w:val="20"/>
                <w:color w:val="auto"/>
              </w:rPr>
            </w:pPr>
            <w:r>
              <w:rPr>
                <w:rFonts w:ascii="Arial" w:cs="Arial" w:eastAsia="Arial" w:hAnsi="Arial"/>
                <w:sz w:val="18"/>
                <w:szCs w:val="18"/>
                <w:color w:val="auto"/>
              </w:rPr>
              <w:t>US$ million</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ind w:left="200"/>
              <w:spacing w:after="0"/>
              <w:rPr>
                <w:sz w:val="20"/>
                <w:szCs w:val="20"/>
                <w:color w:val="auto"/>
              </w:rPr>
            </w:pPr>
            <w:r>
              <w:rPr>
                <w:rFonts w:ascii="Arial" w:cs="Arial" w:eastAsia="Arial" w:hAnsi="Arial"/>
                <w:sz w:val="18"/>
                <w:szCs w:val="18"/>
                <w:b w:val="1"/>
                <w:bCs w:val="1"/>
                <w:color w:val="auto"/>
              </w:rPr>
              <w:t>2Q13</w:t>
            </w:r>
          </w:p>
        </w:tc>
        <w:tc>
          <w:tcPr>
            <w:tcW w:w="10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1Q13</w:t>
            </w:r>
          </w:p>
        </w:tc>
        <w:tc>
          <w:tcPr>
            <w:tcW w:w="860" w:type="dxa"/>
            <w:vAlign w:val="bottom"/>
            <w:gridSpan w:val="2"/>
          </w:tcPr>
          <w:p>
            <w:pPr>
              <w:ind w:left="80"/>
              <w:spacing w:after="0"/>
              <w:rPr>
                <w:sz w:val="20"/>
                <w:szCs w:val="20"/>
                <w:color w:val="auto"/>
              </w:rPr>
            </w:pPr>
            <w:r>
              <w:rPr>
                <w:rFonts w:ascii="Arial" w:cs="Arial" w:eastAsia="Arial" w:hAnsi="Arial"/>
                <w:sz w:val="18"/>
                <w:szCs w:val="18"/>
                <w:b w:val="1"/>
                <w:bCs w:val="1"/>
                <w:color w:val="auto"/>
              </w:rPr>
              <w:t>2Q12</w:t>
            </w:r>
          </w:p>
        </w:tc>
        <w:tc>
          <w:tcPr>
            <w:tcW w:w="108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QoQ</w:t>
            </w:r>
          </w:p>
        </w:tc>
        <w:tc>
          <w:tcPr>
            <w:tcW w:w="10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CFFCC"/>
          </w:tcPr>
          <w:p>
            <w:pPr>
              <w:spacing w:after="0"/>
              <w:rPr>
                <w:sz w:val="20"/>
                <w:szCs w:val="20"/>
                <w:color w:val="auto"/>
              </w:rPr>
            </w:pPr>
            <w:r>
              <w:rPr>
                <w:rFonts w:ascii="Arial" w:cs="Arial" w:eastAsia="Arial" w:hAnsi="Arial"/>
                <w:sz w:val="18"/>
                <w:szCs w:val="18"/>
                <w:color w:val="auto"/>
              </w:rPr>
              <w:t>Individual life</w:t>
            </w:r>
          </w:p>
        </w:tc>
        <w:tc>
          <w:tcPr>
            <w:tcW w:w="880" w:type="dxa"/>
            <w:vAlign w:val="bottom"/>
            <w:shd w:val="clear" w:color="auto" w:fill="CCFFCC"/>
          </w:tcPr>
          <w:p>
            <w:pPr>
              <w:spacing w:after="0"/>
              <w:rPr>
                <w:sz w:val="18"/>
                <w:szCs w:val="18"/>
                <w:color w:val="auto"/>
              </w:rPr>
            </w:pPr>
          </w:p>
        </w:tc>
        <w:tc>
          <w:tcPr>
            <w:tcW w:w="80" w:type="dxa"/>
            <w:vAlign w:val="bottom"/>
            <w:vMerge w:val="continue"/>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19.7</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18.1</w:t>
            </w: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3.9%</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Individual annuity</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28.0</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25.1</w:t>
            </w:r>
          </w:p>
        </w:tc>
        <w:tc>
          <w:tcPr>
            <w:tcW w:w="16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14.5%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FFCC"/>
          </w:tcPr>
          <w:p>
            <w:pPr>
              <w:spacing w:after="0"/>
              <w:rPr>
                <w:sz w:val="20"/>
                <w:szCs w:val="20"/>
                <w:color w:val="auto"/>
              </w:rPr>
            </w:pPr>
            <w:r>
              <w:rPr>
                <w:rFonts w:ascii="Arial" w:cs="Arial" w:eastAsia="Arial" w:hAnsi="Arial"/>
                <w:sz w:val="18"/>
                <w:szCs w:val="18"/>
                <w:color w:val="auto"/>
              </w:rPr>
              <w:t>Disability &amp; survivor (Pension)</w:t>
            </w:r>
          </w:p>
        </w:tc>
        <w:tc>
          <w:tcPr>
            <w:tcW w:w="178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25.3</w:t>
            </w: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25.1</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19.4</w:t>
            </w: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0.9%</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Credit Life</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19.9</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12.1%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FFCC"/>
          </w:tcPr>
          <w:p>
            <w:pPr>
              <w:spacing w:after="0"/>
              <w:rPr>
                <w:sz w:val="20"/>
                <w:szCs w:val="20"/>
                <w:color w:val="auto"/>
              </w:rPr>
            </w:pPr>
            <w:r>
              <w:rPr>
                <w:rFonts w:ascii="Arial" w:cs="Arial" w:eastAsia="Arial" w:hAnsi="Arial"/>
                <w:sz w:val="18"/>
                <w:szCs w:val="18"/>
                <w:color w:val="auto"/>
              </w:rPr>
              <w:t>Personal accidents</w:t>
            </w:r>
          </w:p>
        </w:tc>
        <w:tc>
          <w:tcPr>
            <w:tcW w:w="178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4.2%</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Group life (Law)</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-16.8%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FFCC"/>
          </w:tcPr>
          <w:p>
            <w:pPr>
              <w:spacing w:after="0"/>
              <w:rPr>
                <w:sz w:val="20"/>
                <w:szCs w:val="20"/>
                <w:color w:val="auto"/>
              </w:rPr>
            </w:pPr>
            <w:r>
              <w:rPr>
                <w:rFonts w:ascii="Arial" w:cs="Arial" w:eastAsia="Arial" w:hAnsi="Arial"/>
                <w:sz w:val="18"/>
                <w:szCs w:val="18"/>
                <w:color w:val="auto"/>
              </w:rPr>
              <w:t>Group life</w:t>
            </w:r>
          </w:p>
        </w:tc>
        <w:tc>
          <w:tcPr>
            <w:tcW w:w="178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-0.9%</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Limited workers compensation</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9"/>
                <w:szCs w:val="19"/>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-22.9%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88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8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113.6</w:t>
            </w:r>
          </w:p>
        </w:tc>
        <w:tc>
          <w:tcPr>
            <w:tcW w:w="160" w:type="dxa"/>
            <w:vAlign w:val="bottom"/>
            <w:tcBorders>
              <w:top w:val="single" w:sz="8" w:color="CCFFCC"/>
            </w:tcBorders>
            <w:shd w:val="clear" w:color="auto" w:fill="CCFFCC"/>
          </w:tcPr>
          <w:p>
            <w:pPr>
              <w:spacing w:after="0"/>
              <w:rPr>
                <w:sz w:val="18"/>
                <w:szCs w:val="18"/>
                <w:color w:val="auto"/>
              </w:rPr>
            </w:pPr>
          </w:p>
        </w:tc>
        <w:tc>
          <w:tcPr>
            <w:tcW w:w="8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109.1</w:t>
            </w: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spacing w:after="0"/>
              <w:rPr>
                <w:sz w:val="18"/>
                <w:szCs w:val="18"/>
                <w:color w:val="auto"/>
              </w:rPr>
            </w:pPr>
          </w:p>
        </w:tc>
        <w:tc>
          <w:tcPr>
            <w:tcW w:w="7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93.9</w:t>
            </w:r>
          </w:p>
        </w:tc>
        <w:tc>
          <w:tcPr>
            <w:tcW w:w="160" w:type="dxa"/>
            <w:vAlign w:val="bottom"/>
            <w:tcBorders>
              <w:top w:val="single" w:sz="8" w:color="CCFFCC"/>
            </w:tcBorders>
            <w:shd w:val="clear" w:color="auto" w:fill="CCFFCC"/>
          </w:tcPr>
          <w:p>
            <w:pPr>
              <w:spacing w:after="0"/>
              <w:rPr>
                <w:sz w:val="18"/>
                <w:szCs w:val="18"/>
                <w:color w:val="auto"/>
              </w:rPr>
            </w:pPr>
          </w:p>
        </w:tc>
        <w:tc>
          <w:tcPr>
            <w:tcW w:w="8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4.1</w:t>
            </w:r>
          </w:p>
        </w:tc>
        <w:tc>
          <w:tcPr>
            <w:tcW w:w="260" w:type="dxa"/>
            <w:vAlign w:val="bottom"/>
            <w:tcBorders>
              <w:top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b w:val="1"/>
                <w:bCs w:val="1"/>
                <w:color w:val="auto"/>
                <w:w w:val="87"/>
              </w:rPr>
              <w:t>%</w:t>
            </w:r>
          </w:p>
        </w:tc>
        <w:tc>
          <w:tcPr>
            <w:tcW w:w="8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21.0</w:t>
            </w:r>
          </w:p>
        </w:tc>
        <w:tc>
          <w:tcPr>
            <w:tcW w:w="18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87"/>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Pacifico Health (EPS)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2Q13, Pacifico Salud reported net earnings of US$ 1.2 million, which falls below the US$ 2.3 million reported in 1Q13 due a decline in the underwriting result; nevertheless, this result was favorable compared to the loss reported in 2Q12 (-US$ 0.3 million).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underwriting result was affected by a higher loss ratio this quarter, which was in turn due to an increase in the frequency of health service use due to seasonal factors. The loss ratio increased to 84% in 2Q13 versus 79% in 1Q13 and 81% in 2Q12.</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8" w:name="page39"/>
    <w:bookmarkEnd w:id="38"/>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The drop in the underwriting result was partially mitigated by: i) the translation effect, which in EPS’s case was positive at US$ 1.2 million in 2Q13 versus US$ 0.3 million in 1Q13 and ii) a decrease in general expenses for different items.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underwriting result for the Medical Services Business was -US$2.2 million, which represents a decline with regard to 1Q13 (-US$ 0.9 million) and 2Q12’s figure (US$ 1.4 million).</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we combine the results of both businesses, in 2Q13 Pacifico Salud’s total loss was -US$ 1.0 million. This falls below the result posted in 1Q13 (US$ 1.3 million) and 2Q12’s figure (US$ 1.2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Medical Subsidiaries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2Q13, the medical subsidiaries reported net loss of - US$ 1.84 million, which falls below the - US$ 0.74 registered in 1Q13. This was primarily due to the fact i) recognition of expenses associated with the launch of the Group’s private healthcare network: SANNA ii) and an increase in financial and administrative costs associated with the expansion plan, infrastructure improvements, and the plan to invest in medical equipment.</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result was attenuated by an increase in the underwriting result, which totaled US$ 10.2 million. This represented an increase of US$ 1.56 million QoQ (+18%) and an increase of US$ 2.5 million YoY (+33%). This growth was attributable to higher sales at the network’s clinics (more services provided per business line) and an increase in the complexity of the services utilized, which pushes up average billing amounts.</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6200" w:type="dxa"/>
            <w:vAlign w:val="bottom"/>
            <w:gridSpan w:val="3"/>
          </w:tcPr>
          <w:p>
            <w:pPr>
              <w:spacing w:after="0"/>
              <w:rPr>
                <w:sz w:val="20"/>
                <w:szCs w:val="20"/>
                <w:color w:val="auto"/>
              </w:rPr>
            </w:pPr>
            <w:r>
              <w:rPr>
                <w:rFonts w:ascii="Arial" w:cs="Arial" w:eastAsia="Arial" w:hAnsi="Arial"/>
                <w:sz w:val="18"/>
                <w:szCs w:val="18"/>
                <w:b w:val="1"/>
                <w:bCs w:val="1"/>
                <w:color w:val="auto"/>
              </w:rPr>
              <w:t>(US$ 000)</w:t>
            </w:r>
          </w:p>
        </w:tc>
        <w:tc>
          <w:tcPr>
            <w:tcW w:w="980" w:type="dxa"/>
            <w:vAlign w:val="bottom"/>
            <w:gridSpan w:val="2"/>
          </w:tcPr>
          <w:p>
            <w:pPr>
              <w:ind w:left="200"/>
              <w:spacing w:after="0"/>
              <w:rPr>
                <w:sz w:val="20"/>
                <w:szCs w:val="20"/>
                <w:color w:val="auto"/>
              </w:rPr>
            </w:pPr>
            <w:r>
              <w:rPr>
                <w:rFonts w:ascii="Arial" w:cs="Arial" w:eastAsia="Arial" w:hAnsi="Arial"/>
                <w:sz w:val="18"/>
                <w:szCs w:val="18"/>
                <w:b w:val="1"/>
                <w:bCs w:val="1"/>
                <w:color w:val="auto"/>
              </w:rPr>
              <w:t>2Q13</w:t>
            </w:r>
          </w:p>
        </w:tc>
        <w:tc>
          <w:tcPr>
            <w:tcW w:w="800" w:type="dxa"/>
            <w:vAlign w:val="bottom"/>
          </w:tcPr>
          <w:p>
            <w:pPr>
              <w:jc w:val="right"/>
              <w:ind w:right="110"/>
              <w:spacing w:after="0"/>
              <w:rPr>
                <w:sz w:val="20"/>
                <w:szCs w:val="20"/>
                <w:color w:val="auto"/>
              </w:rPr>
            </w:pPr>
            <w:r>
              <w:rPr>
                <w:rFonts w:ascii="Arial" w:cs="Arial" w:eastAsia="Arial" w:hAnsi="Arial"/>
                <w:sz w:val="18"/>
                <w:szCs w:val="18"/>
                <w:b w:val="1"/>
                <w:bCs w:val="1"/>
                <w:color w:val="auto"/>
              </w:rPr>
              <w:t>1Q13</w:t>
            </w:r>
          </w:p>
        </w:tc>
        <w:tc>
          <w:tcPr>
            <w:tcW w:w="116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FFCC"/>
          </w:tcPr>
          <w:p>
            <w:pPr>
              <w:spacing w:after="0"/>
              <w:rPr>
                <w:sz w:val="20"/>
                <w:szCs w:val="20"/>
                <w:color w:val="auto"/>
              </w:rPr>
            </w:pPr>
            <w:r>
              <w:rPr>
                <w:rFonts w:ascii="Arial" w:cs="Arial" w:eastAsia="Arial" w:hAnsi="Arial"/>
                <w:sz w:val="18"/>
                <w:szCs w:val="18"/>
                <w:color w:val="auto"/>
              </w:rPr>
              <w:t>Underwriting result*</w:t>
            </w:r>
          </w:p>
        </w:tc>
        <w:tc>
          <w:tcPr>
            <w:tcW w:w="80" w:type="dxa"/>
            <w:vAlign w:val="bottom"/>
            <w:vMerge w:val="continue"/>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10,190</w:t>
            </w: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8,629</w:t>
            </w:r>
          </w:p>
        </w:tc>
        <w:tc>
          <w:tcPr>
            <w:tcW w:w="160" w:type="dxa"/>
            <w:vAlign w:val="bottom"/>
            <w:vMerge w:val="continue"/>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Financial income**</w:t>
            </w:r>
          </w:p>
        </w:tc>
        <w:tc>
          <w:tcPr>
            <w:tcW w:w="820" w:type="dxa"/>
            <w:vAlign w:val="bottom"/>
          </w:tcPr>
          <w:p>
            <w:pPr>
              <w:jc w:val="right"/>
              <w:spacing w:after="0"/>
              <w:rPr>
                <w:sz w:val="20"/>
                <w:szCs w:val="20"/>
                <w:color w:val="auto"/>
              </w:rPr>
            </w:pPr>
            <w:r>
              <w:rPr>
                <w:rFonts w:ascii="Arial" w:cs="Arial" w:eastAsia="Arial" w:hAnsi="Arial"/>
                <w:sz w:val="18"/>
                <w:szCs w:val="18"/>
                <w:color w:val="auto"/>
              </w:rPr>
              <w:t>-717</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189</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-479.4%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Operating expense</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12,199</w:t>
            </w: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9,799</w:t>
            </w:r>
          </w:p>
        </w:tc>
        <w:tc>
          <w:tcPr>
            <w:tcW w:w="116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Income before minority interest</w:t>
            </w:r>
          </w:p>
        </w:tc>
        <w:tc>
          <w:tcPr>
            <w:tcW w:w="820" w:type="dxa"/>
            <w:vAlign w:val="bottom"/>
          </w:tcPr>
          <w:p>
            <w:pPr>
              <w:jc w:val="right"/>
              <w:spacing w:after="0"/>
              <w:rPr>
                <w:sz w:val="20"/>
                <w:szCs w:val="20"/>
                <w:color w:val="auto"/>
              </w:rPr>
            </w:pPr>
            <w:r>
              <w:rPr>
                <w:rFonts w:ascii="Arial" w:cs="Arial" w:eastAsia="Arial" w:hAnsi="Arial"/>
                <w:sz w:val="18"/>
                <w:szCs w:val="18"/>
                <w:color w:val="auto"/>
              </w:rPr>
              <w:t>-2,222</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-938</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8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-1,839</w:t>
            </w:r>
          </w:p>
        </w:tc>
        <w:tc>
          <w:tcPr>
            <w:tcW w:w="160" w:type="dxa"/>
            <w:vAlign w:val="bottom"/>
            <w:tcBorders>
              <w:top w:val="single" w:sz="8" w:color="CCFFCC"/>
            </w:tcBorders>
            <w:shd w:val="clear" w:color="auto" w:fill="CCFFCC"/>
          </w:tcPr>
          <w:p>
            <w:pPr>
              <w:spacing w:after="0"/>
              <w:rPr>
                <w:sz w:val="18"/>
                <w:szCs w:val="18"/>
                <w:color w:val="auto"/>
              </w:rPr>
            </w:pPr>
          </w:p>
        </w:tc>
        <w:tc>
          <w:tcPr>
            <w:tcW w:w="8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-744</w:t>
            </w:r>
          </w:p>
        </w:tc>
        <w:tc>
          <w:tcPr>
            <w:tcW w:w="160" w:type="dxa"/>
            <w:vAlign w:val="bottom"/>
            <w:tcBorders>
              <w:top w:val="single" w:sz="8" w:color="CCFFCC"/>
            </w:tcBorders>
            <w:shd w:val="clear" w:color="auto" w:fill="CCFFCC"/>
          </w:tcPr>
          <w:p>
            <w:pPr>
              <w:spacing w:after="0"/>
              <w:rPr>
                <w:sz w:val="18"/>
                <w:szCs w:val="18"/>
                <w:color w:val="auto"/>
              </w:rPr>
            </w:pPr>
          </w:p>
        </w:tc>
        <w:tc>
          <w:tcPr>
            <w:tcW w:w="8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-147.2</w:t>
            </w:r>
          </w:p>
        </w:tc>
        <w:tc>
          <w:tcPr>
            <w:tcW w:w="18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87"/>
              </w:rPr>
              <w:t>%</w:t>
            </w:r>
          </w:p>
        </w:tc>
        <w:tc>
          <w:tcPr>
            <w:tcW w:w="0" w:type="dxa"/>
            <w:vAlign w:val="bottom"/>
          </w:tcPr>
          <w:p>
            <w:pPr>
              <w:spacing w:after="0"/>
              <w:rPr>
                <w:sz w:val="1"/>
                <w:szCs w:val="1"/>
                <w:color w:val="auto"/>
              </w:rPr>
            </w:pPr>
          </w:p>
        </w:tc>
      </w:tr>
    </w:tbl>
    <w:p>
      <w:pPr>
        <w:ind w:left="920" w:right="6260" w:hanging="5"/>
        <w:spacing w:after="0" w:line="261" w:lineRule="auto"/>
        <w:tabs>
          <w:tab w:leader="none" w:pos="1055"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Income from medical service - cost from medical service. ** Considers Other income.</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9" w:name="page40"/>
    <w:bookmarkEnd w:id="39"/>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VIII. Prima AFP</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Main financial indicators</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Quarter</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3"/>
          </w:tcPr>
          <w:p>
            <w:pPr>
              <w:ind w:left="580"/>
              <w:spacing w:after="0"/>
              <w:rPr>
                <w:sz w:val="20"/>
                <w:szCs w:val="20"/>
                <w:color w:val="auto"/>
              </w:rPr>
            </w:pPr>
            <w:r>
              <w:rPr>
                <w:rFonts w:ascii="Arial" w:cs="Arial" w:eastAsia="Arial" w:hAnsi="Arial"/>
                <w:sz w:val="14"/>
                <w:szCs w:val="14"/>
                <w:b w:val="1"/>
                <w:bCs w:val="1"/>
                <w:color w:val="auto"/>
                <w:w w:val="97"/>
              </w:rPr>
              <w:t>Change %</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gridSpan w:val="4"/>
          </w:tcPr>
          <w:p>
            <w:pPr>
              <w:jc w:val="right"/>
              <w:ind w:right="728"/>
              <w:spacing w:after="0"/>
              <w:rPr>
                <w:sz w:val="20"/>
                <w:szCs w:val="20"/>
                <w:color w:val="auto"/>
              </w:rPr>
            </w:pPr>
            <w:r>
              <w:rPr>
                <w:rFonts w:ascii="Arial" w:cs="Arial" w:eastAsia="Arial" w:hAnsi="Arial"/>
                <w:sz w:val="14"/>
                <w:szCs w:val="14"/>
                <w:b w:val="1"/>
                <w:bCs w:val="1"/>
                <w:color w:val="auto"/>
              </w:rPr>
              <w:t>Year to day</w:t>
            </w:r>
          </w:p>
        </w:tc>
        <w:tc>
          <w:tcPr>
            <w:tcW w:w="110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Change %</w:t>
            </w:r>
          </w:p>
        </w:tc>
      </w:tr>
      <w:tr>
        <w:trPr>
          <w:trHeight w:val="171"/>
        </w:trPr>
        <w:tc>
          <w:tcPr>
            <w:tcW w:w="3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(US$ thousand) (1)</w:t>
            </w:r>
          </w:p>
        </w:tc>
        <w:tc>
          <w:tcPr>
            <w:tcW w:w="10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2Q13</w:t>
            </w:r>
          </w:p>
        </w:tc>
        <w:tc>
          <w:tcPr>
            <w:tcW w:w="260" w:type="dxa"/>
            <w:vAlign w:val="bottom"/>
            <w:tcBorders>
              <w:bottom w:val="single" w:sz="8" w:color="CCFFCC"/>
            </w:tcBorders>
          </w:tcPr>
          <w:p>
            <w:pPr>
              <w:spacing w:after="0"/>
              <w:rPr>
                <w:sz w:val="14"/>
                <w:szCs w:val="14"/>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1Q13</w:t>
            </w:r>
          </w:p>
        </w:tc>
        <w:tc>
          <w:tcPr>
            <w:tcW w:w="26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2Q12</w:t>
            </w:r>
          </w:p>
        </w:tc>
        <w:tc>
          <w:tcPr>
            <w:tcW w:w="24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FFC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FFCC"/>
            </w:tcBorders>
          </w:tcPr>
          <w:p>
            <w:pPr>
              <w:spacing w:after="0"/>
              <w:rPr>
                <w:sz w:val="14"/>
                <w:szCs w:val="14"/>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Jun 13</w:t>
            </w:r>
          </w:p>
        </w:tc>
        <w:tc>
          <w:tcPr>
            <w:tcW w:w="26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Jun 12</w:t>
            </w:r>
          </w:p>
        </w:tc>
        <w:tc>
          <w:tcPr>
            <w:tcW w:w="260" w:type="dxa"/>
            <w:vAlign w:val="bottom"/>
            <w:tcBorders>
              <w:bottom w:val="single" w:sz="8" w:color="CCFFCC"/>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Jun 13 / Jun 12</w:t>
            </w:r>
          </w:p>
        </w:tc>
        <w:tc>
          <w:tcPr>
            <w:tcW w:w="140" w:type="dxa"/>
            <w:vAlign w:val="bottom"/>
            <w:tcBorders>
              <w:bottom w:val="single" w:sz="8" w:color="CCFFCC"/>
            </w:tcBorders>
          </w:tcPr>
          <w:p>
            <w:pPr>
              <w:spacing w:after="0"/>
              <w:rPr>
                <w:sz w:val="14"/>
                <w:szCs w:val="14"/>
                <w:color w:val="auto"/>
              </w:rPr>
            </w:pPr>
          </w:p>
        </w:tc>
      </w:tr>
      <w:tr>
        <w:trPr>
          <w:trHeight w:val="142"/>
        </w:trPr>
        <w:tc>
          <w:tcPr>
            <w:tcW w:w="302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Income from commissions</w:t>
            </w:r>
          </w:p>
        </w:tc>
        <w:tc>
          <w:tcPr>
            <w:tcW w:w="10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33,311</w:t>
            </w:r>
          </w:p>
        </w:tc>
        <w:tc>
          <w:tcPr>
            <w:tcW w:w="26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33,649</w:t>
            </w:r>
          </w:p>
        </w:tc>
        <w:tc>
          <w:tcPr>
            <w:tcW w:w="26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30,885</w:t>
            </w:r>
          </w:p>
        </w:tc>
        <w:tc>
          <w:tcPr>
            <w:tcW w:w="24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-1.0%</w:t>
            </w:r>
          </w:p>
        </w:tc>
        <w:tc>
          <w:tcPr>
            <w:tcW w:w="2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7.9%</w:t>
            </w:r>
          </w:p>
        </w:tc>
        <w:tc>
          <w:tcPr>
            <w:tcW w:w="7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66,961</w:t>
            </w:r>
          </w:p>
        </w:tc>
        <w:tc>
          <w:tcPr>
            <w:tcW w:w="26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60,462</w:t>
            </w:r>
          </w:p>
        </w:tc>
        <w:tc>
          <w:tcPr>
            <w:tcW w:w="26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10.7%</w:t>
            </w:r>
          </w:p>
        </w:tc>
      </w:tr>
      <w:tr>
        <w:trPr>
          <w:trHeight w:val="149"/>
        </w:trPr>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Administrative and sale expenses</w:t>
            </w:r>
          </w:p>
        </w:tc>
        <w:tc>
          <w:tcPr>
            <w:tcW w:w="10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(14,020)</w:t>
            </w:r>
          </w:p>
        </w:tc>
        <w:tc>
          <w:tcPr>
            <w:tcW w:w="102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(14,116)</w:t>
            </w:r>
          </w:p>
        </w:tc>
        <w:tc>
          <w:tcPr>
            <w:tcW w:w="102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(11,680)</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-0.7%</w:t>
            </w:r>
          </w:p>
        </w:tc>
        <w:tc>
          <w:tcPr>
            <w:tcW w:w="22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20.0%</w:t>
            </w:r>
          </w:p>
        </w:tc>
        <w:tc>
          <w:tcPr>
            <w:tcW w:w="102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(28,136)</w:t>
            </w:r>
          </w:p>
        </w:tc>
        <w:tc>
          <w:tcPr>
            <w:tcW w:w="104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(24,359)</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15.5%</w:t>
            </w:r>
          </w:p>
        </w:tc>
      </w:tr>
      <w:tr>
        <w:trPr>
          <w:trHeight w:val="149"/>
        </w:trPr>
        <w:tc>
          <w:tcPr>
            <w:tcW w:w="31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04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(1,759)</w:t>
            </w:r>
          </w:p>
        </w:tc>
        <w:tc>
          <w:tcPr>
            <w:tcW w:w="1020" w:type="dxa"/>
            <w:vAlign w:val="bottom"/>
            <w:gridSpan w:val="2"/>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(1,762)</w:t>
            </w:r>
          </w:p>
        </w:tc>
        <w:tc>
          <w:tcPr>
            <w:tcW w:w="1020" w:type="dxa"/>
            <w:vAlign w:val="bottom"/>
            <w:gridSpan w:val="2"/>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(2,097)</w:t>
            </w:r>
          </w:p>
        </w:tc>
        <w:tc>
          <w:tcPr>
            <w:tcW w:w="10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-0.2%</w:t>
            </w:r>
          </w:p>
        </w:tc>
        <w:tc>
          <w:tcPr>
            <w:tcW w:w="2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-16.1%</w:t>
            </w:r>
          </w:p>
        </w:tc>
        <w:tc>
          <w:tcPr>
            <w:tcW w:w="1020" w:type="dxa"/>
            <w:vAlign w:val="bottom"/>
            <w:gridSpan w:val="2"/>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(3,521)</w:t>
            </w:r>
          </w:p>
        </w:tc>
        <w:tc>
          <w:tcPr>
            <w:tcW w:w="1040" w:type="dxa"/>
            <w:vAlign w:val="bottom"/>
            <w:gridSpan w:val="2"/>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(4,162)</w:t>
            </w:r>
          </w:p>
        </w:tc>
        <w:tc>
          <w:tcPr>
            <w:tcW w:w="11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-15.4%</w:t>
            </w:r>
          </w:p>
        </w:tc>
      </w:tr>
      <w:tr>
        <w:trPr>
          <w:trHeight w:val="149"/>
        </w:trPr>
        <w:tc>
          <w:tcPr>
            <w:tcW w:w="31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b w:val="1"/>
                <w:bCs w:val="1"/>
                <w:color w:val="auto"/>
              </w:rPr>
              <w:t>17,532</w:t>
            </w:r>
          </w:p>
        </w:tc>
        <w:tc>
          <w:tcPr>
            <w:tcW w:w="1020" w:type="dxa"/>
            <w:vAlign w:val="bottom"/>
            <w:gridSpan w:val="2"/>
          </w:tcPr>
          <w:p>
            <w:pPr>
              <w:jc w:val="right"/>
              <w:ind w:right="188"/>
              <w:spacing w:after="0" w:line="149" w:lineRule="exact"/>
              <w:rPr>
                <w:sz w:val="20"/>
                <w:szCs w:val="20"/>
                <w:color w:val="auto"/>
              </w:rPr>
            </w:pPr>
            <w:r>
              <w:rPr>
                <w:rFonts w:ascii="Arial" w:cs="Arial" w:eastAsia="Arial" w:hAnsi="Arial"/>
                <w:sz w:val="14"/>
                <w:szCs w:val="14"/>
                <w:b w:val="1"/>
                <w:bCs w:val="1"/>
                <w:color w:val="auto"/>
              </w:rPr>
              <w:t>17,772</w:t>
            </w:r>
          </w:p>
        </w:tc>
        <w:tc>
          <w:tcPr>
            <w:tcW w:w="1020" w:type="dxa"/>
            <w:vAlign w:val="bottom"/>
            <w:gridSpan w:val="2"/>
          </w:tcPr>
          <w:p>
            <w:pPr>
              <w:jc w:val="right"/>
              <w:ind w:right="168"/>
              <w:spacing w:after="0" w:line="149" w:lineRule="exact"/>
              <w:rPr>
                <w:sz w:val="20"/>
                <w:szCs w:val="20"/>
                <w:color w:val="auto"/>
              </w:rPr>
            </w:pPr>
            <w:r>
              <w:rPr>
                <w:rFonts w:ascii="Arial" w:cs="Arial" w:eastAsia="Arial" w:hAnsi="Arial"/>
                <w:sz w:val="14"/>
                <w:szCs w:val="14"/>
                <w:b w:val="1"/>
                <w:bCs w:val="1"/>
                <w:color w:val="auto"/>
              </w:rPr>
              <w:t>17,108</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-1.3%</w:t>
            </w:r>
          </w:p>
        </w:tc>
        <w:tc>
          <w:tcPr>
            <w:tcW w:w="220" w:type="dxa"/>
            <w:vAlign w:val="bottom"/>
          </w:tcPr>
          <w:p>
            <w:pPr>
              <w:spacing w:after="0"/>
              <w:rPr>
                <w:sz w:val="12"/>
                <w:szCs w:val="12"/>
                <w:color w:val="auto"/>
              </w:rPr>
            </w:pP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2.5%</w:t>
            </w:r>
          </w:p>
        </w:tc>
        <w:tc>
          <w:tcPr>
            <w:tcW w:w="1020" w:type="dxa"/>
            <w:vAlign w:val="bottom"/>
            <w:gridSpan w:val="2"/>
          </w:tcPr>
          <w:p>
            <w:pPr>
              <w:jc w:val="right"/>
              <w:ind w:right="188"/>
              <w:spacing w:after="0" w:line="149" w:lineRule="exact"/>
              <w:rPr>
                <w:sz w:val="20"/>
                <w:szCs w:val="20"/>
                <w:color w:val="auto"/>
              </w:rPr>
            </w:pPr>
            <w:r>
              <w:rPr>
                <w:rFonts w:ascii="Arial" w:cs="Arial" w:eastAsia="Arial" w:hAnsi="Arial"/>
                <w:sz w:val="14"/>
                <w:szCs w:val="14"/>
                <w:b w:val="1"/>
                <w:bCs w:val="1"/>
                <w:color w:val="auto"/>
              </w:rPr>
              <w:t>35,304</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b w:val="1"/>
                <w:bCs w:val="1"/>
                <w:color w:val="auto"/>
              </w:rPr>
              <w:t>31,941</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10.5%</w:t>
            </w:r>
          </w:p>
        </w:tc>
      </w:tr>
      <w:tr>
        <w:trPr>
          <w:trHeight w:val="149"/>
        </w:trPr>
        <w:tc>
          <w:tcPr>
            <w:tcW w:w="31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Other income and expenses, net</w:t>
            </w:r>
          </w:p>
        </w:tc>
        <w:tc>
          <w:tcPr>
            <w:tcW w:w="104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(52)</w:t>
            </w:r>
          </w:p>
        </w:tc>
        <w:tc>
          <w:tcPr>
            <w:tcW w:w="1020" w:type="dxa"/>
            <w:vAlign w:val="bottom"/>
            <w:gridSpan w:val="2"/>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(218)</w:t>
            </w:r>
          </w:p>
        </w:tc>
        <w:tc>
          <w:tcPr>
            <w:tcW w:w="1020" w:type="dxa"/>
            <w:vAlign w:val="bottom"/>
            <w:gridSpan w:val="2"/>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(263)</w:t>
            </w:r>
          </w:p>
        </w:tc>
        <w:tc>
          <w:tcPr>
            <w:tcW w:w="10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-76.3%</w:t>
            </w:r>
          </w:p>
        </w:tc>
        <w:tc>
          <w:tcPr>
            <w:tcW w:w="2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-80.4%</w:t>
            </w:r>
          </w:p>
        </w:tc>
        <w:tc>
          <w:tcPr>
            <w:tcW w:w="1020" w:type="dxa"/>
            <w:vAlign w:val="bottom"/>
            <w:gridSpan w:val="2"/>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(270)</w:t>
            </w:r>
          </w:p>
        </w:tc>
        <w:tc>
          <w:tcPr>
            <w:tcW w:w="1040" w:type="dxa"/>
            <w:vAlign w:val="bottom"/>
            <w:gridSpan w:val="2"/>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(500)</w:t>
            </w:r>
          </w:p>
        </w:tc>
        <w:tc>
          <w:tcPr>
            <w:tcW w:w="11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-46.1%</w:t>
            </w:r>
          </w:p>
        </w:tc>
      </w:tr>
      <w:tr>
        <w:trPr>
          <w:trHeight w:val="149"/>
        </w:trPr>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Income tax</w:t>
            </w:r>
          </w:p>
        </w:tc>
        <w:tc>
          <w:tcPr>
            <w:tcW w:w="10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(4,416)</w:t>
            </w:r>
          </w:p>
        </w:tc>
        <w:tc>
          <w:tcPr>
            <w:tcW w:w="102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(5,719)</w:t>
            </w:r>
          </w:p>
        </w:tc>
        <w:tc>
          <w:tcPr>
            <w:tcW w:w="102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(5,297)</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-22.8%</w:t>
            </w:r>
          </w:p>
        </w:tc>
        <w:tc>
          <w:tcPr>
            <w:tcW w:w="22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-16.6%</w:t>
            </w:r>
          </w:p>
        </w:tc>
        <w:tc>
          <w:tcPr>
            <w:tcW w:w="102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(10,136)</w:t>
            </w:r>
          </w:p>
        </w:tc>
        <w:tc>
          <w:tcPr>
            <w:tcW w:w="104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(10,778)</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w:t>
            </w:r>
          </w:p>
        </w:tc>
      </w:tr>
      <w:tr>
        <w:trPr>
          <w:trHeight w:val="149"/>
        </w:trPr>
        <w:tc>
          <w:tcPr>
            <w:tcW w:w="31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income before translation results</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b w:val="1"/>
                <w:bCs w:val="1"/>
                <w:color w:val="auto"/>
              </w:rPr>
              <w:t>13,064</w:t>
            </w:r>
          </w:p>
        </w:tc>
        <w:tc>
          <w:tcPr>
            <w:tcW w:w="102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b w:val="1"/>
                <w:bCs w:val="1"/>
                <w:color w:val="auto"/>
              </w:rPr>
              <w:t>11,834</w:t>
            </w:r>
          </w:p>
        </w:tc>
        <w:tc>
          <w:tcPr>
            <w:tcW w:w="102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b w:val="1"/>
                <w:bCs w:val="1"/>
                <w:color w:val="auto"/>
              </w:rPr>
              <w:t>11,548</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b w:val="1"/>
                <w:bCs w:val="1"/>
                <w:color w:val="auto"/>
              </w:rPr>
              <w:t>10.4%</w:t>
            </w:r>
          </w:p>
        </w:tc>
        <w:tc>
          <w:tcPr>
            <w:tcW w:w="2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b w:val="1"/>
                <w:bCs w:val="1"/>
                <w:color w:val="auto"/>
              </w:rPr>
              <w:t>13.1%</w:t>
            </w:r>
          </w:p>
        </w:tc>
        <w:tc>
          <w:tcPr>
            <w:tcW w:w="102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b w:val="1"/>
                <w:bCs w:val="1"/>
                <w:color w:val="auto"/>
              </w:rPr>
              <w:t>24,898</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b w:val="1"/>
                <w:bCs w:val="1"/>
                <w:color w:val="auto"/>
              </w:rPr>
              <w:t>20,663</w:t>
            </w:r>
          </w:p>
        </w:tc>
        <w:tc>
          <w:tcPr>
            <w:tcW w:w="11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20.5%</w:t>
            </w:r>
          </w:p>
        </w:tc>
      </w:tr>
      <w:tr>
        <w:trPr>
          <w:trHeight w:val="149"/>
        </w:trPr>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Translations results and deferred liabilities</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1,308</w:t>
            </w:r>
          </w:p>
        </w:tc>
        <w:tc>
          <w:tcPr>
            <w:tcW w:w="102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(218)</w:t>
            </w:r>
          </w:p>
        </w:tc>
        <w:tc>
          <w:tcPr>
            <w:tcW w:w="102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(104)</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-701.3%</w:t>
            </w:r>
          </w:p>
        </w:tc>
        <w:tc>
          <w:tcPr>
            <w:tcW w:w="22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-1353.8%</w:t>
            </w:r>
          </w:p>
        </w:tc>
        <w:tc>
          <w:tcPr>
            <w:tcW w:w="102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1,091</w:t>
            </w:r>
          </w:p>
        </w:tc>
        <w:tc>
          <w:tcPr>
            <w:tcW w:w="104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(49)</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-2307.8%</w:t>
            </w:r>
          </w:p>
        </w:tc>
      </w:tr>
      <w:tr>
        <w:trPr>
          <w:trHeight w:val="162"/>
        </w:trPr>
        <w:tc>
          <w:tcPr>
            <w:tcW w:w="3120" w:type="dxa"/>
            <w:vAlign w:val="bottom"/>
            <w:gridSpan w:val="2"/>
            <w:shd w:val="clear" w:color="auto" w:fill="CCFFCC"/>
          </w:tcPr>
          <w:p>
            <w:pPr>
              <w:spacing w:after="0"/>
              <w:rPr>
                <w:sz w:val="20"/>
                <w:szCs w:val="20"/>
                <w:color w:val="auto"/>
              </w:rPr>
            </w:pPr>
            <w:r>
              <w:rPr>
                <w:rFonts w:ascii="Arial" w:cs="Arial" w:eastAsia="Arial" w:hAnsi="Arial"/>
                <w:sz w:val="14"/>
                <w:szCs w:val="14"/>
                <w:b w:val="1"/>
                <w:bCs w:val="1"/>
                <w:color w:val="auto"/>
              </w:rPr>
              <w:t>Net income</w:t>
            </w:r>
          </w:p>
        </w:tc>
        <w:tc>
          <w:tcPr>
            <w:tcW w:w="1040" w:type="dxa"/>
            <w:vAlign w:val="bottom"/>
            <w:gridSpan w:val="2"/>
            <w:shd w:val="clear" w:color="auto" w:fill="CCFFCC"/>
          </w:tcPr>
          <w:p>
            <w:pPr>
              <w:jc w:val="right"/>
              <w:ind w:right="188"/>
              <w:spacing w:after="0"/>
              <w:rPr>
                <w:sz w:val="20"/>
                <w:szCs w:val="20"/>
                <w:color w:val="auto"/>
              </w:rPr>
            </w:pPr>
            <w:r>
              <w:rPr>
                <w:rFonts w:ascii="Arial" w:cs="Arial" w:eastAsia="Arial" w:hAnsi="Arial"/>
                <w:sz w:val="14"/>
                <w:szCs w:val="14"/>
                <w:b w:val="1"/>
                <w:bCs w:val="1"/>
                <w:color w:val="auto"/>
              </w:rPr>
              <w:t>14,372</w:t>
            </w:r>
          </w:p>
        </w:tc>
        <w:tc>
          <w:tcPr>
            <w:tcW w:w="1020" w:type="dxa"/>
            <w:vAlign w:val="bottom"/>
            <w:gridSpan w:val="2"/>
            <w:shd w:val="clear" w:color="auto" w:fill="CCFFCC"/>
          </w:tcPr>
          <w:p>
            <w:pPr>
              <w:jc w:val="right"/>
              <w:ind w:right="188"/>
              <w:spacing w:after="0"/>
              <w:rPr>
                <w:sz w:val="20"/>
                <w:szCs w:val="20"/>
                <w:color w:val="auto"/>
              </w:rPr>
            </w:pPr>
            <w:r>
              <w:rPr>
                <w:rFonts w:ascii="Arial" w:cs="Arial" w:eastAsia="Arial" w:hAnsi="Arial"/>
                <w:sz w:val="14"/>
                <w:szCs w:val="14"/>
                <w:b w:val="1"/>
                <w:bCs w:val="1"/>
                <w:color w:val="auto"/>
              </w:rPr>
              <w:t>11,617</w:t>
            </w:r>
          </w:p>
        </w:tc>
        <w:tc>
          <w:tcPr>
            <w:tcW w:w="1020" w:type="dxa"/>
            <w:vAlign w:val="bottom"/>
            <w:gridSpan w:val="2"/>
            <w:shd w:val="clear" w:color="auto" w:fill="CCFFCC"/>
          </w:tcPr>
          <w:p>
            <w:pPr>
              <w:jc w:val="right"/>
              <w:ind w:right="168"/>
              <w:spacing w:after="0"/>
              <w:rPr>
                <w:sz w:val="20"/>
                <w:szCs w:val="20"/>
                <w:color w:val="auto"/>
              </w:rPr>
            </w:pPr>
            <w:r>
              <w:rPr>
                <w:rFonts w:ascii="Arial" w:cs="Arial" w:eastAsia="Arial" w:hAnsi="Arial"/>
                <w:sz w:val="14"/>
                <w:szCs w:val="14"/>
                <w:b w:val="1"/>
                <w:bCs w:val="1"/>
                <w:color w:val="auto"/>
              </w:rPr>
              <w:t>11,444</w:t>
            </w:r>
          </w:p>
        </w:tc>
        <w:tc>
          <w:tcPr>
            <w:tcW w:w="104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23.7%</w:t>
            </w:r>
          </w:p>
        </w:tc>
        <w:tc>
          <w:tcPr>
            <w:tcW w:w="22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25.6%</w:t>
            </w:r>
          </w:p>
        </w:tc>
        <w:tc>
          <w:tcPr>
            <w:tcW w:w="1020" w:type="dxa"/>
            <w:vAlign w:val="bottom"/>
            <w:gridSpan w:val="2"/>
            <w:shd w:val="clear" w:color="auto" w:fill="CCFFCC"/>
          </w:tcPr>
          <w:p>
            <w:pPr>
              <w:jc w:val="right"/>
              <w:ind w:right="188"/>
              <w:spacing w:after="0"/>
              <w:rPr>
                <w:sz w:val="20"/>
                <w:szCs w:val="20"/>
                <w:color w:val="auto"/>
              </w:rPr>
            </w:pPr>
            <w:r>
              <w:rPr>
                <w:rFonts w:ascii="Arial" w:cs="Arial" w:eastAsia="Arial" w:hAnsi="Arial"/>
                <w:sz w:val="14"/>
                <w:szCs w:val="14"/>
                <w:b w:val="1"/>
                <w:bCs w:val="1"/>
                <w:color w:val="auto"/>
              </w:rPr>
              <w:t>25,989</w:t>
            </w:r>
          </w:p>
        </w:tc>
        <w:tc>
          <w:tcPr>
            <w:tcW w:w="1040" w:type="dxa"/>
            <w:vAlign w:val="bottom"/>
            <w:gridSpan w:val="2"/>
            <w:shd w:val="clear" w:color="auto" w:fill="CCFFCC"/>
          </w:tcPr>
          <w:p>
            <w:pPr>
              <w:jc w:val="right"/>
              <w:ind w:right="188"/>
              <w:spacing w:after="0"/>
              <w:rPr>
                <w:sz w:val="20"/>
                <w:szCs w:val="20"/>
                <w:color w:val="auto"/>
              </w:rPr>
            </w:pPr>
            <w:r>
              <w:rPr>
                <w:rFonts w:ascii="Arial" w:cs="Arial" w:eastAsia="Arial" w:hAnsi="Arial"/>
                <w:sz w:val="14"/>
                <w:szCs w:val="14"/>
                <w:b w:val="1"/>
                <w:bCs w:val="1"/>
                <w:color w:val="auto"/>
              </w:rPr>
              <w:t>20,614</w:t>
            </w:r>
          </w:p>
        </w:tc>
        <w:tc>
          <w:tcPr>
            <w:tcW w:w="11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26.1%</w:t>
            </w:r>
          </w:p>
        </w:tc>
      </w:tr>
      <w:tr>
        <w:trPr>
          <w:trHeight w:val="142"/>
        </w:trPr>
        <w:tc>
          <w:tcPr>
            <w:tcW w:w="3120" w:type="dxa"/>
            <w:vAlign w:val="bottom"/>
            <w:tcBorders>
              <w:bottom w:val="single" w:sz="8" w:color="CCFFCC"/>
            </w:tcBorders>
            <w:gridSpan w:val="2"/>
          </w:tcPr>
          <w:p>
            <w:pPr>
              <w:spacing w:after="0" w:line="142" w:lineRule="exact"/>
              <w:rPr>
                <w:sz w:val="20"/>
                <w:szCs w:val="20"/>
                <w:color w:val="auto"/>
              </w:rPr>
            </w:pPr>
            <w:r>
              <w:rPr>
                <w:rFonts w:ascii="Arial" w:cs="Arial" w:eastAsia="Arial" w:hAnsi="Arial"/>
                <w:sz w:val="14"/>
                <w:szCs w:val="14"/>
                <w:b w:val="1"/>
                <w:bCs w:val="1"/>
                <w:color w:val="auto"/>
              </w:rPr>
              <w:t>ROAE (2)</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38.8</w:t>
            </w:r>
          </w:p>
        </w:tc>
        <w:tc>
          <w:tcPr>
            <w:tcW w:w="260" w:type="dxa"/>
            <w:vAlign w:val="bottom"/>
            <w:tcBorders>
              <w:bottom w:val="single" w:sz="8" w:color="CCFFCC"/>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29.6</w:t>
            </w:r>
          </w:p>
        </w:tc>
        <w:tc>
          <w:tcPr>
            <w:tcW w:w="260" w:type="dxa"/>
            <w:vAlign w:val="bottom"/>
            <w:tcBorders>
              <w:bottom w:val="single" w:sz="8" w:color="CCFFCC"/>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33.8</w:t>
            </w:r>
          </w:p>
        </w:tc>
        <w:tc>
          <w:tcPr>
            <w:tcW w:w="240" w:type="dxa"/>
            <w:vAlign w:val="bottom"/>
            <w:tcBorders>
              <w:bottom w:val="single" w:sz="8" w:color="CCFFCC"/>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31.0</w:t>
            </w:r>
          </w:p>
        </w:tc>
        <w:tc>
          <w:tcPr>
            <w:tcW w:w="260" w:type="dxa"/>
            <w:vAlign w:val="bottom"/>
            <w:tcBorders>
              <w:bottom w:val="single" w:sz="8" w:color="CCFFCC"/>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2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14.9</w:t>
            </w:r>
          </w:p>
        </w:tc>
        <w:tc>
          <w:tcPr>
            <w:tcW w:w="260" w:type="dxa"/>
            <w:vAlign w:val="bottom"/>
            <w:tcBorders>
              <w:bottom w:val="single" w:sz="8" w:color="CCFFCC"/>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33.5</w:t>
            </w:r>
          </w:p>
        </w:tc>
        <w:tc>
          <w:tcPr>
            <w:tcW w:w="260" w:type="dxa"/>
            <w:vAlign w:val="bottom"/>
            <w:tcBorders>
              <w:bottom w:val="single" w:sz="8" w:color="CCFFCC"/>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24.1</w:t>
            </w:r>
          </w:p>
        </w:tc>
        <w:tc>
          <w:tcPr>
            <w:tcW w:w="260" w:type="dxa"/>
            <w:vAlign w:val="bottom"/>
            <w:tcBorders>
              <w:bottom w:val="single" w:sz="8" w:color="CCFFCC"/>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9.5</w:t>
            </w:r>
          </w:p>
        </w:tc>
        <w:tc>
          <w:tcPr>
            <w:tcW w:w="140" w:type="dxa"/>
            <w:vAlign w:val="bottom"/>
            <w:tcBorders>
              <w:bottom w:val="single" w:sz="8" w:color="CCFFCC"/>
            </w:tcBorders>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r>
      <w:tr>
        <w:trPr>
          <w:trHeight w:val="142"/>
        </w:trPr>
        <w:tc>
          <w:tcPr>
            <w:tcW w:w="3120" w:type="dxa"/>
            <w:vAlign w:val="bottom"/>
            <w:gridSpan w:val="2"/>
            <w:shd w:val="clear" w:color="auto" w:fill="CCFFCC"/>
          </w:tcPr>
          <w:p>
            <w:pPr>
              <w:spacing w:after="0" w:line="142" w:lineRule="exact"/>
              <w:rPr>
                <w:sz w:val="20"/>
                <w:szCs w:val="20"/>
                <w:color w:val="auto"/>
              </w:rPr>
            </w:pPr>
            <w:r>
              <w:rPr>
                <w:rFonts w:ascii="Arial" w:cs="Arial" w:eastAsia="Arial" w:hAnsi="Arial"/>
                <w:sz w:val="14"/>
                <w:szCs w:val="14"/>
                <w:color w:val="auto"/>
              </w:rPr>
              <w:t>Total assets</w:t>
            </w: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264,371</w:t>
            </w:r>
          </w:p>
        </w:tc>
        <w:tc>
          <w:tcPr>
            <w:tcW w:w="26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277,640</w:t>
            </w:r>
          </w:p>
        </w:tc>
        <w:tc>
          <w:tcPr>
            <w:tcW w:w="26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263,672</w:t>
            </w:r>
          </w:p>
        </w:tc>
        <w:tc>
          <w:tcPr>
            <w:tcW w:w="24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-4.8%</w:t>
            </w:r>
          </w:p>
        </w:tc>
        <w:tc>
          <w:tcPr>
            <w:tcW w:w="2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0.3%</w:t>
            </w:r>
          </w:p>
        </w:tc>
        <w:tc>
          <w:tcPr>
            <w:tcW w:w="7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r>
      <w:tr>
        <w:trPr>
          <w:trHeight w:val="149"/>
        </w:trPr>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Total liabilities</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112,780</w:t>
            </w:r>
          </w:p>
        </w:tc>
        <w:tc>
          <w:tcPr>
            <w:tcW w:w="102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133,232</w:t>
            </w:r>
          </w:p>
        </w:tc>
        <w:tc>
          <w:tcPr>
            <w:tcW w:w="10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90,302</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-15.4%</w:t>
            </w:r>
          </w:p>
        </w:tc>
        <w:tc>
          <w:tcPr>
            <w:tcW w:w="22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24.9%</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62"/>
        </w:trPr>
        <w:tc>
          <w:tcPr>
            <w:tcW w:w="312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Net shareholders' equity</w:t>
            </w: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151,591</w:t>
            </w:r>
          </w:p>
        </w:tc>
        <w:tc>
          <w:tcPr>
            <w:tcW w:w="260" w:type="dxa"/>
            <w:vAlign w:val="bottom"/>
            <w:shd w:val="clear" w:color="auto" w:fill="CCFFCC"/>
          </w:tcPr>
          <w:p>
            <w:pPr>
              <w:spacing w:after="0"/>
              <w:rPr>
                <w:sz w:val="14"/>
                <w:szCs w:val="14"/>
                <w:color w:val="auto"/>
              </w:rPr>
            </w:pPr>
          </w:p>
        </w:tc>
        <w:tc>
          <w:tcPr>
            <w:tcW w:w="1020" w:type="dxa"/>
            <w:vAlign w:val="bottom"/>
            <w:gridSpan w:val="2"/>
            <w:shd w:val="clear" w:color="auto" w:fill="CCFFCC"/>
          </w:tcPr>
          <w:p>
            <w:pPr>
              <w:jc w:val="right"/>
              <w:ind w:right="188"/>
              <w:spacing w:after="0"/>
              <w:rPr>
                <w:sz w:val="20"/>
                <w:szCs w:val="20"/>
                <w:color w:val="auto"/>
              </w:rPr>
            </w:pPr>
            <w:r>
              <w:rPr>
                <w:rFonts w:ascii="Arial" w:cs="Arial" w:eastAsia="Arial" w:hAnsi="Arial"/>
                <w:sz w:val="14"/>
                <w:szCs w:val="14"/>
                <w:color w:val="auto"/>
              </w:rPr>
              <w:t>144,408</w:t>
            </w:r>
          </w:p>
        </w:tc>
        <w:tc>
          <w:tcPr>
            <w:tcW w:w="1020" w:type="dxa"/>
            <w:vAlign w:val="bottom"/>
            <w:gridSpan w:val="2"/>
            <w:shd w:val="clear" w:color="auto" w:fill="CCFFCC"/>
          </w:tcPr>
          <w:p>
            <w:pPr>
              <w:jc w:val="right"/>
              <w:ind w:right="168"/>
              <w:spacing w:after="0"/>
              <w:rPr>
                <w:sz w:val="20"/>
                <w:szCs w:val="20"/>
                <w:color w:val="auto"/>
              </w:rPr>
            </w:pPr>
            <w:r>
              <w:rPr>
                <w:rFonts w:ascii="Arial" w:cs="Arial" w:eastAsia="Arial" w:hAnsi="Arial"/>
                <w:sz w:val="14"/>
                <w:szCs w:val="14"/>
                <w:color w:val="auto"/>
              </w:rPr>
              <w:t>173,370</w:t>
            </w:r>
          </w:p>
        </w:tc>
        <w:tc>
          <w:tcPr>
            <w:tcW w:w="104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5.0%</w:t>
            </w:r>
          </w:p>
        </w:tc>
        <w:tc>
          <w:tcPr>
            <w:tcW w:w="22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-12.6%</w:t>
            </w:r>
          </w:p>
        </w:tc>
        <w:tc>
          <w:tcPr>
            <w:tcW w:w="7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6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ind w:left="260" w:hanging="252"/>
        <w:spacing w:after="0"/>
        <w:tabs>
          <w:tab w:leader="none" w:pos="2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IFRS.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Net shareholder's equity include unrealized gains from Prima's investment portfolio.</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2Q13, Prima AFP’s net income was US$ 14.4 million, which tops the figure QoQ (US$11.6 million) by 23.7%. It is important to note that the increase in net income this quarter includes the impact of the devaluation of the Nuevo Sol, which is reflected in the income statement lines and the balance sheet (generated primarily in Nuevos Soles). In this scenario, the income tax burden fell (under local accounting standards) while the translation result reflected earnings of US$ 1.3 million.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is important to emphasize that income from commissions this quarter was affected by the following factors: (i) an increase of 6.1% was recorded in income in Nuevos Soles with regard to 1Q13 (local accounting); this same growth, calculated in US Dollars, was equivalent to 3.1% due to local currency devaluation; and (ii) the application IAS18, which led to deferred income for US$ 1.4 million. In IFRS, these effects translated into a 1.0% drop in fee income.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end of 2Q13, administrative and sales expenses remained stable (-0.7% QaQ) with regard to the previous quarter; nevertheless an increase was reported in expenses for third party services that were associated with the process to select a commission scheme (one-time expenses); these expenses were in turn offset by a decrease in charges for administrative personnel.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table below contains the primary indicators for Prima AFP and the SPP:</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Arial" w:cs="Arial" w:eastAsia="Arial" w:hAnsi="Arial"/>
                <w:sz w:val="16"/>
                <w:szCs w:val="16"/>
                <w:b w:val="1"/>
                <w:bCs w:val="1"/>
                <w:color w:val="auto"/>
              </w:rPr>
              <w:t>PRIMA</w:t>
            </w:r>
          </w:p>
        </w:tc>
        <w:tc>
          <w:tcPr>
            <w:tcW w:w="104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System</w:t>
            </w: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Share</w:t>
            </w:r>
          </w:p>
        </w:tc>
        <w:tc>
          <w:tcPr>
            <w:tcW w:w="10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PRIMA</w:t>
            </w:r>
          </w:p>
        </w:tc>
        <w:tc>
          <w:tcPr>
            <w:tcW w:w="10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System</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Share</w:t>
            </w:r>
          </w:p>
        </w:tc>
      </w:tr>
      <w:tr>
        <w:trPr>
          <w:trHeight w:val="213"/>
        </w:trPr>
        <w:tc>
          <w:tcPr>
            <w:tcW w:w="52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Quarterly main indicators and market share</w:t>
            </w:r>
          </w:p>
        </w:tc>
        <w:tc>
          <w:tcPr>
            <w:tcW w:w="120" w:type="dxa"/>
            <w:vAlign w:val="bottom"/>
            <w:tcBorders>
              <w:bottom w:val="single" w:sz="8" w:color="CCFFCC"/>
            </w:tcBorders>
          </w:tcPr>
          <w:p>
            <w:pPr>
              <w:spacing w:after="0"/>
              <w:rPr>
                <w:sz w:val="18"/>
                <w:szCs w:val="18"/>
                <w:color w:val="auto"/>
              </w:rPr>
            </w:pPr>
          </w:p>
        </w:tc>
        <w:tc>
          <w:tcPr>
            <w:tcW w:w="8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2Q13</w:t>
            </w:r>
          </w:p>
        </w:tc>
        <w:tc>
          <w:tcPr>
            <w:tcW w:w="240" w:type="dxa"/>
            <w:vAlign w:val="bottom"/>
            <w:tcBorders>
              <w:bottom w:val="single" w:sz="8" w:color="CCFFCC"/>
            </w:tcBorders>
          </w:tcPr>
          <w:p>
            <w:pPr>
              <w:spacing w:after="0"/>
              <w:rPr>
                <w:sz w:val="18"/>
                <w:szCs w:val="18"/>
                <w:color w:val="auto"/>
              </w:rPr>
            </w:pPr>
          </w:p>
        </w:tc>
        <w:tc>
          <w:tcPr>
            <w:tcW w:w="8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2Q13</w:t>
            </w:r>
          </w:p>
        </w:tc>
        <w:tc>
          <w:tcPr>
            <w:tcW w:w="240" w:type="dxa"/>
            <w:vAlign w:val="bottom"/>
            <w:tcBorders>
              <w:bottom w:val="single" w:sz="8" w:color="CCFFCC"/>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2Q13 %</w:t>
            </w:r>
          </w:p>
        </w:tc>
        <w:tc>
          <w:tcPr>
            <w:tcW w:w="240" w:type="dxa"/>
            <w:vAlign w:val="bottom"/>
            <w:tcBorders>
              <w:bottom w:val="single" w:sz="8" w:color="CCFFCC"/>
            </w:tcBorders>
          </w:tcPr>
          <w:p>
            <w:pPr>
              <w:spacing w:after="0"/>
              <w:rPr>
                <w:sz w:val="18"/>
                <w:szCs w:val="18"/>
                <w:color w:val="auto"/>
              </w:rPr>
            </w:pPr>
          </w:p>
        </w:tc>
        <w:tc>
          <w:tcPr>
            <w:tcW w:w="7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1Q13</w:t>
            </w:r>
          </w:p>
        </w:tc>
        <w:tc>
          <w:tcPr>
            <w:tcW w:w="220" w:type="dxa"/>
            <w:vAlign w:val="bottom"/>
            <w:tcBorders>
              <w:bottom w:val="single" w:sz="8" w:color="CCFFCC"/>
            </w:tcBorders>
          </w:tcPr>
          <w:p>
            <w:pPr>
              <w:spacing w:after="0"/>
              <w:rPr>
                <w:sz w:val="18"/>
                <w:szCs w:val="18"/>
                <w:color w:val="auto"/>
              </w:rPr>
            </w:pPr>
          </w:p>
        </w:tc>
        <w:tc>
          <w:tcPr>
            <w:tcW w:w="7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1Q13</w:t>
            </w:r>
          </w:p>
        </w:tc>
        <w:tc>
          <w:tcPr>
            <w:tcW w:w="220" w:type="dxa"/>
            <w:vAlign w:val="bottom"/>
            <w:tcBorders>
              <w:bottom w:val="single" w:sz="8" w:color="CCFFCC"/>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1Q13 %</w:t>
            </w:r>
          </w:p>
        </w:tc>
        <w:tc>
          <w:tcPr>
            <w:tcW w:w="140" w:type="dxa"/>
            <w:vAlign w:val="bottom"/>
            <w:tcBorders>
              <w:bottom w:val="single" w:sz="8" w:color="CCFFCC"/>
            </w:tcBorders>
          </w:tcPr>
          <w:p>
            <w:pPr>
              <w:spacing w:after="0"/>
              <w:rPr>
                <w:sz w:val="18"/>
                <w:szCs w:val="18"/>
                <w:color w:val="auto"/>
              </w:rPr>
            </w:pPr>
          </w:p>
        </w:tc>
      </w:tr>
      <w:tr>
        <w:trPr>
          <w:trHeight w:val="199"/>
        </w:trPr>
        <w:tc>
          <w:tcPr>
            <w:tcW w:w="5260" w:type="dxa"/>
            <w:vAlign w:val="bottom"/>
            <w:shd w:val="clear" w:color="auto" w:fill="CCFFCC"/>
          </w:tcPr>
          <w:p>
            <w:pPr>
              <w:spacing w:after="0"/>
              <w:rPr>
                <w:sz w:val="20"/>
                <w:szCs w:val="20"/>
                <w:color w:val="auto"/>
              </w:rPr>
            </w:pPr>
            <w:r>
              <w:rPr>
                <w:rFonts w:ascii="Arial" w:cs="Arial" w:eastAsia="Arial" w:hAnsi="Arial"/>
                <w:sz w:val="16"/>
                <w:szCs w:val="16"/>
                <w:color w:val="auto"/>
              </w:rPr>
              <w:t>Affiliates</w:t>
            </w:r>
          </w:p>
        </w:tc>
        <w:tc>
          <w:tcPr>
            <w:tcW w:w="12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1,476,493</w:t>
            </w:r>
          </w:p>
        </w:tc>
        <w:tc>
          <w:tcPr>
            <w:tcW w:w="240" w:type="dxa"/>
            <w:vAlign w:val="bottom"/>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5,401,384</w:t>
            </w:r>
          </w:p>
        </w:tc>
        <w:tc>
          <w:tcPr>
            <w:tcW w:w="240" w:type="dxa"/>
            <w:vAlign w:val="bottom"/>
            <w:shd w:val="clear" w:color="auto" w:fill="CCFFCC"/>
          </w:tcPr>
          <w:p>
            <w:pPr>
              <w:spacing w:after="0"/>
              <w:rPr>
                <w:sz w:val="17"/>
                <w:szCs w:val="17"/>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27.3%</w:t>
            </w:r>
          </w:p>
        </w:tc>
        <w:tc>
          <w:tcPr>
            <w:tcW w:w="7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1,416,353</w:t>
            </w:r>
          </w:p>
        </w:tc>
        <w:tc>
          <w:tcPr>
            <w:tcW w:w="220" w:type="dxa"/>
            <w:vAlign w:val="bottom"/>
            <w:shd w:val="clear" w:color="auto" w:fill="CCFFCC"/>
          </w:tcPr>
          <w:p>
            <w:pPr>
              <w:spacing w:after="0"/>
              <w:rPr>
                <w:sz w:val="17"/>
                <w:szCs w:val="17"/>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5,341,222</w:t>
            </w:r>
          </w:p>
        </w:tc>
        <w:tc>
          <w:tcPr>
            <w:tcW w:w="220" w:type="dxa"/>
            <w:vAlign w:val="bottom"/>
            <w:shd w:val="clear" w:color="auto" w:fill="CCFFCC"/>
          </w:tcPr>
          <w:p>
            <w:pPr>
              <w:spacing w:after="0"/>
              <w:rPr>
                <w:sz w:val="17"/>
                <w:szCs w:val="17"/>
                <w:color w:val="auto"/>
              </w:rPr>
            </w:pP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26.5%</w:t>
            </w:r>
          </w:p>
        </w:tc>
      </w:tr>
      <w:tr>
        <w:trPr>
          <w:trHeight w:val="203"/>
        </w:trPr>
        <w:tc>
          <w:tcPr>
            <w:tcW w:w="5380" w:type="dxa"/>
            <w:vAlign w:val="bottom"/>
            <w:gridSpan w:val="2"/>
          </w:tcPr>
          <w:p>
            <w:pPr>
              <w:spacing w:after="0"/>
              <w:rPr>
                <w:sz w:val="20"/>
                <w:szCs w:val="20"/>
                <w:color w:val="auto"/>
              </w:rPr>
            </w:pPr>
            <w:r>
              <w:rPr>
                <w:rFonts w:ascii="Arial" w:cs="Arial" w:eastAsia="Arial" w:hAnsi="Arial"/>
                <w:sz w:val="16"/>
                <w:szCs w:val="16"/>
                <w:color w:val="auto"/>
              </w:rPr>
              <w:t>New affiliations (1)</w:t>
            </w:r>
          </w:p>
        </w:tc>
        <w:tc>
          <w:tcPr>
            <w:tcW w:w="820" w:type="dxa"/>
            <w:vAlign w:val="bottom"/>
          </w:tcPr>
          <w:p>
            <w:pPr>
              <w:jc w:val="right"/>
              <w:spacing w:after="0"/>
              <w:rPr>
                <w:sz w:val="20"/>
                <w:szCs w:val="20"/>
                <w:color w:val="auto"/>
              </w:rPr>
            </w:pPr>
            <w:r>
              <w:rPr>
                <w:rFonts w:ascii="Arial" w:cs="Arial" w:eastAsia="Arial" w:hAnsi="Arial"/>
                <w:sz w:val="16"/>
                <w:szCs w:val="16"/>
                <w:color w:val="auto"/>
              </w:rPr>
              <w:t>60,788</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65,141</w:t>
            </w:r>
          </w:p>
        </w:tc>
        <w:tc>
          <w:tcPr>
            <w:tcW w:w="24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93.3%</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78,721</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78,721</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100.0%</w:t>
            </w:r>
          </w:p>
        </w:tc>
      </w:tr>
      <w:tr>
        <w:trPr>
          <w:trHeight w:val="203"/>
        </w:trPr>
        <w:tc>
          <w:tcPr>
            <w:tcW w:w="53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Funds under management US$ million</w:t>
            </w: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10,694</w:t>
            </w:r>
          </w:p>
        </w:tc>
        <w:tc>
          <w:tcPr>
            <w:tcW w:w="240" w:type="dxa"/>
            <w:vAlign w:val="bottom"/>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34,408</w:t>
            </w:r>
          </w:p>
        </w:tc>
        <w:tc>
          <w:tcPr>
            <w:tcW w:w="240" w:type="dxa"/>
            <w:vAlign w:val="bottom"/>
            <w:shd w:val="clear" w:color="auto" w:fill="CCFFCC"/>
          </w:tcPr>
          <w:p>
            <w:pPr>
              <w:spacing w:after="0"/>
              <w:rPr>
                <w:sz w:val="17"/>
                <w:szCs w:val="17"/>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31.1%</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12,241</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38,759</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31.58%</w:t>
            </w:r>
          </w:p>
        </w:tc>
      </w:tr>
      <w:tr>
        <w:trPr>
          <w:trHeight w:val="203"/>
        </w:trPr>
        <w:tc>
          <w:tcPr>
            <w:tcW w:w="5380" w:type="dxa"/>
            <w:vAlign w:val="bottom"/>
            <w:gridSpan w:val="2"/>
          </w:tcPr>
          <w:p>
            <w:pPr>
              <w:spacing w:after="0"/>
              <w:rPr>
                <w:sz w:val="20"/>
                <w:szCs w:val="20"/>
                <w:color w:val="auto"/>
              </w:rPr>
            </w:pPr>
            <w:r>
              <w:rPr>
                <w:rFonts w:ascii="Arial" w:cs="Arial" w:eastAsia="Arial" w:hAnsi="Arial"/>
                <w:sz w:val="16"/>
                <w:szCs w:val="16"/>
                <w:color w:val="auto"/>
              </w:rPr>
              <w:t>Collections US$ million (1)</w:t>
            </w:r>
          </w:p>
        </w:tc>
        <w:tc>
          <w:tcPr>
            <w:tcW w:w="820" w:type="dxa"/>
            <w:vAlign w:val="bottom"/>
          </w:tcPr>
          <w:p>
            <w:pPr>
              <w:jc w:val="right"/>
              <w:spacing w:after="0"/>
              <w:rPr>
                <w:sz w:val="20"/>
                <w:szCs w:val="20"/>
                <w:color w:val="auto"/>
              </w:rPr>
            </w:pPr>
            <w:r>
              <w:rPr>
                <w:rFonts w:ascii="Arial" w:cs="Arial" w:eastAsia="Arial" w:hAnsi="Arial"/>
                <w:sz w:val="16"/>
                <w:szCs w:val="16"/>
                <w:color w:val="auto"/>
              </w:rPr>
              <w:t>245</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696</w:t>
            </w:r>
          </w:p>
        </w:tc>
        <w:tc>
          <w:tcPr>
            <w:tcW w:w="24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35.2%</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239</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714</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33.5%</w:t>
            </w:r>
          </w:p>
        </w:tc>
      </w:tr>
      <w:tr>
        <w:trPr>
          <w:trHeight w:val="203"/>
        </w:trPr>
        <w:tc>
          <w:tcPr>
            <w:tcW w:w="53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Voluntary contributions US$ million</w:t>
            </w: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92</w:t>
            </w:r>
          </w:p>
        </w:tc>
        <w:tc>
          <w:tcPr>
            <w:tcW w:w="240" w:type="dxa"/>
            <w:vAlign w:val="bottom"/>
            <w:shd w:val="clear" w:color="auto" w:fill="CCFFCC"/>
          </w:tcPr>
          <w:p>
            <w:pPr>
              <w:spacing w:after="0"/>
              <w:rPr>
                <w:sz w:val="17"/>
                <w:szCs w:val="17"/>
                <w:color w:val="auto"/>
              </w:rPr>
            </w:pP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211</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43.4%</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105</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240</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43.8%</w:t>
            </w:r>
          </w:p>
        </w:tc>
      </w:tr>
      <w:tr>
        <w:trPr>
          <w:trHeight w:val="210"/>
        </w:trPr>
        <w:tc>
          <w:tcPr>
            <w:tcW w:w="5380" w:type="dxa"/>
            <w:vAlign w:val="bottom"/>
            <w:gridSpan w:val="2"/>
          </w:tcPr>
          <w:p>
            <w:pPr>
              <w:spacing w:after="0"/>
              <w:rPr>
                <w:sz w:val="20"/>
                <w:szCs w:val="20"/>
                <w:color w:val="auto"/>
              </w:rPr>
            </w:pPr>
            <w:r>
              <w:rPr>
                <w:rFonts w:ascii="Arial" w:cs="Arial" w:eastAsia="Arial" w:hAnsi="Arial"/>
                <w:sz w:val="16"/>
                <w:szCs w:val="16"/>
                <w:color w:val="auto"/>
              </w:rPr>
              <w:t>RAM US$ million (2)</w:t>
            </w:r>
          </w:p>
        </w:tc>
        <w:tc>
          <w:tcPr>
            <w:tcW w:w="820" w:type="dxa"/>
            <w:vAlign w:val="bottom"/>
          </w:tcPr>
          <w:p>
            <w:pPr>
              <w:jc w:val="right"/>
              <w:spacing w:after="0"/>
              <w:rPr>
                <w:sz w:val="20"/>
                <w:szCs w:val="20"/>
                <w:color w:val="auto"/>
              </w:rPr>
            </w:pPr>
            <w:r>
              <w:rPr>
                <w:rFonts w:ascii="Arial" w:cs="Arial" w:eastAsia="Arial" w:hAnsi="Arial"/>
                <w:sz w:val="16"/>
                <w:szCs w:val="16"/>
                <w:color w:val="auto"/>
              </w:rPr>
              <w:t>685</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2,009</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34.1%</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693</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2,086</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33.2%</w:t>
            </w:r>
          </w:p>
        </w:tc>
      </w:tr>
    </w:tbl>
    <w:p>
      <w:pPr>
        <w:spacing w:after="0" w:line="5" w:lineRule="exact"/>
        <w:rPr>
          <w:sz w:val="20"/>
          <w:szCs w:val="20"/>
          <w:color w:val="auto"/>
        </w:rPr>
      </w:pPr>
    </w:p>
    <w:p>
      <w:pPr>
        <w:ind w:left="260" w:hanging="252"/>
        <w:spacing w:after="0"/>
        <w:tabs>
          <w:tab w:leader="none" w:pos="26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Accumulated to the Quarter.</w:t>
      </w:r>
    </w:p>
    <w:p>
      <w:pPr>
        <w:spacing w:after="0" w:line="23" w:lineRule="exact"/>
        <w:rPr>
          <w:rFonts w:ascii="Arial" w:cs="Arial" w:eastAsia="Arial" w:hAnsi="Arial"/>
          <w:sz w:val="18"/>
          <w:szCs w:val="18"/>
          <w:i w:val="1"/>
          <w:iCs w:val="1"/>
          <w:color w:val="auto"/>
        </w:rPr>
      </w:pPr>
    </w:p>
    <w:p>
      <w:pPr>
        <w:ind w:right="960" w:firstLine="8"/>
        <w:spacing w:after="0" w:line="261" w:lineRule="auto"/>
        <w:tabs>
          <w:tab w:leader="none" w:pos="255"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PRIMA AFP estimates: average of aggregated income during the last 4 months excluding special collections and voluntary contribution fees. Source: Superintendencia de Banca, Seguros y AFP.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-431165</wp:posOffset>
            </wp:positionV>
            <wp:extent cx="37477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Results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second quarter of 2013, Prima AFP reported an affiliation volume of 60, 788 in the months of April and May. In June 2013, the AFP that won the affiliate assignment process conducted in December 2012 assumed the exclusive right to sign up new affiliates for the period running from June 2013 to May 2015. At the end of 2Q13, the system had 65,141 affiliates.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end of June 2013, Prima AFP’s funds under management totaled US$ 10,694 million, which represents 31.1% of the total amount managed by the System. Accordingly, Prima AFP in ranks first in the system in terms of market share.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Prima AFP’s collections of new contributions during the 2Q13 totaled US$ 245 million, which represents 35.2% of the system’s figure for this indicator. This level of collections indicates growth of 2.4% with regard to 1Q13 and 7.7% QaQ if we analyze collections of new contributions in Nuevos Soles (100% of collections are in local currency).</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0" w:name="page41"/>
    <w:bookmarkEnd w:id="40"/>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The RAM level (monthly insurable remuneration) in 2Q13 declined slightly QoQ. This drop was due solely to the exchange rate effect. Prima AFP consolidated its leadership with a market share of 34.1% in terms of RAM, which is the income base used by AFPs.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These results confirm Prima AFP’s leadership in the market and reflect its consolidation in terms of RAM, contributions volume, and value of its funds under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the 2Q13, volatility once again reared its head on the international scene due to economic deceleration in China and its negative effects on commodities prices; this scenario also affected the majority of emerging economies (including those in Latin America). Additionally, the expectation of a decline in the Federal Reserve’s monetary stimuli and its possible effects on financial markets generated uncertainty worldwide.</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With regard to the local outlook, the Peruvian economy experienced a slight deceleration with regard to the estimates posted at the beginning of the year. In a context of higher global risk, Prima AFP has maintained firm in its commitment to invest only in companies with solid fundamentals.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terms of the profitability of Prima’s funds under management, in the last 12 months (June 2013 / June 2012) the results were 5.9%, 3.0% and 0.7% for funds 1, 2 and 3 respectively. These results situate Prima AFP in fourth place in the system’s three funds in terms of profitability. This is attributable, at least in part, to the market correction for global bonds due to speculation that the Federal Reserve may withdraw its stimulus program. Another important component that explains this result is linked to the local market, where the Stock Exchange General Index drew back 24.6% during the first 6 months of the year. This result situates the Lima Stock Exchange among the world’s poorer performers. Add to this the fact that the Nuevo Sol depreciated 7.4% in the last quarter alone, and it makes for a difficult mix.</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look at the 7-year horizon (June 2013/June 2006), Prima AFP’s fund 2, which represents 65.9% of its total funds under management, achieved nominal annualized profitability of 10.3% while the private pension system’s average was 9.9%. It is important to note that during this period, Prima’s fund 2 ranked first in the system.</w:t>
      </w:r>
    </w:p>
    <w:p>
      <w:pPr>
        <w:spacing w:after="0" w:line="185"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During the period covering the creation of the SPP to date (June 2013/December 1993</w:t>
      </w:r>
      <w:r>
        <w:rPr>
          <w:rFonts w:ascii="Arial" w:cs="Arial" w:eastAsia="Arial" w:hAnsi="Arial"/>
          <w:sz w:val="30"/>
          <w:szCs w:val="30"/>
          <w:color w:val="auto"/>
          <w:vertAlign w:val="superscript"/>
        </w:rPr>
        <w:t>5</w:t>
      </w:r>
      <w:r>
        <w:rPr>
          <w:rFonts w:ascii="Arial" w:cs="Arial" w:eastAsia="Arial" w:hAnsi="Arial"/>
          <w:sz w:val="18"/>
          <w:szCs w:val="18"/>
          <w:color w:val="auto"/>
        </w:rPr>
        <w:t>), the annualized profitability of the funds managed by the AFPs was 12.3% in nominal terms and 7.5% in real terms.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structure of PRIMA AFP’s funds under management at the end of the second quarter of 2013: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Funds under management as of June 2013</w:t>
            </w:r>
          </w:p>
        </w:tc>
        <w:tc>
          <w:tcPr>
            <w:tcW w:w="100" w:type="dxa"/>
            <w:vAlign w:val="bottom"/>
            <w:tcBorders>
              <w:bottom w:val="single" w:sz="8" w:color="CCFFCC"/>
            </w:tcBorders>
          </w:tcPr>
          <w:p>
            <w:pPr>
              <w:spacing w:after="0"/>
              <w:rPr>
                <w:sz w:val="20"/>
                <w:szCs w:val="20"/>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Jun 13</w:t>
            </w:r>
          </w:p>
        </w:tc>
        <w:tc>
          <w:tcPr>
            <w:tcW w:w="22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Share %</w:t>
            </w:r>
          </w:p>
        </w:tc>
        <w:tc>
          <w:tcPr>
            <w:tcW w:w="28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Mar 13</w:t>
            </w:r>
          </w:p>
        </w:tc>
        <w:tc>
          <w:tcPr>
            <w:tcW w:w="220" w:type="dxa"/>
            <w:vAlign w:val="bottom"/>
            <w:tcBorders>
              <w:bottom w:val="single" w:sz="8" w:color="CCFFCC"/>
            </w:tcBorders>
          </w:tcPr>
          <w:p>
            <w:pPr>
              <w:spacing w:after="0"/>
              <w:rPr>
                <w:sz w:val="20"/>
                <w:szCs w:val="20"/>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Share %</w:t>
            </w:r>
          </w:p>
        </w:tc>
        <w:tc>
          <w:tcPr>
            <w:tcW w:w="160" w:type="dxa"/>
            <w:vAlign w:val="bottom"/>
            <w:tcBorders>
              <w:bottom w:val="single" w:sz="8" w:color="CCFFCC"/>
            </w:tcBorders>
          </w:tcPr>
          <w:p>
            <w:pPr>
              <w:spacing w:after="0"/>
              <w:rPr>
                <w:sz w:val="20"/>
                <w:szCs w:val="20"/>
                <w:color w:val="auto"/>
              </w:rPr>
            </w:pPr>
          </w:p>
        </w:tc>
      </w:tr>
      <w:tr>
        <w:trPr>
          <w:trHeight w:val="210"/>
        </w:trPr>
        <w:tc>
          <w:tcPr>
            <w:tcW w:w="6400" w:type="dxa"/>
            <w:vAlign w:val="bottom"/>
            <w:shd w:val="clear" w:color="auto" w:fill="CCFFCC"/>
          </w:tcPr>
          <w:p>
            <w:pPr>
              <w:spacing w:after="0"/>
              <w:rPr>
                <w:sz w:val="20"/>
                <w:szCs w:val="20"/>
                <w:color w:val="auto"/>
              </w:rPr>
            </w:pPr>
            <w:r>
              <w:rPr>
                <w:rFonts w:ascii="Arial" w:cs="Arial" w:eastAsia="Arial" w:hAnsi="Arial"/>
                <w:sz w:val="18"/>
                <w:szCs w:val="18"/>
                <w:color w:val="auto"/>
              </w:rPr>
              <w:t>Fund 1</w:t>
            </w: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1,206</w:t>
            </w:r>
          </w:p>
        </w:tc>
        <w:tc>
          <w:tcPr>
            <w:tcW w:w="22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11.3%</w:t>
            </w:r>
          </w:p>
        </w:tc>
        <w:tc>
          <w:tcPr>
            <w:tcW w:w="1000" w:type="dxa"/>
            <w:vAlign w:val="bottom"/>
            <w:shd w:val="clear" w:color="auto" w:fill="CCFFCC"/>
          </w:tcPr>
          <w:p>
            <w:pPr>
              <w:ind w:left="600"/>
              <w:spacing w:after="0"/>
              <w:rPr>
                <w:sz w:val="20"/>
                <w:szCs w:val="20"/>
                <w:color w:val="auto"/>
              </w:rPr>
            </w:pPr>
            <w:r>
              <w:rPr>
                <w:rFonts w:ascii="Arial" w:cs="Arial" w:eastAsia="Arial" w:hAnsi="Arial"/>
                <w:sz w:val="18"/>
                <w:szCs w:val="18"/>
                <w:color w:val="auto"/>
                <w:w w:val="84"/>
              </w:rPr>
              <w:t>1,318</w:t>
            </w:r>
          </w:p>
        </w:tc>
        <w:tc>
          <w:tcPr>
            <w:tcW w:w="22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Fund 2</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7,050</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65.9%</w:t>
            </w:r>
          </w:p>
        </w:tc>
        <w:tc>
          <w:tcPr>
            <w:tcW w:w="1220" w:type="dxa"/>
            <w:vAlign w:val="bottom"/>
            <w:gridSpan w:val="2"/>
          </w:tcPr>
          <w:p>
            <w:pPr>
              <w:ind w:left="600"/>
              <w:spacing w:after="0"/>
              <w:rPr>
                <w:sz w:val="20"/>
                <w:szCs w:val="20"/>
                <w:color w:val="auto"/>
              </w:rPr>
            </w:pPr>
            <w:r>
              <w:rPr>
                <w:rFonts w:ascii="Arial" w:cs="Arial" w:eastAsia="Arial" w:hAnsi="Arial"/>
                <w:sz w:val="18"/>
                <w:szCs w:val="18"/>
                <w:color w:val="auto"/>
              </w:rPr>
              <w:t>8,057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65.8%</w:t>
            </w:r>
          </w:p>
        </w:tc>
      </w:tr>
      <w:tr>
        <w:trPr>
          <w:trHeight w:val="230"/>
        </w:trPr>
        <w:tc>
          <w:tcPr>
            <w:tcW w:w="65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Fund 3</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2,438</w:t>
            </w:r>
          </w:p>
        </w:tc>
        <w:tc>
          <w:tcPr>
            <w:tcW w:w="12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22.8%</w:t>
            </w:r>
          </w:p>
        </w:tc>
        <w:tc>
          <w:tcPr>
            <w:tcW w:w="1220" w:type="dxa"/>
            <w:vAlign w:val="bottom"/>
            <w:gridSpan w:val="2"/>
            <w:shd w:val="clear" w:color="auto" w:fill="CCFFCC"/>
          </w:tcPr>
          <w:p>
            <w:pPr>
              <w:ind w:left="600"/>
              <w:spacing w:after="0"/>
              <w:rPr>
                <w:sz w:val="20"/>
                <w:szCs w:val="20"/>
                <w:color w:val="auto"/>
              </w:rPr>
            </w:pPr>
            <w:r>
              <w:rPr>
                <w:rFonts w:ascii="Arial" w:cs="Arial" w:eastAsia="Arial" w:hAnsi="Arial"/>
                <w:sz w:val="18"/>
                <w:szCs w:val="18"/>
                <w:color w:val="auto"/>
              </w:rPr>
              <w:t>2,866</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23.4%</w:t>
            </w:r>
          </w:p>
        </w:tc>
      </w:tr>
      <w:tr>
        <w:trPr>
          <w:trHeight w:val="224"/>
        </w:trPr>
        <w:tc>
          <w:tcPr>
            <w:tcW w:w="6500" w:type="dxa"/>
            <w:vAlign w:val="bottom"/>
            <w:gridSpan w:val="2"/>
          </w:tcPr>
          <w:p>
            <w:pPr>
              <w:spacing w:after="0"/>
              <w:rPr>
                <w:sz w:val="20"/>
                <w:szCs w:val="20"/>
                <w:color w:val="auto"/>
              </w:rPr>
            </w:pPr>
            <w:r>
              <w:rPr>
                <w:rFonts w:ascii="Arial" w:cs="Arial" w:eastAsia="Arial" w:hAnsi="Arial"/>
                <w:sz w:val="18"/>
                <w:szCs w:val="18"/>
                <w:color w:val="auto"/>
              </w:rPr>
              <w:t>Total US$ millon</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10,694</w:t>
            </w:r>
          </w:p>
        </w:tc>
        <w:tc>
          <w:tcPr>
            <w:tcW w:w="2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00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w w:val="83"/>
              </w:rPr>
              <w:t>12,241</w:t>
            </w:r>
          </w:p>
        </w:tc>
        <w:tc>
          <w:tcPr>
            <w:tcW w:w="2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-8255</wp:posOffset>
            </wp:positionV>
            <wp:extent cx="30187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Source: Superintendencia de Banca, Seguros y AFP.</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Prima AFP’s income from commissions in the 2Q13 totaled US$ 33.3 million, which represents a decline of (-1.0% QoQ) but tops the YoY figure by 7.9%. The QoQ evolution is due primarily to income (generated in Nuevos Soles) was affected by local currency devaluation and the fact that the company applied IAS 18, which generated US$ 1.4 million in deferred income. These effects are reflected in the increase in income (in local accounting) which rose 6.1% QoQ and 11.3%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180975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28" w:lineRule="exact"/>
        <w:rPr>
          <w:sz w:val="20"/>
          <w:szCs w:val="20"/>
          <w:color w:val="auto"/>
        </w:rPr>
      </w:pPr>
    </w:p>
    <w:p>
      <w:pPr>
        <w:ind w:left="120" w:hanging="112"/>
        <w:spacing w:after="0"/>
        <w:tabs>
          <w:tab w:leader="none" w:pos="120" w:val="left"/>
        </w:tabs>
        <w:numPr>
          <w:ilvl w:val="0"/>
          <w:numId w:val="34"/>
        </w:numPr>
        <w:rPr>
          <w:rFonts w:ascii="Arial" w:cs="Arial" w:eastAsia="Arial" w:hAnsi="Arial"/>
          <w:sz w:val="30"/>
          <w:szCs w:val="30"/>
          <w:color w:val="auto"/>
          <w:vertAlign w:val="superscript"/>
        </w:rPr>
      </w:pPr>
      <w:r>
        <w:rPr>
          <w:rFonts w:ascii="Arial" w:cs="Arial" w:eastAsia="Arial" w:hAnsi="Arial"/>
          <w:sz w:val="18"/>
          <w:szCs w:val="18"/>
          <w:color w:val="auto"/>
        </w:rPr>
        <w:t>The oldest information found on SBS’s web site.</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1" w:name="page42"/>
    <w:bookmarkEnd w:id="41"/>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When analyzing the company’s income, it is important to keep the current commission schemes in mind:</w:t>
      </w:r>
    </w:p>
    <w:p>
      <w:pPr>
        <w:spacing w:after="0" w:line="225" w:lineRule="exact"/>
        <w:rPr>
          <w:sz w:val="20"/>
          <w:szCs w:val="20"/>
          <w:color w:val="auto"/>
        </w:rPr>
      </w:pPr>
    </w:p>
    <w:p>
      <w:pPr>
        <w:ind w:left="1280" w:hanging="381"/>
        <w:spacing w:after="0"/>
        <w:tabs>
          <w:tab w:leader="none" w:pos="1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Commission based on flow: 1.60% applied to the affiliates’ monthly remuneration.</w:t>
      </w:r>
    </w:p>
    <w:p>
      <w:pPr>
        <w:spacing w:after="0" w:line="225" w:lineRule="exact"/>
        <w:rPr>
          <w:rFonts w:ascii="Arial" w:cs="Arial" w:eastAsia="Arial" w:hAnsi="Arial"/>
          <w:sz w:val="18"/>
          <w:szCs w:val="18"/>
          <w:color w:val="auto"/>
        </w:rPr>
      </w:pPr>
    </w:p>
    <w:p>
      <w:pPr>
        <w:jc w:val="both"/>
        <w:ind w:left="1280" w:hanging="381"/>
        <w:spacing w:after="0" w:line="259" w:lineRule="auto"/>
        <w:tabs>
          <w:tab w:leader="none" w:pos="1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Mixed commission: composed of a 1.51% commission based on flow that is applied to the affiliates’ monthly remuneration plus a 1.90% annual commission on the new balance (generated from February 2013 and on). This commission was in place in February-May 2013 for all new affiliates; in May of this year, the company decided to reduce the commission from 1.90% to 1.25 %for the affiliates who chose this scheme, which went into effect in June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Administrative and sales expenses totaled US$ 14.0 million for the 2Q13, which represented a 0.7% decline with regard to last quarter. This was due primarily to a decrease in charges for administrative personnel and marketing expenses incurred during the process to reform the SPP. A YoY analysis shows an increase of 20.0% that was mainly attributable to expenses incurred to bolster the sales force and pay for third party services in the affiliate assignment process and other expenses linked to the SPP reform.</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Q, depreciation and amortization expenses totaled US$ 1.8 million including charges for the amortization of intangible assets (obtained in the merger with Union Vida) as well as the depreciation and amortization of real estate, equipment and systems.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income in 2Q13 totaled US$ 17.5 million, which was slightly lower than the figure registered last quarter (US$ 17.8 million). Based on this result, and after deducting other income and expenses as well as income tax provisions, net income was US$ 14.4 million in 2Q. A QoQ comparison indicates that income was up 23.7% whereas the YoY increase was equivalent to 25.6%.</w:t>
      </w:r>
    </w:p>
    <w:p>
      <w:pPr>
        <w:spacing w:after="0" w:line="18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In 2Q13, the return of average equity (ROAE) was situated at 38.8%, which represents a considerable increase with regard to last quarter’s figure (+29.6% QoQ)</w:t>
      </w:r>
      <w:r>
        <w:rPr>
          <w:rFonts w:ascii="Arial" w:cs="Arial" w:eastAsia="Arial" w:hAnsi="Arial"/>
          <w:sz w:val="30"/>
          <w:szCs w:val="30"/>
          <w:color w:val="auto"/>
          <w:vertAlign w:val="superscript"/>
        </w:rPr>
        <w:t>6</w:t>
      </w:r>
      <w:r>
        <w:rPr>
          <w:rFonts w:ascii="Arial" w:cs="Arial" w:eastAsia="Arial" w:hAnsi="Arial"/>
          <w:sz w:val="18"/>
          <w:szCs w:val="18"/>
          <w:color w:val="auto"/>
        </w:rPr>
        <w:t>. In accumulated terms at the end of June 2013, this indicator reached 33.5%.</w:t>
      </w:r>
    </w:p>
    <w:p>
      <w:pPr>
        <w:spacing w:after="0" w:line="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end of June 2013, Prima AFP reported an asset level of US$ 264.4 million, which is composed of US$ 151.6 million in shareholders’ equity and US$ 112.8 million in liabilities.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IFRS accounting standards, the company registered a positive foreign currency translation result due to an increase in monetary liabilities in Nuevos Soles, which were associated with recurring personnel expenses and contribution obligations that have yet to be classified.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important to note that Prima AFP only generates income in the local currency; as such, the exchange rate risk inherent to the business is null, meaning that risk is limited primarily to the company’s variable rate debt obligations in Dollars (US$ 26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Related to the Private Pension System Reform</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2Q13, the affiliate assignment period that had been awarded to Prima AFP concluded. During the period beginning in October 2012 and ending in May 2013 (date after which the AFP that won the tender held in December 2012 began operating) Prima AFP increased its client base by more than 200 thousand affiliates.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this same date (May 31, 2013), the process that required affiliates to choose a commission scheme concluded. In the final count, 80% of active affiliates decided to remain in commission scheme based on flow while 20% opted for the mixed commission.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believes that this new structure of collection of commission will not impact business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180975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6</w:t>
      </w:r>
      <w:r>
        <w:rPr>
          <w:rFonts w:ascii="Arial" w:cs="Arial" w:eastAsia="Arial" w:hAnsi="Arial"/>
          <w:sz w:val="18"/>
          <w:szCs w:val="18"/>
          <w:color w:val="auto"/>
        </w:rPr>
        <w:t xml:space="preserve"> Calculation of ROAE over total shareholders’ equity (includes unrealized earnings on reserves).</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2" w:name="page43"/>
    <w:bookmarkEnd w:id="42"/>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IX. Economic 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Activity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Peruvian economy grew 5.0% in the month of May after having grown 5.8% on average during the first four months of the year. This result was attributable to the fact that exports were weaker-than-expected. If we remove the calendar effect registered in February-April, economic growth stabilized at rates just above 5.5%, which is similar to May’s result. Growth during this period recomposed and mining as well as other non-primary sectors such as construction, commerce and services were the top performers. These sectors helped offset the weak performance of the manufacturing sector due to a decrease in the demand for our products.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regard to expenditure, growth in 2Q13 was once again led by private expenditure, both in terms of investment (7.4%) and household consumption (5.5%) in a context of growth in income and in the expectations of economic agents which, although having moderated, are still in the optimistic range. Public expenditure continued to grow but at a slower rate (12.6% versus 16.8% in 4Q12), and in terms of its components, public investment maintained its upward trend reported in previous quarters.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important to note that in the period of analysis (between April and June 2013) that although growth in business expectations moderated somewhat, it continued to be in line with growth in private investment. As such, after having suffered a decline (influenced by greater uncertainty on the external and local scene), expectations settled in the optimistic range in line with the business sector optimism</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Given that the calendar effect has dissipated and the external outlook has posted gradual improvement, we expect growth in 2Q13 to recover with regard to 1Q13. This is in line with our expectation that growth will follow an upward trend during the rest of this year, which will lead average growth to situate around 6% (approximately) for 2013. Growth will be hinge on a recovery in export volumes as well as consumer and business expectations over the next few months.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Gross Domestic Product and Internal Demand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(Annualized percentage variation)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External Sector</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first five months of 2013, the trade balance accumulated a deficit of US$ 921 million. This falls below the result observed for the same period in 2012 by US$ 3,345. Exports totaled US$ 16,593 million, which represents a decline of 11.6% YoY. This decline was due primarily to a 13.9% increase in sales of traditional products, which is due primarily to lower prices for our mineral exports and a decrease in production of the same. Non-traditional exports fell 3.4% due to a decline in the demand for textile products in the USA and Venezuela as well as a reduced supply of fishing products.</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3" w:name="page44"/>
    <w:bookmarkEnd w:id="43"/>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Imports totaled US$ 17,514 million, which represented growth of 7.2% with regard to January-May 2012. The import volume increased 9.1% due to more purchases of durable consumer goods, inputs and capital goods. The average price of imports contracted 1.7%. As such the accumulated trade balance in twelve months totaled US$ 1,167 million, which is the lowest level recorded since Feb-04.</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accumulation of INR has moderated due to episodes of volatility, which prompted the BCR to sell dollars in the market during the first few days of July 2013. In this context, as of July 7th, international reserves were situated at US$ 66,799 million, which tops the US$ 2,807 million reported at the end of 2012 but falls below the US$ 1,119 million registered at the end of 1Q13. This increase in year-end INR was primarily attributable to an increase in net purchases of foreign currency in the Trading Room for US$ 4,990 million and an increase in deposits in the financial system for a total of US$ 609 million. This situation was partially attenuated by a US$ 276 MM decline in investment valuations.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Exports and Imports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month moving average annual % var.)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142875</wp:posOffset>
            </wp:positionV>
            <wp:extent cx="2607310" cy="22383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607310" cy="223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Prices and the Exchange Rate</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Annual inflation in June 2013 was situated at 2.77%, which indicates a recovery that brings the level to the upper range of BCRP’s target. Although prices reversed their upward trajectory (March 2013: 2.31% YoY) at the beginning of 2Q13, factors such as the increase in food prices and a recent depreciation in the exchange rate affected price dynamics. The latter was reflected in the rebound registered in the prices of tradable goods in June 2013. Accordingly, inflation thus far in 2013 has remained in BCR’s target range (2% +/- 1pp) and the monetary authority expects inflation to converge at 2%, which is slightly below our forecast (2.4%) in a context in which inflationary pressures on the supply side remain moderate.</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Based on the aforementioned context, BCR is expected to maintain its reference rate in 2013 (4.25% at the end of June 2013). Inflation is within the target range despite a short-term upswing and the fact that economic growth is close to its potential. Nevertheless, given that uncertainty abroad continues to affect the terms of exchange and growth in developed and emerging economies, the BCR has announced that it will be watching these indicators to intervene if necessary. The monetary authority also added that, if necessary, it will take additional measures to make the legal reserves regimens more flexible, as it recently did in the case of reserve requirements for Nuevos Soles (although the change was marginal).</w:t>
      </w:r>
    </w:p>
    <w:p>
      <w:pPr>
        <w:spacing w:after="0" w:line="17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depreciatory trend continued in 2Q13. This was due primarily to the market’s reaction to lower levels of liquidity in dollars given expectations that the Federal Reserve will eventually withdraw monetary stimuli (QE3). This scenario, coupled with weak economic in Peru and the rest of Latin America, generated a significant outflow of short-term investments, which intensified the depreciation of the PEN and other currencies in Latam. In this context, the exchange rate closed 2Q13 at S/. 2.78, which reflects 9.1% depreciation thus far this year. The Nuevo Sol’s trend has stabilized but more depreciation may be seen if the economy weakens further or the market anticipates that liquidity in dollars will drop further. Despite the fact that the BCR purchased US$ 840 million in the exchange market in 2Q13, it did not incur in the spot market in the months of May and June. Nevertheless, the BCR has sought to moderate the pace of depreciation by issuing Indexed Certificates of Deposit, which generate a dynamic similar to selling dollars in the spot market. By the end of 2Q13, the accumulated value of these instruments was S/. 2,158 million. Additionally, the BCR raised the limit on the reserve rate in Nuevos Soles, which indicates a change of its contractionary monetary policy observed in 1Q13. Given this new juncture, our estimate for year-end puts the dollar at S/.2.76 - S/.2.78.</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4" w:name="page45"/>
    <w:bookmarkEnd w:id="44"/>
    <w:p>
      <w:pPr>
        <w:spacing w:after="0" w:line="140" w:lineRule="exact"/>
        <w:rPr>
          <w:sz w:val="20"/>
          <w:szCs w:val="20"/>
          <w:color w:val="auto"/>
        </w:rPr>
      </w:pPr>
    </w:p>
    <w:p>
      <w:pPr>
        <w:jc w:val="center"/>
        <w:ind w:right="1340"/>
        <w:spacing w:after="0"/>
        <w:rPr>
          <w:sz w:val="20"/>
          <w:szCs w:val="20"/>
          <w:color w:val="auto"/>
        </w:rPr>
      </w:pPr>
      <w:r>
        <w:rPr>
          <w:rFonts w:ascii="Arial" w:cs="Arial" w:eastAsia="Arial" w:hAnsi="Arial"/>
          <w:sz w:val="18"/>
          <w:szCs w:val="18"/>
          <w:b w:val="1"/>
          <w:bCs w:val="1"/>
          <w:color w:val="auto"/>
        </w:rPr>
        <w:t>Consumer Price Index</w:t>
      </w:r>
    </w:p>
    <w:p>
      <w:pPr>
        <w:spacing w:after="0" w:line="27" w:lineRule="exact"/>
        <w:rPr>
          <w:sz w:val="20"/>
          <w:szCs w:val="20"/>
          <w:color w:val="auto"/>
        </w:rPr>
      </w:pPr>
    </w:p>
    <w:p>
      <w:pPr>
        <w:jc w:val="center"/>
        <w:ind w:right="1340"/>
        <w:spacing w:after="0"/>
        <w:rPr>
          <w:sz w:val="20"/>
          <w:szCs w:val="20"/>
          <w:color w:val="auto"/>
        </w:rPr>
      </w:pPr>
      <w:r>
        <w:rPr>
          <w:rFonts w:ascii="Arial" w:cs="Arial" w:eastAsia="Arial" w:hAnsi="Arial"/>
          <w:sz w:val="16"/>
          <w:szCs w:val="16"/>
          <w:color w:val="auto"/>
        </w:rPr>
        <w:t>(Annual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20320</wp:posOffset>
            </wp:positionV>
            <wp:extent cx="2426970" cy="21012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426970" cy="21012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center"/>
        <w:ind w:right="1940"/>
        <w:spacing w:after="0"/>
        <w:rPr>
          <w:sz w:val="20"/>
          <w:szCs w:val="20"/>
          <w:color w:val="auto"/>
        </w:rPr>
      </w:pPr>
      <w:r>
        <w:rPr>
          <w:rFonts w:ascii="Arial" w:cs="Arial" w:eastAsia="Arial" w:hAnsi="Arial"/>
          <w:sz w:val="18"/>
          <w:szCs w:val="18"/>
          <w:b w:val="1"/>
          <w:bCs w:val="1"/>
          <w:color w:val="auto"/>
        </w:rPr>
        <w:t>Exchange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-565150</wp:posOffset>
            </wp:positionV>
            <wp:extent cx="1132205" cy="3086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line="7" w:lineRule="exact"/>
        <w:rPr>
          <w:sz w:val="20"/>
          <w:szCs w:val="20"/>
          <w:color w:val="auto"/>
        </w:rPr>
      </w:pPr>
    </w:p>
    <w:p>
      <w:pPr>
        <w:jc w:val="center"/>
        <w:ind w:right="19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Nuevos Soles</w:t>
      </w:r>
      <w:r>
        <w:rPr>
          <w:rFonts w:ascii="Arial" w:cs="Arial" w:eastAsia="Arial" w:hAnsi="Arial"/>
          <w:sz w:val="16"/>
          <w:szCs w:val="16"/>
          <w:color w:val="auto"/>
        </w:rPr>
        <w:t xml:space="preserve"> for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-861060</wp:posOffset>
            </wp:positionH>
            <wp:positionV relativeFrom="paragraph">
              <wp:posOffset>20320</wp:posOffset>
            </wp:positionV>
            <wp:extent cx="2795905" cy="22898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795905" cy="22898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60" w:space="720"/>
            <w:col w:w="3640"/>
          </w:cols>
          <w:pgMar w:left="240" w:top="14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Sector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end of May 2013, the non-financial public sector registered an economic surplus of S/. 11,259 million, which falls below the S/. 4,737 million observed during the same period in 2012.</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general government’s current accumulated income at the end of May 2013 totaled S/. 51,645 million, which represented a real increase of 1.8% with regard to January-May 2012 and reflected more moderate growth in collections. This result was attributable to slight 0.2% growth in tax revenues and a 6.9% increase in non-tax revenues. The behavior of tax revenues primarily reflects the evolution of income tax, which fell 8.1% during the first five months of the year due to lower collections from companies (-2.2%) and regularization (-36.9%), which could not be offset by the increase in collections from individuals (6.6%). The contraction of the first two points is due to the fact that revenues from the mining sector have decreased along with production. In terms of third category income tax, the mining sector reduced its payments by 50.8% in the first five months of the year compared to the same period in 2012. Nevertheless, the majority of the economy’s sectors reported growth, which was particularly noteworthy in services (11.5%), commerce (24.8%) and construction (17.5%) and reflects dynamism in the local economy. Accordingly, internal revenues continued to expand, which noteworthy growth of 4.5% in the IGV thus far this year.</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January-May, the general government’s non-financial expenditures (S/. 36,831 million) reported real growth of 13.0% due to higher expenditure at all three government levels (12.4% at the national government level, 16.0% at regional governments and 12.0% at local governments). Current expenditure grew10.7% in the first five months of the year, which was mainly due to higher expenditure for remunerations at the national government level (20.1%) and more expenditure on goods and services at regional governments (19.3%). The increase in remunerations was attributable to the new income structure for the Armed Forces and the National Police of Peru, which was approved in December 2012, and salary increases in the Education sector. At all three government levels, expenditure on gross capital formation increased (20.9% for the national government, 27.9% for regional governments and 17.1% for local governments).</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45" w:name="page46"/>
    <w:bookmarkEnd w:id="45"/>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Given that revenues have moderated and non-financial expenditure is expected to increase this year due to higher remunerations and more expenditure on gross capital formation, we expect the fiscal surplus to be around 0.4% of GDP in 2013, which falls below last year’s figure.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Income of the Central Government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(Annualized in </w:t>
      </w:r>
      <w:r>
        <w:rPr>
          <w:rFonts w:ascii="Arial" w:cs="Arial" w:eastAsia="Arial" w:hAnsi="Arial"/>
          <w:sz w:val="18"/>
          <w:szCs w:val="18"/>
          <w:i w:val="1"/>
          <w:iCs w:val="1"/>
          <w:color w:val="auto"/>
        </w:rPr>
        <w:t>Nuevos Soles</w:t>
      </w:r>
      <w:r>
        <w:rPr>
          <w:rFonts w:ascii="Arial" w:cs="Arial" w:eastAsia="Arial" w:hAnsi="Arial"/>
          <w:sz w:val="18"/>
          <w:szCs w:val="18"/>
          <w:color w:val="auto"/>
        </w:rPr>
        <w:t xml:space="preserve">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142875</wp:posOffset>
            </wp:positionV>
            <wp:extent cx="2435225" cy="21609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435225" cy="2160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Sector</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At the end of May, the loans granted by financial institutions that are authorized to capture deposits expanded at an annual rate of 13.3%, which falls slightly below April’s rate (13.8%). This result was attributable to a moderation in business loans (11.5%) and personal loans, such as mortgage loans (23.5%) and consumer loans (12.1%). Additionally, the dollarization coefficient of total loans was 43.1%, which is virtually the same level registered since the end of 2012 (43.0%). By loan type, the level of loan dollarization in business loans was situated at 53.9% (53.8% in December 2012). During the same period, the dollarization level fell to 43.6% (44.8% in December 2012) for mortgage loans while the level for consumer loans increased to 10.4%.</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the other hand, as part of the measures to strengthen the financial system and promote healthier growth in credit, the BCR published series of changes related to the reserve requirement for deposits in local currency. The base of reserve requirements was modified and a decision was made to establish a 20% ceiling on the median reserve requirement in local currency to favor liquidity in this currency as anticipation to the LC loan growth for the next months, in a context of economic recovery.</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6" w:name="page47"/>
    <w:bookmarkEnd w:id="46"/>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420" w:type="dxa"/>
            <w:vAlign w:val="bottom"/>
            <w:gridSpan w:val="3"/>
          </w:tcPr>
          <w:p>
            <w:pPr>
              <w:ind w:left="3200"/>
              <w:spacing w:after="0"/>
              <w:rPr>
                <w:sz w:val="20"/>
                <w:szCs w:val="20"/>
                <w:color w:val="auto"/>
              </w:rPr>
            </w:pPr>
            <w:r>
              <w:rPr>
                <w:rFonts w:ascii="Arial" w:cs="Arial" w:eastAsia="Arial" w:hAnsi="Arial"/>
                <w:sz w:val="18"/>
                <w:szCs w:val="18"/>
                <w:b w:val="1"/>
                <w:bCs w:val="1"/>
                <w:color w:val="auto"/>
                <w:w w:val="98"/>
              </w:rPr>
              <w:t>Main Economic Indicators</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4360" w:type="dxa"/>
            <w:vAlign w:val="bottom"/>
          </w:tcPr>
          <w:p>
            <w:pPr>
              <w:spacing w:after="0"/>
              <w:rPr>
                <w:sz w:val="24"/>
                <w:szCs w:val="24"/>
                <w:color w:val="auto"/>
              </w:rPr>
            </w:pPr>
          </w:p>
        </w:tc>
        <w:tc>
          <w:tcPr>
            <w:tcW w:w="800" w:type="dxa"/>
            <w:vAlign w:val="bottom"/>
          </w:tcPr>
          <w:p>
            <w:pPr>
              <w:ind w:left="220"/>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4"/>
                <w:szCs w:val="24"/>
                <w:color w:val="auto"/>
              </w:rPr>
            </w:pPr>
          </w:p>
        </w:tc>
      </w:tr>
      <w:tr>
        <w:trPr>
          <w:trHeight w:val="234"/>
        </w:trPr>
        <w:tc>
          <w:tcPr>
            <w:tcW w:w="4360" w:type="dxa"/>
            <w:vAlign w:val="bottom"/>
          </w:tcPr>
          <w:p>
            <w:pPr>
              <w:spacing w:after="0"/>
              <w:rPr>
                <w:sz w:val="20"/>
                <w:szCs w:val="20"/>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Year</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IQ</w:t>
            </w:r>
          </w:p>
        </w:tc>
        <w:tc>
          <w:tcPr>
            <w:tcW w:w="1060" w:type="dxa"/>
            <w:vAlign w:val="bottom"/>
            <w:gridSpan w:val="2"/>
          </w:tcPr>
          <w:p>
            <w:pPr>
              <w:ind w:left="260"/>
              <w:spacing w:after="0"/>
              <w:rPr>
                <w:sz w:val="20"/>
                <w:szCs w:val="20"/>
                <w:color w:val="auto"/>
              </w:rPr>
            </w:pPr>
            <w:r>
              <w:rPr>
                <w:rFonts w:ascii="Arial" w:cs="Arial" w:eastAsia="Arial" w:hAnsi="Arial"/>
                <w:sz w:val="18"/>
                <w:szCs w:val="18"/>
                <w:b w:val="1"/>
                <w:bCs w:val="1"/>
                <w:color w:val="auto"/>
              </w:rPr>
              <w:t>IIQ</w:t>
            </w:r>
          </w:p>
        </w:tc>
        <w:tc>
          <w:tcPr>
            <w:tcW w:w="1000" w:type="dxa"/>
            <w:vAlign w:val="bottom"/>
            <w:gridSpan w:val="2"/>
          </w:tcPr>
          <w:p>
            <w:pPr>
              <w:ind w:left="220"/>
              <w:spacing w:after="0"/>
              <w:rPr>
                <w:sz w:val="20"/>
                <w:szCs w:val="20"/>
                <w:color w:val="auto"/>
              </w:rPr>
            </w:pPr>
            <w:r>
              <w:rPr>
                <w:rFonts w:ascii="Arial" w:cs="Arial" w:eastAsia="Arial" w:hAnsi="Arial"/>
                <w:sz w:val="18"/>
                <w:szCs w:val="18"/>
                <w:b w:val="1"/>
                <w:bCs w:val="1"/>
                <w:color w:val="auto"/>
              </w:rPr>
              <w:t>IIIQ</w:t>
            </w:r>
          </w:p>
        </w:tc>
        <w:tc>
          <w:tcPr>
            <w:tcW w:w="1000" w:type="dxa"/>
            <w:vAlign w:val="bottom"/>
            <w:gridSpan w:val="2"/>
          </w:tcPr>
          <w:p>
            <w:pPr>
              <w:ind w:left="240"/>
              <w:spacing w:after="0"/>
              <w:rPr>
                <w:sz w:val="20"/>
                <w:szCs w:val="20"/>
                <w:color w:val="auto"/>
              </w:rPr>
            </w:pPr>
            <w:r>
              <w:rPr>
                <w:rFonts w:ascii="Arial" w:cs="Arial" w:eastAsia="Arial" w:hAnsi="Arial"/>
                <w:sz w:val="18"/>
                <w:szCs w:val="18"/>
                <w:b w:val="1"/>
                <w:bCs w:val="1"/>
                <w:color w:val="auto"/>
              </w:rPr>
              <w:t>IVQ</w:t>
            </w:r>
          </w:p>
        </w:tc>
        <w:tc>
          <w:tcPr>
            <w:tcW w:w="1000" w:type="dxa"/>
            <w:vAlign w:val="bottom"/>
            <w:gridSpan w:val="2"/>
          </w:tcPr>
          <w:p>
            <w:pPr>
              <w:ind w:left="220"/>
              <w:spacing w:after="0"/>
              <w:rPr>
                <w:sz w:val="20"/>
                <w:szCs w:val="20"/>
                <w:color w:val="auto"/>
              </w:rPr>
            </w:pPr>
            <w:r>
              <w:rPr>
                <w:rFonts w:ascii="Arial" w:cs="Arial" w:eastAsia="Arial" w:hAnsi="Arial"/>
                <w:sz w:val="18"/>
                <w:szCs w:val="18"/>
                <w:b w:val="1"/>
                <w:bCs w:val="1"/>
                <w:color w:val="auto"/>
              </w:rPr>
              <w:t>Year</w:t>
            </w:r>
          </w:p>
        </w:tc>
        <w:tc>
          <w:tcPr>
            <w:tcW w:w="900" w:type="dxa"/>
            <w:vAlign w:val="bottom"/>
            <w:gridSpan w:val="2"/>
          </w:tcPr>
          <w:p>
            <w:pPr>
              <w:ind w:left="260"/>
              <w:spacing w:after="0"/>
              <w:rPr>
                <w:sz w:val="20"/>
                <w:szCs w:val="20"/>
                <w:color w:val="auto"/>
              </w:rPr>
            </w:pPr>
            <w:r>
              <w:rPr>
                <w:rFonts w:ascii="Arial" w:cs="Arial" w:eastAsia="Arial" w:hAnsi="Arial"/>
                <w:sz w:val="18"/>
                <w:szCs w:val="18"/>
                <w:b w:val="1"/>
                <w:bCs w:val="1"/>
                <w:color w:val="auto"/>
              </w:rPr>
              <w:t>IIQ</w:t>
            </w:r>
          </w:p>
        </w:tc>
      </w:tr>
      <w:tr>
        <w:trPr>
          <w:trHeight w:val="210"/>
        </w:trPr>
        <w:tc>
          <w:tcPr>
            <w:tcW w:w="43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GDP (US$ MM)</w:t>
            </w:r>
          </w:p>
        </w:tc>
        <w:tc>
          <w:tcPr>
            <w:tcW w:w="800" w:type="dxa"/>
            <w:vAlign w:val="bottom"/>
            <w:tcBorders>
              <w:top w:val="single" w:sz="8" w:color="auto"/>
            </w:tcBorders>
            <w:shd w:val="clear" w:color="auto" w:fill="CCFFCC"/>
          </w:tcPr>
          <w:p>
            <w:pPr>
              <w:ind w:left="220"/>
              <w:spacing w:after="0"/>
              <w:rPr>
                <w:sz w:val="20"/>
                <w:szCs w:val="20"/>
                <w:color w:val="auto"/>
              </w:rPr>
            </w:pPr>
            <w:r>
              <w:rPr>
                <w:rFonts w:ascii="Arial" w:cs="Arial" w:eastAsia="Arial" w:hAnsi="Arial"/>
                <w:sz w:val="18"/>
                <w:szCs w:val="18"/>
                <w:b w:val="1"/>
                <w:bCs w:val="1"/>
                <w:color w:val="auto"/>
                <w:w w:val="86"/>
              </w:rPr>
              <w:t>176,761</w:t>
            </w:r>
          </w:p>
        </w:tc>
        <w:tc>
          <w:tcPr>
            <w:tcW w:w="260" w:type="dxa"/>
            <w:vAlign w:val="bottom"/>
            <w:tcBorders>
              <w:top w:val="single" w:sz="8" w:color="CCFFCC"/>
            </w:tcBorders>
            <w:shd w:val="clear" w:color="auto" w:fill="CCFFCC"/>
          </w:tcPr>
          <w:p>
            <w:pPr>
              <w:spacing w:after="0"/>
              <w:rPr>
                <w:sz w:val="18"/>
                <w:szCs w:val="18"/>
                <w:color w:val="auto"/>
              </w:rPr>
            </w:pPr>
          </w:p>
        </w:tc>
        <w:tc>
          <w:tcPr>
            <w:tcW w:w="8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46,793</w:t>
            </w:r>
          </w:p>
        </w:tc>
        <w:tc>
          <w:tcPr>
            <w:tcW w:w="240" w:type="dxa"/>
            <w:vAlign w:val="bottom"/>
            <w:tcBorders>
              <w:top w:val="single" w:sz="8" w:color="CCFFCC"/>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50,335</w:t>
            </w:r>
          </w:p>
        </w:tc>
        <w:tc>
          <w:tcPr>
            <w:tcW w:w="240" w:type="dxa"/>
            <w:vAlign w:val="bottom"/>
            <w:tcBorders>
              <w:top w:val="single" w:sz="8" w:color="CCFFCC"/>
            </w:tcBorders>
            <w:shd w:val="clear" w:color="auto" w:fill="CCFFCC"/>
          </w:tcPr>
          <w:p>
            <w:pPr>
              <w:spacing w:after="0"/>
              <w:rPr>
                <w:sz w:val="18"/>
                <w:szCs w:val="18"/>
                <w:color w:val="auto"/>
              </w:rPr>
            </w:pPr>
          </w:p>
        </w:tc>
        <w:tc>
          <w:tcPr>
            <w:tcW w:w="8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49,970</w:t>
            </w:r>
          </w:p>
        </w:tc>
        <w:tc>
          <w:tcPr>
            <w:tcW w:w="200" w:type="dxa"/>
            <w:vAlign w:val="bottom"/>
            <w:tcBorders>
              <w:top w:val="single" w:sz="8" w:color="CCFFCC"/>
            </w:tcBorders>
            <w:shd w:val="clear" w:color="auto" w:fill="CCFFCC"/>
          </w:tcPr>
          <w:p>
            <w:pPr>
              <w:spacing w:after="0"/>
              <w:rPr>
                <w:sz w:val="18"/>
                <w:szCs w:val="18"/>
                <w:color w:val="auto"/>
              </w:rPr>
            </w:pPr>
          </w:p>
        </w:tc>
        <w:tc>
          <w:tcPr>
            <w:tcW w:w="8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52,584</w:t>
            </w:r>
          </w:p>
        </w:tc>
        <w:tc>
          <w:tcPr>
            <w:tcW w:w="200" w:type="dxa"/>
            <w:vAlign w:val="bottom"/>
            <w:tcBorders>
              <w:top w:val="single" w:sz="8" w:color="CCFFCC"/>
            </w:tcBorders>
            <w:shd w:val="clear" w:color="auto" w:fill="CCFFCC"/>
          </w:tcPr>
          <w:p>
            <w:pPr>
              <w:spacing w:after="0"/>
              <w:rPr>
                <w:sz w:val="18"/>
                <w:szCs w:val="18"/>
                <w:color w:val="auto"/>
              </w:rPr>
            </w:pPr>
          </w:p>
        </w:tc>
        <w:tc>
          <w:tcPr>
            <w:tcW w:w="8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199,682</w:t>
            </w:r>
          </w:p>
        </w:tc>
        <w:tc>
          <w:tcPr>
            <w:tcW w:w="200" w:type="dxa"/>
            <w:vAlign w:val="bottom"/>
            <w:tcBorders>
              <w:top w:val="single" w:sz="8" w:color="CCFFCC"/>
            </w:tcBorders>
            <w:shd w:val="clear" w:color="auto" w:fill="CCFFCC"/>
          </w:tcPr>
          <w:p>
            <w:pPr>
              <w:spacing w:after="0"/>
              <w:rPr>
                <w:sz w:val="18"/>
                <w:szCs w:val="18"/>
                <w:color w:val="auto"/>
              </w:rPr>
            </w:pPr>
          </w:p>
        </w:tc>
        <w:tc>
          <w:tcPr>
            <w:tcW w:w="8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51,190</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Real GDP (var. %)</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6.9</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6.0</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6.4</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6.8</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5.9</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6.3</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r>
      <w:tr>
        <w:trPr>
          <w:trHeight w:val="216"/>
        </w:trPr>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GDP per-capita (US$)</w:t>
            </w:r>
          </w:p>
        </w:tc>
        <w:tc>
          <w:tcPr>
            <w:tcW w:w="10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5,904</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6,218</w:t>
            </w:r>
          </w:p>
        </w:tc>
        <w:tc>
          <w:tcPr>
            <w:tcW w:w="10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6,674</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6,611</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6,941</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6,611</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6,742</w:t>
            </w: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Domestic demand (var. %)</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7.2</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4.7</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7.5</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9.8</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7.6</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7.4</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r>
      <w:tr>
        <w:trPr>
          <w:trHeight w:val="216"/>
        </w:trPr>
        <w:tc>
          <w:tcPr>
            <w:tcW w:w="43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Consumption (var. %)</w:t>
            </w:r>
          </w:p>
        </w:tc>
        <w:tc>
          <w:tcPr>
            <w:tcW w:w="10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6.4</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6.0</w:t>
            </w:r>
          </w:p>
        </w:tc>
        <w:tc>
          <w:tcPr>
            <w:tcW w:w="10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5.8</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5.8</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5.8</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5.8</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w:t>
            </w: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Private Investment (var. %)</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5.1</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16.3</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15.7</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17.1</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11.3</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14.9</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r>
      <w:tr>
        <w:trPr>
          <w:trHeight w:val="216"/>
        </w:trPr>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CPI (annual change, %)</w:t>
            </w:r>
          </w:p>
        </w:tc>
        <w:tc>
          <w:tcPr>
            <w:tcW w:w="10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4.7</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4.2</w:t>
            </w:r>
          </w:p>
        </w:tc>
        <w:tc>
          <w:tcPr>
            <w:tcW w:w="10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4.0</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3.7</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2.6</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2.6</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Exchange rate, eop (S/. per US$)</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2.70</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2.67</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2.67</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2.60</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2.55</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2.6</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2.59</w:t>
            </w:r>
          </w:p>
        </w:tc>
      </w:tr>
      <w:tr>
        <w:trPr>
          <w:trHeight w:val="216"/>
        </w:trPr>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Devaluation (annual change, %)</w:t>
            </w:r>
          </w:p>
        </w:tc>
        <w:tc>
          <w:tcPr>
            <w:tcW w:w="10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-4.4</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-4.8</w:t>
            </w:r>
          </w:p>
        </w:tc>
        <w:tc>
          <w:tcPr>
            <w:tcW w:w="10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-2.8</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-6.3</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-5.4</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-5.4</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Exchange rate, average (S/. per US$)</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2.75</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2.67</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2.67</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2.60</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2.57</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2.6</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2.59</w:t>
            </w:r>
          </w:p>
        </w:tc>
      </w:tr>
      <w:tr>
        <w:trPr>
          <w:trHeight w:val="216"/>
        </w:trPr>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Non-Financial Public Sector (% of GDP)</w:t>
            </w:r>
          </w:p>
        </w:tc>
        <w:tc>
          <w:tcPr>
            <w:tcW w:w="10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1.9</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7.1</w:t>
            </w:r>
          </w:p>
        </w:tc>
        <w:tc>
          <w:tcPr>
            <w:tcW w:w="10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6.8</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-6.0</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2.2</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5.9</w:t>
            </w: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Central government current revenues (% of GDP)</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18.1</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19.2</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19.6</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17.6</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17.7</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18.5</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r>
      <w:tr>
        <w:trPr>
          <w:trHeight w:val="216"/>
        </w:trPr>
        <w:tc>
          <w:tcPr>
            <w:tcW w:w="43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Tax Income (% of GDP)</w:t>
            </w:r>
          </w:p>
        </w:tc>
        <w:tc>
          <w:tcPr>
            <w:tcW w:w="10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15.5</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16.7</w:t>
            </w:r>
          </w:p>
        </w:tc>
        <w:tc>
          <w:tcPr>
            <w:tcW w:w="10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16.5</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15.3</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15.5</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16</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16.5</w:t>
            </w: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Non Tax Income (% of GDP)</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2.6</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3.1</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43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Current expenditures (% of GDP)</w:t>
            </w:r>
          </w:p>
        </w:tc>
        <w:tc>
          <w:tcPr>
            <w:tcW w:w="10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12.0</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10.0</w:t>
            </w:r>
          </w:p>
        </w:tc>
        <w:tc>
          <w:tcPr>
            <w:tcW w:w="10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9.9</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13.9</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14.2</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12</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10.3</w:t>
            </w: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Capital expenditures (% of GDP)</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4.2</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2.7</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6.2</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Trade Balance (US$ MM)</w:t>
            </w:r>
          </w:p>
        </w:tc>
        <w:tc>
          <w:tcPr>
            <w:tcW w:w="10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9,302</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2,401</w:t>
            </w:r>
          </w:p>
        </w:tc>
        <w:tc>
          <w:tcPr>
            <w:tcW w:w="10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585</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594</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946</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4,527</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Exports (US$ MM)</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46,268</w:t>
            </w:r>
          </w:p>
        </w:tc>
        <w:tc>
          <w:tcPr>
            <w:tcW w:w="800" w:type="dxa"/>
            <w:vAlign w:val="bottom"/>
          </w:tcPr>
          <w:p>
            <w:pPr>
              <w:jc w:val="right"/>
              <w:spacing w:after="0"/>
              <w:rPr>
                <w:sz w:val="20"/>
                <w:szCs w:val="20"/>
                <w:color w:val="auto"/>
              </w:rPr>
            </w:pPr>
            <w:r>
              <w:rPr>
                <w:rFonts w:ascii="Arial" w:cs="Arial" w:eastAsia="Arial" w:hAnsi="Arial"/>
                <w:sz w:val="18"/>
                <w:szCs w:val="18"/>
                <w:color w:val="auto"/>
              </w:rPr>
              <w:t>11,974</w:t>
            </w:r>
          </w:p>
        </w:tc>
        <w:tc>
          <w:tcPr>
            <w:tcW w:w="2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10,586</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11,611</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11,468</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45,639</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10,183</w:t>
            </w:r>
          </w:p>
        </w:tc>
      </w:tr>
      <w:tr>
        <w:trPr>
          <w:trHeight w:val="216"/>
        </w:trPr>
        <w:tc>
          <w:tcPr>
            <w:tcW w:w="43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Imports (US$ MM)</w:t>
            </w:r>
          </w:p>
        </w:tc>
        <w:tc>
          <w:tcPr>
            <w:tcW w:w="10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36,967</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9,573</w:t>
            </w:r>
          </w:p>
        </w:tc>
        <w:tc>
          <w:tcPr>
            <w:tcW w:w="10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10,001</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11,017</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10,522</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-41,113</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10,202</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Current Account Balance (US$ MM)</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-3,341</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-671</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-1,927</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-2,626</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-1,913</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-7,136</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-2,670</w:t>
            </w:r>
          </w:p>
        </w:tc>
      </w:tr>
      <w:tr>
        <w:trPr>
          <w:trHeight w:val="230"/>
        </w:trPr>
        <w:tc>
          <w:tcPr>
            <w:tcW w:w="43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Current Account Balance (% of GDP)</w:t>
            </w:r>
          </w:p>
        </w:tc>
        <w:tc>
          <w:tcPr>
            <w:tcW w:w="10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-1.9</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-1.4</w:t>
            </w:r>
          </w:p>
        </w:tc>
        <w:tc>
          <w:tcPr>
            <w:tcW w:w="10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-3.8</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-5.3</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-3.6</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-3.6</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-5.2</w:t>
            </w:r>
          </w:p>
        </w:tc>
      </w:tr>
      <w:tr>
        <w:trPr>
          <w:trHeight w:val="20"/>
        </w:trPr>
        <w:tc>
          <w:tcPr>
            <w:tcW w:w="4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Source: BCR, INEI, estimated by BCP.</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7" w:name="page48"/>
    <w:bookmarkEnd w:id="47"/>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586105</wp:posOffset>
            </wp:positionV>
            <wp:extent cx="1132205" cy="3086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Company Description: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Credicorp Ltd. (NYSE: BAP) is the leading financial services holding company in Peru. It primarily operates via its four principal Subsidiaries: Banco de Crédito del Peru (BCP), Atlantic Security Holding Corporation (ASHC), El Pacífico-Peruano Suiza Compañía de Seguros y Reaseguros (PPS) and Grupo Credito. Credicorp is engaged principally in commercial banking (including trade finance, corporate finance and leasing services), insurance (including commercial property, transportation and marine hull, automobile, life, health and pension fund underwriting insurance) and investment banking (including brokerage services, asset management, trust, custody and securitization services, trading and investment). BCP is the Company's primary subsidiary.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for Forward-Looking Statements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material includes “forward-looking statements” within the meaning of Section 21E of the Securities Exchange Act of 1934. All statements other than statements of historical information provided herein are forward-looking and may contain information about financial results, economic conditions, trends and known uncertainties.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8" w:name="page49"/>
    <w:bookmarkEnd w:id="48"/>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center"/>
        <w:ind w:right="120"/>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(In US$ thousands, IFRS)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5"/>
              </w:rPr>
              <w:t>As of</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4"/>
          </w:tcPr>
          <w:p>
            <w:pPr>
              <w:ind w:left="680"/>
              <w:spacing w:after="0"/>
              <w:rPr>
                <w:sz w:val="20"/>
                <w:szCs w:val="20"/>
                <w:color w:val="auto"/>
              </w:rPr>
            </w:pPr>
            <w:r>
              <w:rPr>
                <w:rFonts w:ascii="Arial" w:cs="Arial" w:eastAsia="Arial" w:hAnsi="Arial"/>
                <w:sz w:val="14"/>
                <w:szCs w:val="14"/>
                <w:b w:val="1"/>
                <w:bCs w:val="1"/>
                <w:color w:val="auto"/>
              </w:rPr>
              <w:t>Change %</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ind w:left="180"/>
              <w:spacing w:after="0"/>
              <w:rPr>
                <w:sz w:val="20"/>
                <w:szCs w:val="20"/>
                <w:color w:val="auto"/>
              </w:rPr>
            </w:pPr>
            <w:r>
              <w:rPr>
                <w:rFonts w:ascii="Arial" w:cs="Arial" w:eastAsia="Arial" w:hAnsi="Arial"/>
                <w:sz w:val="14"/>
                <w:szCs w:val="14"/>
                <w:b w:val="1"/>
                <w:bCs w:val="1"/>
                <w:color w:val="auto"/>
              </w:rPr>
              <w:t>Jun 13</w:t>
            </w:r>
          </w:p>
        </w:tc>
        <w:tc>
          <w:tcPr>
            <w:tcW w:w="12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Mar 13</w:t>
            </w:r>
          </w:p>
        </w:tc>
        <w:tc>
          <w:tcPr>
            <w:tcW w:w="1220" w:type="dxa"/>
            <w:vAlign w:val="bottom"/>
            <w:gridSpan w:val="3"/>
          </w:tcPr>
          <w:p>
            <w:pPr>
              <w:ind w:left="180"/>
              <w:spacing w:after="0"/>
              <w:rPr>
                <w:sz w:val="20"/>
                <w:szCs w:val="20"/>
                <w:color w:val="auto"/>
              </w:rPr>
            </w:pPr>
            <w:r>
              <w:rPr>
                <w:rFonts w:ascii="Arial" w:cs="Arial" w:eastAsia="Arial" w:hAnsi="Arial"/>
                <w:sz w:val="14"/>
                <w:szCs w:val="14"/>
                <w:b w:val="1"/>
                <w:bCs w:val="1"/>
                <w:color w:val="auto"/>
              </w:rPr>
              <w:t>Jun 12</w:t>
            </w:r>
          </w:p>
        </w:tc>
        <w:tc>
          <w:tcPr>
            <w:tcW w:w="1420" w:type="dxa"/>
            <w:vAlign w:val="bottom"/>
            <w:gridSpan w:val="4"/>
          </w:tcPr>
          <w:p>
            <w:pPr>
              <w:ind w:left="240"/>
              <w:spacing w:after="0"/>
              <w:rPr>
                <w:sz w:val="20"/>
                <w:szCs w:val="20"/>
                <w:color w:val="auto"/>
              </w:rPr>
            </w:pPr>
            <w:r>
              <w:rPr>
                <w:rFonts w:ascii="Arial" w:cs="Arial" w:eastAsia="Arial" w:hAnsi="Arial"/>
                <w:sz w:val="14"/>
                <w:szCs w:val="14"/>
                <w:b w:val="1"/>
                <w:bCs w:val="1"/>
                <w:color w:val="auto"/>
              </w:rPr>
              <w:t>QoQ</w:t>
            </w:r>
          </w:p>
        </w:tc>
        <w:tc>
          <w:tcPr>
            <w:tcW w:w="8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YoY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Borders>
              <w:top w:val="single" w:sz="8" w:color="CCFFCC"/>
            </w:tcBorders>
            <w:shd w:val="clear" w:color="auto" w:fill="CCFFCC"/>
          </w:tcPr>
          <w:p>
            <w:pPr>
              <w:jc w:val="center"/>
              <w:ind w:right="68"/>
              <w:spacing w:after="0" w:line="142" w:lineRule="exact"/>
              <w:rPr>
                <w:sz w:val="20"/>
                <w:szCs w:val="20"/>
                <w:color w:val="auto"/>
              </w:rPr>
            </w:pPr>
            <w:r>
              <w:rPr>
                <w:rFonts w:ascii="Arial" w:cs="Arial" w:eastAsia="Arial" w:hAnsi="Arial"/>
                <w:sz w:val="14"/>
                <w:szCs w:val="14"/>
                <w:b w:val="1"/>
                <w:bCs w:val="1"/>
                <w:color w:val="auto"/>
                <w:w w:val="96"/>
              </w:rPr>
              <w:t>ASSETS</w:t>
            </w:r>
          </w:p>
        </w:tc>
        <w:tc>
          <w:tcPr>
            <w:tcW w:w="100" w:type="dxa"/>
            <w:vAlign w:val="bottom"/>
            <w:tcBorders>
              <w:top w:val="single" w:sz="8" w:color="auto"/>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auto"/>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auto"/>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0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auto"/>
            </w:tcBorders>
            <w:shd w:val="clear" w:color="auto" w:fill="CCFFCC"/>
          </w:tcPr>
          <w:p>
            <w:pPr>
              <w:spacing w:after="0"/>
              <w:rPr>
                <w:sz w:val="12"/>
                <w:szCs w:val="12"/>
                <w:color w:val="auto"/>
              </w:rPr>
            </w:pPr>
          </w:p>
        </w:tc>
        <w:tc>
          <w:tcPr>
            <w:tcW w:w="880" w:type="dxa"/>
            <w:vAlign w:val="bottom"/>
            <w:tcBorders>
              <w:top w:val="single" w:sz="8" w:color="auto"/>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auto"/>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720" w:type="dxa"/>
            <w:vAlign w:val="bottom"/>
            <w:tcBorders>
              <w:top w:val="single" w:sz="8" w:color="auto"/>
            </w:tcBorders>
            <w:shd w:val="clear" w:color="auto" w:fill="CCFFCC"/>
          </w:tcPr>
          <w:p>
            <w:pPr>
              <w:spacing w:after="0"/>
              <w:rPr>
                <w:sz w:val="12"/>
                <w:szCs w:val="12"/>
                <w:color w:val="auto"/>
              </w:rPr>
            </w:pPr>
          </w:p>
        </w:tc>
        <w:tc>
          <w:tcPr>
            <w:tcW w:w="16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Cash and due from banks</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FFCC"/>
          </w:tcPr>
          <w:p>
            <w:pPr>
              <w:ind w:left="140"/>
              <w:spacing w:after="0" w:line="149" w:lineRule="exact"/>
              <w:rPr>
                <w:sz w:val="20"/>
                <w:szCs w:val="20"/>
                <w:color w:val="auto"/>
              </w:rPr>
            </w:pPr>
            <w:r>
              <w:rPr>
                <w:rFonts w:ascii="Arial" w:cs="Arial" w:eastAsia="Arial" w:hAnsi="Arial"/>
                <w:sz w:val="14"/>
                <w:szCs w:val="14"/>
                <w:color w:val="auto"/>
              </w:rPr>
              <w:t>Non-interest bearing</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1,209,260</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1,188,601</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780,213</w:t>
            </w: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1.7%</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Interest bearing</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6,213,868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7,561,309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4,746,513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FFCC"/>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Total cash and due from banks</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7,423,129</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8,749,910</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5,526,727</w:t>
            </w: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-15.2%</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34.3%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Marketable securities, net</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286,432</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348,024</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305,336</w:t>
            </w: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-17.7%</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-6.2%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Loans</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21,353,037</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21,674,015</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19,232,220</w:t>
            </w: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-1.5%</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11.0%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Current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20,903,118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21,246,565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18,897,039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FFCC"/>
          </w:tcPr>
          <w:p>
            <w:pPr>
              <w:ind w:left="140"/>
              <w:spacing w:after="0" w:line="149" w:lineRule="exact"/>
              <w:rPr>
                <w:sz w:val="20"/>
                <w:szCs w:val="20"/>
                <w:color w:val="auto"/>
              </w:rPr>
            </w:pPr>
            <w:r>
              <w:rPr>
                <w:rFonts w:ascii="Arial" w:cs="Arial" w:eastAsia="Arial" w:hAnsi="Arial"/>
                <w:sz w:val="14"/>
                <w:szCs w:val="14"/>
                <w:color w:val="auto"/>
              </w:rPr>
              <w:t>Past due</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449,919</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427,451</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335,181</w:t>
            </w: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5.3%</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34.2%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Less - net provisions for possible loan losses</w:t>
            </w: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(753,252)</w:t>
            </w:r>
          </w:p>
        </w:tc>
        <w:tc>
          <w:tcPr>
            <w:tcW w:w="10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(738,580)</w:t>
            </w:r>
          </w:p>
        </w:tc>
        <w:tc>
          <w:tcPr>
            <w:tcW w:w="10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(626,119)</w:t>
            </w:r>
          </w:p>
        </w:tc>
        <w:tc>
          <w:tcPr>
            <w:tcW w:w="12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Loans, net</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20,599,785</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20,935,436</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18,606,102</w:t>
            </w: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-1.6%</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10.7%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Investments securities available for sale</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7,681,253</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8,200,369</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7,151,322</w:t>
            </w: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-6.3%</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Reinsurance assets</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187,227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196,470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163,835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14.3%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Premiums and other policyholder receivables</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207,824</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198,436</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166,315</w:t>
            </w: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4.7%</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Property, plant and equipment, net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607,640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581,865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493,796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23.1%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Due from customers on acceptances</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50,263</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51,776</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66,327</w:t>
            </w: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-2.9%</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-24.2%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Other assets</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2,805,633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3,252,157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2,598,532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-13.7%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Total assets</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39,849,186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42,514,442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35,078,291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-6.3%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13.6%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LIABILITIES AND NET SHAREHOLDERS' EQUITY</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Deposits and Obligations</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FFCC"/>
          </w:tcPr>
          <w:p>
            <w:pPr>
              <w:ind w:left="140"/>
              <w:spacing w:after="0" w:line="149" w:lineRule="exact"/>
              <w:rPr>
                <w:sz w:val="20"/>
                <w:szCs w:val="20"/>
                <w:color w:val="auto"/>
              </w:rPr>
            </w:pPr>
            <w:r>
              <w:rPr>
                <w:rFonts w:ascii="Arial" w:cs="Arial" w:eastAsia="Arial" w:hAnsi="Arial"/>
                <w:sz w:val="14"/>
                <w:szCs w:val="14"/>
                <w:color w:val="auto"/>
              </w:rPr>
              <w:t>Non-interest bearing</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5,702,275</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6,644,805</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5,824,219</w:t>
            </w: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-14.2%</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Interest bearing</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17,863,198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18,658,795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15,213,424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FFCC"/>
          </w:tcPr>
          <w:p>
            <w:pPr>
              <w:ind w:left="140"/>
              <w:spacing w:after="0" w:line="149" w:lineRule="exact"/>
              <w:rPr>
                <w:sz w:val="20"/>
                <w:szCs w:val="20"/>
                <w:color w:val="auto"/>
              </w:rPr>
            </w:pPr>
            <w:r>
              <w:rPr>
                <w:rFonts w:ascii="Arial" w:cs="Arial" w:eastAsia="Arial" w:hAnsi="Arial"/>
                <w:sz w:val="14"/>
                <w:szCs w:val="14"/>
                <w:b w:val="1"/>
                <w:bCs w:val="1"/>
                <w:color w:val="auto"/>
              </w:rPr>
              <w:t>Total deposits and Obligations</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23,565,473</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25,303,600</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21,037,643</w:t>
            </w: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-6.9%</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12.0%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Due to banks and correspondents</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3,172,263</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3,784,676</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2,518,745</w:t>
            </w: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-16.2%</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25.9%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Acceptances outstanding</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50,263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51,776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66,327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-24.2%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Reserves for property and casualty claims</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1,445,897</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1,455,832</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1,284,518</w:t>
            </w: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-0.7%</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12.6%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Reserve for unearned premiums</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243,916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243,378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198,287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0.2%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23.0%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Reinsurance payable</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80,120</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66,402</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69,782</w:t>
            </w: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20.7%</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14.8%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Bonds and subordinated debt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5,216,828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4,741,961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4,239,957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23.0%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Other liabilities</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2,004,071</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2,550,697</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1,881,918</w:t>
            </w: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-21.4%</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Total liabilities</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35,778,830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38,198,322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31,297,176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-6.3%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14.3%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gridSpan w:val="2"/>
          </w:tcPr>
          <w:p>
            <w:pPr>
              <w:spacing w:after="0" w:line="149" w:lineRule="exact"/>
              <w:rPr>
                <w:sz w:val="20"/>
                <w:szCs w:val="20"/>
                <w:color w:val="auto"/>
              </w:rPr>
            </w:pPr>
            <w:r>
              <w:rPr>
                <w:rFonts w:ascii="Arial" w:cs="Arial" w:eastAsia="Arial" w:hAnsi="Arial"/>
                <w:sz w:val="14"/>
                <w:szCs w:val="14"/>
                <w:color w:val="auto"/>
              </w:rPr>
              <w:t>Capital stock</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471,912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471,912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471,912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Treasury stock</w:t>
            </w:r>
          </w:p>
        </w:tc>
        <w:tc>
          <w:tcPr>
            <w:tcW w:w="11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(74,464)</w:t>
            </w:r>
          </w:p>
        </w:tc>
        <w:tc>
          <w:tcPr>
            <w:tcW w:w="1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(74,908)</w:t>
            </w:r>
          </w:p>
        </w:tc>
        <w:tc>
          <w:tcPr>
            <w:tcW w:w="10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(74,630)</w:t>
            </w:r>
          </w:p>
        </w:tc>
        <w:tc>
          <w:tcPr>
            <w:tcW w:w="1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-0.6%</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spacing w:after="0" w:line="149" w:lineRule="exact"/>
              <w:rPr>
                <w:sz w:val="20"/>
                <w:szCs w:val="20"/>
                <w:color w:val="auto"/>
              </w:rPr>
            </w:pPr>
            <w:r>
              <w:rPr>
                <w:rFonts w:ascii="Arial" w:cs="Arial" w:eastAsia="Arial" w:hAnsi="Arial"/>
                <w:sz w:val="14"/>
                <w:szCs w:val="14"/>
                <w:color w:val="auto"/>
              </w:rPr>
              <w:t>Capital surplus</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98,594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93,048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107,883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Reserves</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2,894,076</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2,895,550</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2,297,813</w:t>
            </w: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-0.1%</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spacing w:after="0" w:line="149" w:lineRule="exact"/>
              <w:rPr>
                <w:sz w:val="20"/>
                <w:szCs w:val="20"/>
                <w:color w:val="auto"/>
              </w:rPr>
            </w:pPr>
            <w:r>
              <w:rPr>
                <w:rFonts w:ascii="Arial" w:cs="Arial" w:eastAsia="Arial" w:hAnsi="Arial"/>
                <w:sz w:val="14"/>
                <w:szCs w:val="14"/>
                <w:color w:val="auto"/>
              </w:rPr>
              <w:t>Unrealized gains</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220,716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518,300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458,638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-57.4%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Retained earnings</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274,294</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216,282</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413,519</w:t>
            </w: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26.8%</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Minority interest</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185,228</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195,937</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105,982</w:t>
            </w: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-5.5%</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74.8%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FFCC"/>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Total liabilities and net shareholders' equity</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39,849,186</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42,514,442</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35,078,291</w:t>
            </w: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-6.3%</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13.6%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22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Contingent credits</w:t>
            </w: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16,004,966</w:t>
            </w:r>
          </w:p>
        </w:tc>
        <w:tc>
          <w:tcPr>
            <w:tcW w:w="2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15,520,612</w:t>
            </w:r>
          </w:p>
        </w:tc>
        <w:tc>
          <w:tcPr>
            <w:tcW w:w="2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14,350,579</w:t>
            </w:r>
          </w:p>
        </w:tc>
        <w:tc>
          <w:tcPr>
            <w:tcW w:w="2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360" w:top="1440" w:right="239" w:bottom="1440" w:gutter="0" w:footer="0" w:header="0"/>
        </w:sectPr>
      </w:pPr>
    </w:p>
    <w:bookmarkStart w:id="49" w:name="page50"/>
    <w:bookmarkEnd w:id="49"/>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center"/>
        <w:ind w:right="120"/>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(In US$ thousands, IFRS)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Quarter</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ind w:left="460"/>
              <w:spacing w:after="0"/>
              <w:rPr>
                <w:sz w:val="20"/>
                <w:szCs w:val="20"/>
                <w:color w:val="auto"/>
              </w:rPr>
            </w:pPr>
            <w:r>
              <w:rPr>
                <w:rFonts w:ascii="Arial" w:cs="Arial" w:eastAsia="Arial" w:hAnsi="Arial"/>
                <w:sz w:val="14"/>
                <w:szCs w:val="14"/>
                <w:b w:val="1"/>
                <w:bCs w:val="1"/>
                <w:color w:val="auto"/>
                <w:w w:val="91"/>
              </w:rPr>
              <w:t>Change %</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Year to date</w:t>
            </w:r>
          </w:p>
        </w:tc>
        <w:tc>
          <w:tcPr>
            <w:tcW w:w="9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2Q13</w:t>
            </w: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1Q13</w:t>
            </w: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2Q12</w:t>
            </w:r>
          </w:p>
        </w:tc>
        <w:tc>
          <w:tcPr>
            <w:tcW w:w="1100" w:type="dxa"/>
            <w:vAlign w:val="bottom"/>
            <w:gridSpan w:val="3"/>
          </w:tcPr>
          <w:p>
            <w:pPr>
              <w:ind w:left="180"/>
              <w:spacing w:after="0"/>
              <w:rPr>
                <w:sz w:val="20"/>
                <w:szCs w:val="20"/>
                <w:color w:val="auto"/>
              </w:rPr>
            </w:pPr>
            <w:r>
              <w:rPr>
                <w:rFonts w:ascii="Arial" w:cs="Arial" w:eastAsia="Arial" w:hAnsi="Arial"/>
                <w:sz w:val="14"/>
                <w:szCs w:val="14"/>
                <w:b w:val="1"/>
                <w:bCs w:val="1"/>
                <w:color w:val="auto"/>
              </w:rPr>
              <w:t>QoQ</w:t>
            </w:r>
          </w:p>
        </w:tc>
        <w:tc>
          <w:tcPr>
            <w:tcW w:w="7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7"/>
              </w:rPr>
              <w:t>YoY</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Jun 13</w:t>
            </w: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Jun 12</w:t>
            </w: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YoY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Borders>
              <w:top w:val="single" w:sz="8" w:color="CCFFCC"/>
            </w:tcBorders>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Interest income and expense</w:t>
            </w:r>
          </w:p>
        </w:tc>
        <w:tc>
          <w:tcPr>
            <w:tcW w:w="66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180" w:type="dxa"/>
            <w:vAlign w:val="bottom"/>
            <w:tcBorders>
              <w:top w:val="single" w:sz="8" w:color="auto"/>
            </w:tcBorders>
            <w:shd w:val="clear" w:color="auto" w:fill="CCFFCC"/>
          </w:tcPr>
          <w:p>
            <w:pPr>
              <w:spacing w:after="0"/>
              <w:rPr>
                <w:sz w:val="12"/>
                <w:szCs w:val="12"/>
                <w:color w:val="auto"/>
              </w:rPr>
            </w:pPr>
          </w:p>
        </w:tc>
        <w:tc>
          <w:tcPr>
            <w:tcW w:w="480" w:type="dxa"/>
            <w:vAlign w:val="bottom"/>
            <w:tcBorders>
              <w:top w:val="single" w:sz="8" w:color="auto"/>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14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16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ind w:left="140"/>
              <w:spacing w:after="0" w:line="149" w:lineRule="exact"/>
              <w:rPr>
                <w:sz w:val="20"/>
                <w:szCs w:val="20"/>
                <w:color w:val="auto"/>
              </w:rPr>
            </w:pPr>
            <w:r>
              <w:rPr>
                <w:rFonts w:ascii="Arial" w:cs="Arial" w:eastAsia="Arial" w:hAnsi="Arial"/>
                <w:sz w:val="14"/>
                <w:szCs w:val="14"/>
                <w:color w:val="auto"/>
              </w:rPr>
              <w:t>Interest and dividend income</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632,238</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644,947</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559,786</w:t>
            </w:r>
          </w:p>
        </w:tc>
        <w:tc>
          <w:tcPr>
            <w:tcW w:w="22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w:t>
            </w:r>
          </w:p>
        </w:tc>
        <w:tc>
          <w:tcPr>
            <w:tcW w:w="18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12.9%</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1,277,185</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1,084,444</w:t>
            </w:r>
          </w:p>
        </w:tc>
        <w:tc>
          <w:tcPr>
            <w:tcW w:w="140" w:type="dxa"/>
            <w:vAlign w:val="bottom"/>
          </w:tcPr>
          <w:p>
            <w:pPr>
              <w:spacing w:after="0"/>
              <w:rPr>
                <w:sz w:val="12"/>
                <w:szCs w:val="12"/>
                <w:color w:val="auto"/>
              </w:rPr>
            </w:pPr>
          </w:p>
        </w:tc>
        <w:tc>
          <w:tcPr>
            <w:tcW w:w="9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Interest expense</w:t>
            </w:r>
          </w:p>
        </w:tc>
        <w:tc>
          <w:tcPr>
            <w:tcW w:w="8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(191,429)</w:t>
            </w:r>
          </w:p>
        </w:tc>
        <w:tc>
          <w:tcPr>
            <w:tcW w:w="8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(194,298)</w:t>
            </w:r>
          </w:p>
        </w:tc>
        <w:tc>
          <w:tcPr>
            <w:tcW w:w="8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(165,850)</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-1.5%</w:t>
            </w:r>
          </w:p>
        </w:tc>
        <w:tc>
          <w:tcPr>
            <w:tcW w:w="18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15.4%</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(385,727)</w:t>
            </w:r>
          </w:p>
        </w:tc>
        <w:tc>
          <w:tcPr>
            <w:tcW w:w="8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(318,257)</w:t>
            </w:r>
          </w:p>
        </w:tc>
        <w:tc>
          <w:tcPr>
            <w:tcW w:w="900" w:type="dxa"/>
            <w:vAlign w:val="bottom"/>
            <w:gridSpan w:val="3"/>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21.20%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Net interest income</w:t>
            </w: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440,809</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450,648</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393,936</w:t>
            </w:r>
          </w:p>
        </w:tc>
        <w:tc>
          <w:tcPr>
            <w:tcW w:w="2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-2.2%</w:t>
            </w:r>
          </w:p>
        </w:tc>
        <w:tc>
          <w:tcPr>
            <w:tcW w:w="1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11.9%</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891,458</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766,187</w:t>
            </w:r>
          </w:p>
        </w:tc>
        <w:tc>
          <w:tcPr>
            <w:tcW w:w="140" w:type="dxa"/>
            <w:vAlign w:val="bottom"/>
          </w:tcPr>
          <w:p>
            <w:pPr>
              <w:spacing w:after="0"/>
              <w:rPr>
                <w:sz w:val="12"/>
                <w:szCs w:val="12"/>
                <w:color w:val="auto"/>
              </w:rPr>
            </w:pPr>
          </w:p>
        </w:tc>
        <w:tc>
          <w:tcPr>
            <w:tcW w:w="90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rPr>
              <w:t>16.3%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8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80" w:type="dxa"/>
            <w:vAlign w:val="bottom"/>
          </w:tcPr>
          <w:p>
            <w:pPr>
              <w:spacing w:after="0" w:line="149" w:lineRule="exact"/>
              <w:rPr>
                <w:sz w:val="20"/>
                <w:szCs w:val="20"/>
                <w:color w:val="auto"/>
              </w:rPr>
            </w:pPr>
            <w:r>
              <w:rPr>
                <w:rFonts w:ascii="Arial" w:cs="Arial" w:eastAsia="Arial" w:hAnsi="Arial"/>
                <w:sz w:val="14"/>
                <w:szCs w:val="14"/>
                <w:b w:val="1"/>
                <w:bCs w:val="1"/>
                <w:color w:val="auto"/>
              </w:rPr>
              <w:t>Net provisions for loan losses</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(115,038)</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(94,782)</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(110,850)</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21.4%</w:t>
            </w:r>
          </w:p>
        </w:tc>
        <w:tc>
          <w:tcPr>
            <w:tcW w:w="1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3.8%</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(209,820)</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(180,489)</w:t>
            </w:r>
          </w:p>
        </w:tc>
        <w:tc>
          <w:tcPr>
            <w:tcW w:w="90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rPr>
              <w:t>16.3%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8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80" w:type="dxa"/>
            <w:vAlign w:val="bottom"/>
          </w:tcPr>
          <w:p>
            <w:pPr>
              <w:spacing w:after="0" w:line="149" w:lineRule="exact"/>
              <w:rPr>
                <w:sz w:val="20"/>
                <w:szCs w:val="20"/>
                <w:color w:val="auto"/>
              </w:rPr>
            </w:pPr>
            <w:r>
              <w:rPr>
                <w:rFonts w:ascii="Arial" w:cs="Arial" w:eastAsia="Arial" w:hAnsi="Arial"/>
                <w:sz w:val="14"/>
                <w:szCs w:val="14"/>
                <w:b w:val="1"/>
                <w:bCs w:val="1"/>
                <w:color w:val="auto"/>
              </w:rPr>
              <w:t>Non financial income</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Fee income</w:t>
            </w: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213,087</w:t>
            </w: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196,647</w:t>
            </w: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176,914</w:t>
            </w:r>
          </w:p>
        </w:tc>
        <w:tc>
          <w:tcPr>
            <w:tcW w:w="2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8.4%</w:t>
            </w:r>
          </w:p>
        </w:tc>
        <w:tc>
          <w:tcPr>
            <w:tcW w:w="18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20.4%</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409,734</w:t>
            </w: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339,762</w:t>
            </w:r>
          </w:p>
        </w:tc>
        <w:tc>
          <w:tcPr>
            <w:tcW w:w="140" w:type="dxa"/>
            <w:vAlign w:val="bottom"/>
            <w:shd w:val="clear" w:color="auto" w:fill="CCFFCC"/>
          </w:tcPr>
          <w:p>
            <w:pPr>
              <w:spacing w:after="0"/>
              <w:rPr>
                <w:sz w:val="12"/>
                <w:szCs w:val="12"/>
                <w:color w:val="auto"/>
              </w:rPr>
            </w:pPr>
          </w:p>
        </w:tc>
        <w:tc>
          <w:tcPr>
            <w:tcW w:w="900" w:type="dxa"/>
            <w:vAlign w:val="bottom"/>
            <w:gridSpan w:val="3"/>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ind w:left="140"/>
              <w:spacing w:after="0" w:line="149" w:lineRule="exact"/>
              <w:rPr>
                <w:sz w:val="20"/>
                <w:szCs w:val="20"/>
                <w:color w:val="auto"/>
              </w:rPr>
            </w:pPr>
            <w:r>
              <w:rPr>
                <w:rFonts w:ascii="Arial" w:cs="Arial" w:eastAsia="Arial" w:hAnsi="Arial"/>
                <w:sz w:val="14"/>
                <w:szCs w:val="14"/>
                <w:color w:val="auto"/>
              </w:rPr>
              <w:t>Net gain on foreign exchange transactions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53,860</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48,086</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43,727</w:t>
            </w:r>
          </w:p>
        </w:tc>
        <w:tc>
          <w:tcPr>
            <w:tcW w:w="22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12.0%</w:t>
            </w:r>
          </w:p>
        </w:tc>
        <w:tc>
          <w:tcPr>
            <w:tcW w:w="18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23.2%</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101,946</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82,980</w:t>
            </w:r>
          </w:p>
        </w:tc>
        <w:tc>
          <w:tcPr>
            <w:tcW w:w="140" w:type="dxa"/>
            <w:vAlign w:val="bottom"/>
          </w:tcPr>
          <w:p>
            <w:pPr>
              <w:spacing w:after="0"/>
              <w:rPr>
                <w:sz w:val="12"/>
                <w:szCs w:val="12"/>
                <w:color w:val="auto"/>
              </w:rPr>
            </w:pPr>
          </w:p>
        </w:tc>
        <w:tc>
          <w:tcPr>
            <w:tcW w:w="9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Net gain on sales of securities</w:t>
            </w:r>
          </w:p>
        </w:tc>
        <w:tc>
          <w:tcPr>
            <w:tcW w:w="8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(11,977)</w:t>
            </w: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23,356</w:t>
            </w: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16,090</w:t>
            </w:r>
          </w:p>
        </w:tc>
        <w:tc>
          <w:tcPr>
            <w:tcW w:w="2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-151.3%</w:t>
            </w:r>
          </w:p>
        </w:tc>
        <w:tc>
          <w:tcPr>
            <w:tcW w:w="18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-174.4%</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11,378</w:t>
            </w: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45,846</w:t>
            </w:r>
          </w:p>
        </w:tc>
        <w:tc>
          <w:tcPr>
            <w:tcW w:w="140" w:type="dxa"/>
            <w:vAlign w:val="bottom"/>
            <w:shd w:val="clear" w:color="auto" w:fill="CCFFCC"/>
          </w:tcPr>
          <w:p>
            <w:pPr>
              <w:spacing w:after="0"/>
              <w:rPr>
                <w:sz w:val="12"/>
                <w:szCs w:val="12"/>
                <w:color w:val="auto"/>
              </w:rPr>
            </w:pPr>
          </w:p>
        </w:tc>
        <w:tc>
          <w:tcPr>
            <w:tcW w:w="900" w:type="dxa"/>
            <w:vAlign w:val="bottom"/>
            <w:gridSpan w:val="3"/>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-75.2%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ind w:left="140"/>
              <w:spacing w:after="0" w:line="149" w:lineRule="exact"/>
              <w:rPr>
                <w:sz w:val="20"/>
                <w:szCs w:val="20"/>
                <w:color w:val="auto"/>
              </w:rPr>
            </w:pPr>
            <w:r>
              <w:rPr>
                <w:rFonts w:ascii="Arial" w:cs="Arial" w:eastAsia="Arial" w:hAnsi="Arial"/>
                <w:sz w:val="14"/>
                <w:szCs w:val="14"/>
                <w:color w:val="auto"/>
              </w:rPr>
              <w:t>Other (1)</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3,910</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14,110</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14,026</w:t>
            </w:r>
          </w:p>
        </w:tc>
        <w:tc>
          <w:tcPr>
            <w:tcW w:w="22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-72.3%</w:t>
            </w:r>
          </w:p>
        </w:tc>
        <w:tc>
          <w:tcPr>
            <w:tcW w:w="18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-72.1%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18,020</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19,987</w:t>
            </w:r>
          </w:p>
        </w:tc>
        <w:tc>
          <w:tcPr>
            <w:tcW w:w="140" w:type="dxa"/>
            <w:vAlign w:val="bottom"/>
          </w:tcPr>
          <w:p>
            <w:pPr>
              <w:spacing w:after="0"/>
              <w:rPr>
                <w:sz w:val="12"/>
                <w:szCs w:val="12"/>
                <w:color w:val="auto"/>
              </w:rPr>
            </w:pPr>
          </w:p>
        </w:tc>
        <w:tc>
          <w:tcPr>
            <w:tcW w:w="9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b w:val="1"/>
                <w:bCs w:val="1"/>
                <w:color w:val="auto"/>
              </w:rPr>
              <w:t>Total non financial income, net</w:t>
            </w: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258,880</w:t>
            </w: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282,199</w:t>
            </w: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250,757</w:t>
            </w:r>
          </w:p>
        </w:tc>
        <w:tc>
          <w:tcPr>
            <w:tcW w:w="2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-8.3%</w:t>
            </w:r>
          </w:p>
        </w:tc>
        <w:tc>
          <w:tcPr>
            <w:tcW w:w="18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3.2%</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541,079</w:t>
            </w: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488,576</w:t>
            </w:r>
          </w:p>
        </w:tc>
        <w:tc>
          <w:tcPr>
            <w:tcW w:w="140" w:type="dxa"/>
            <w:vAlign w:val="bottom"/>
            <w:shd w:val="clear" w:color="auto" w:fill="CCFFCC"/>
          </w:tcPr>
          <w:p>
            <w:pPr>
              <w:spacing w:after="0"/>
              <w:rPr>
                <w:sz w:val="12"/>
                <w:szCs w:val="12"/>
                <w:color w:val="auto"/>
              </w:rPr>
            </w:pPr>
          </w:p>
        </w:tc>
        <w:tc>
          <w:tcPr>
            <w:tcW w:w="900" w:type="dxa"/>
            <w:vAlign w:val="bottom"/>
            <w:gridSpan w:val="3"/>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10.7%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Insurance premiums and claims</w:t>
            </w: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ind w:left="140"/>
              <w:spacing w:after="0" w:line="149" w:lineRule="exact"/>
              <w:rPr>
                <w:sz w:val="20"/>
                <w:szCs w:val="20"/>
                <w:color w:val="auto"/>
              </w:rPr>
            </w:pPr>
            <w:r>
              <w:rPr>
                <w:rFonts w:ascii="Arial" w:cs="Arial" w:eastAsia="Arial" w:hAnsi="Arial"/>
                <w:sz w:val="14"/>
                <w:szCs w:val="14"/>
                <w:color w:val="auto"/>
              </w:rPr>
              <w:t>Net premiums earned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198,558</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194,257</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171,894</w:t>
            </w:r>
          </w:p>
        </w:tc>
        <w:tc>
          <w:tcPr>
            <w:tcW w:w="22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w:t>
            </w:r>
          </w:p>
        </w:tc>
        <w:tc>
          <w:tcPr>
            <w:tcW w:w="18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392,815</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330,428</w:t>
            </w:r>
          </w:p>
        </w:tc>
        <w:tc>
          <w:tcPr>
            <w:tcW w:w="140" w:type="dxa"/>
            <w:vAlign w:val="bottom"/>
          </w:tcPr>
          <w:p>
            <w:pPr>
              <w:spacing w:after="0"/>
              <w:rPr>
                <w:sz w:val="12"/>
                <w:szCs w:val="12"/>
                <w:color w:val="auto"/>
              </w:rPr>
            </w:pPr>
          </w:p>
        </w:tc>
        <w:tc>
          <w:tcPr>
            <w:tcW w:w="9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Net claims incurred (4)</w:t>
            </w:r>
          </w:p>
        </w:tc>
        <w:tc>
          <w:tcPr>
            <w:tcW w:w="8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(138,522)</w:t>
            </w:r>
          </w:p>
        </w:tc>
        <w:tc>
          <w:tcPr>
            <w:tcW w:w="8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(131,691)</w:t>
            </w:r>
          </w:p>
        </w:tc>
        <w:tc>
          <w:tcPr>
            <w:tcW w:w="8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(101,591)</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5.2%</w:t>
            </w:r>
          </w:p>
        </w:tc>
        <w:tc>
          <w:tcPr>
            <w:tcW w:w="18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36.4%</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(270,214)</w:t>
            </w:r>
          </w:p>
        </w:tc>
        <w:tc>
          <w:tcPr>
            <w:tcW w:w="8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(230,452)</w:t>
            </w:r>
          </w:p>
        </w:tc>
        <w:tc>
          <w:tcPr>
            <w:tcW w:w="900" w:type="dxa"/>
            <w:vAlign w:val="bottom"/>
            <w:gridSpan w:val="3"/>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ind w:left="140"/>
              <w:spacing w:after="0" w:line="149" w:lineRule="exact"/>
              <w:rPr>
                <w:sz w:val="20"/>
                <w:szCs w:val="20"/>
                <w:color w:val="auto"/>
              </w:rPr>
            </w:pPr>
            <w:r>
              <w:rPr>
                <w:rFonts w:ascii="Arial" w:cs="Arial" w:eastAsia="Arial" w:hAnsi="Arial"/>
                <w:sz w:val="14"/>
                <w:szCs w:val="14"/>
                <w:color w:val="auto"/>
              </w:rPr>
              <w:t>Net technical commissions and Expenses (2)(4)</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(29,686)</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(26,849)</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(30,584)</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10.6%</w:t>
            </w:r>
          </w:p>
        </w:tc>
        <w:tc>
          <w:tcPr>
            <w:tcW w:w="18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-2.9%</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(56,534)</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(54,721)</w:t>
            </w:r>
          </w:p>
        </w:tc>
        <w:tc>
          <w:tcPr>
            <w:tcW w:w="9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Total Insurance services technical result</w:t>
            </w: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30,350</w:t>
            </w: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35,717</w:t>
            </w: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39,719</w:t>
            </w:r>
          </w:p>
        </w:tc>
        <w:tc>
          <w:tcPr>
            <w:tcW w:w="2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-15.0%</w:t>
            </w:r>
          </w:p>
        </w:tc>
        <w:tc>
          <w:tcPr>
            <w:tcW w:w="18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-23.6%</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66,067</w:t>
            </w: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45,255</w:t>
            </w:r>
          </w:p>
        </w:tc>
        <w:tc>
          <w:tcPr>
            <w:tcW w:w="140" w:type="dxa"/>
            <w:vAlign w:val="bottom"/>
            <w:shd w:val="clear" w:color="auto" w:fill="CCFFCC"/>
          </w:tcPr>
          <w:p>
            <w:pPr>
              <w:spacing w:after="0"/>
              <w:rPr>
                <w:sz w:val="12"/>
                <w:szCs w:val="12"/>
                <w:color w:val="auto"/>
              </w:rPr>
            </w:pPr>
          </w:p>
        </w:tc>
        <w:tc>
          <w:tcPr>
            <w:tcW w:w="900" w:type="dxa"/>
            <w:vAlign w:val="bottom"/>
            <w:gridSpan w:val="3"/>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Medical Services Technical Result (3)(4)</w:t>
            </w: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6,466</w:t>
            </w: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5,534</w:t>
            </w:r>
          </w:p>
        </w:tc>
        <w:tc>
          <w:tcPr>
            <w:tcW w:w="22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b w:val="1"/>
                <w:bCs w:val="1"/>
                <w:color w:val="auto"/>
              </w:rPr>
              <w:t>(717)</w:t>
            </w: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16.8%</w:t>
            </w:r>
          </w:p>
        </w:tc>
        <w:tc>
          <w:tcPr>
            <w:tcW w:w="18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1001.9%</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12,000</w:t>
            </w: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3,589</w:t>
            </w:r>
          </w:p>
        </w:tc>
        <w:tc>
          <w:tcPr>
            <w:tcW w:w="140" w:type="dxa"/>
            <w:vAlign w:val="bottom"/>
            <w:shd w:val="clear" w:color="auto" w:fill="CCFFCC"/>
          </w:tcPr>
          <w:p>
            <w:pPr>
              <w:spacing w:after="0"/>
              <w:rPr>
                <w:sz w:val="12"/>
                <w:szCs w:val="12"/>
                <w:color w:val="auto"/>
              </w:rPr>
            </w:pPr>
          </w:p>
        </w:tc>
        <w:tc>
          <w:tcPr>
            <w:tcW w:w="900" w:type="dxa"/>
            <w:vAlign w:val="bottom"/>
            <w:gridSpan w:val="3"/>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234.3%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ind w:left="140"/>
              <w:spacing w:after="0" w:line="149" w:lineRule="exact"/>
              <w:rPr>
                <w:sz w:val="20"/>
                <w:szCs w:val="20"/>
                <w:color w:val="auto"/>
              </w:rPr>
            </w:pPr>
            <w:r>
              <w:rPr>
                <w:rFonts w:ascii="Arial" w:cs="Arial" w:eastAsia="Arial" w:hAnsi="Arial"/>
                <w:sz w:val="14"/>
                <w:szCs w:val="14"/>
                <w:color w:val="auto"/>
              </w:rPr>
              <w:t>Salaries and employees benefits</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(211,701)</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(210,813)</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(175,667)</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0.4%</w:t>
            </w:r>
          </w:p>
        </w:tc>
        <w:tc>
          <w:tcPr>
            <w:tcW w:w="18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20.5%</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(422,514)</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(341,147)</w:t>
            </w:r>
          </w:p>
        </w:tc>
        <w:tc>
          <w:tcPr>
            <w:tcW w:w="9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Administrative, general and tax expenses</w:t>
            </w:r>
          </w:p>
        </w:tc>
        <w:tc>
          <w:tcPr>
            <w:tcW w:w="8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(157,630)</w:t>
            </w:r>
          </w:p>
        </w:tc>
        <w:tc>
          <w:tcPr>
            <w:tcW w:w="8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(147,093)</w:t>
            </w:r>
          </w:p>
        </w:tc>
        <w:tc>
          <w:tcPr>
            <w:tcW w:w="8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(123,048)</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7.2%</w:t>
            </w:r>
          </w:p>
        </w:tc>
        <w:tc>
          <w:tcPr>
            <w:tcW w:w="18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28.1%</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(304,722)</w:t>
            </w:r>
          </w:p>
        </w:tc>
        <w:tc>
          <w:tcPr>
            <w:tcW w:w="8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(227,736)</w:t>
            </w:r>
          </w:p>
        </w:tc>
        <w:tc>
          <w:tcPr>
            <w:tcW w:w="900" w:type="dxa"/>
            <w:vAlign w:val="bottom"/>
            <w:gridSpan w:val="3"/>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ind w:left="140"/>
              <w:spacing w:after="0" w:line="149" w:lineRule="exact"/>
              <w:rPr>
                <w:sz w:val="20"/>
                <w:szCs w:val="20"/>
                <w:color w:val="auto"/>
              </w:rPr>
            </w:pPr>
            <w:r>
              <w:rPr>
                <w:rFonts w:ascii="Arial" w:cs="Arial" w:eastAsia="Arial" w:hAnsi="Arial"/>
                <w:sz w:val="14"/>
                <w:szCs w:val="14"/>
                <w:color w:val="auto"/>
              </w:rPr>
              <w:t>Depreciation and amortization</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(31,522)</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(31,009)</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(27,937)</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w:t>
            </w:r>
          </w:p>
        </w:tc>
        <w:tc>
          <w:tcPr>
            <w:tcW w:w="18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12.8%</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(62,531)</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(56,212)</w:t>
            </w:r>
          </w:p>
        </w:tc>
        <w:tc>
          <w:tcPr>
            <w:tcW w:w="9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Other (5)</w:t>
            </w:r>
          </w:p>
        </w:tc>
        <w:tc>
          <w:tcPr>
            <w:tcW w:w="8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(16,225)</w:t>
            </w:r>
          </w:p>
        </w:tc>
        <w:tc>
          <w:tcPr>
            <w:tcW w:w="8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(13,942)</w:t>
            </w:r>
          </w:p>
        </w:tc>
        <w:tc>
          <w:tcPr>
            <w:tcW w:w="8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(10,936)</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16.4%</w:t>
            </w:r>
          </w:p>
        </w:tc>
        <w:tc>
          <w:tcPr>
            <w:tcW w:w="18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48.4%</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(30,167)</w:t>
            </w:r>
          </w:p>
        </w:tc>
        <w:tc>
          <w:tcPr>
            <w:tcW w:w="8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(23,064)</w:t>
            </w:r>
          </w:p>
        </w:tc>
        <w:tc>
          <w:tcPr>
            <w:tcW w:w="900" w:type="dxa"/>
            <w:vAlign w:val="bottom"/>
            <w:gridSpan w:val="3"/>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Total operating expenses</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(417,077)</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(402,857)</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(337,589)</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3.5%</w:t>
            </w:r>
          </w:p>
        </w:tc>
        <w:tc>
          <w:tcPr>
            <w:tcW w:w="1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23.5%</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(819,934)</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(648,159)</w:t>
            </w:r>
          </w:p>
        </w:tc>
        <w:tc>
          <w:tcPr>
            <w:tcW w:w="90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rPr>
              <w:t>26.5%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8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80" w:type="dxa"/>
            <w:vAlign w:val="bottom"/>
          </w:tcPr>
          <w:p>
            <w:pPr>
              <w:spacing w:after="0" w:line="149" w:lineRule="exact"/>
              <w:rPr>
                <w:sz w:val="20"/>
                <w:szCs w:val="20"/>
                <w:color w:val="auto"/>
              </w:rPr>
            </w:pPr>
            <w:r>
              <w:rPr>
                <w:rFonts w:ascii="Arial" w:cs="Arial" w:eastAsia="Arial" w:hAnsi="Arial"/>
                <w:sz w:val="14"/>
                <w:szCs w:val="14"/>
                <w:b w:val="1"/>
                <w:bCs w:val="1"/>
                <w:color w:val="auto"/>
              </w:rPr>
              <w:t>Operating income (6)</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Translation result</w:t>
            </w:r>
          </w:p>
        </w:tc>
        <w:tc>
          <w:tcPr>
            <w:tcW w:w="8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(78,541)</w:t>
            </w:r>
          </w:p>
        </w:tc>
        <w:tc>
          <w:tcPr>
            <w:tcW w:w="8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(18,646)</w:t>
            </w:r>
          </w:p>
        </w:tc>
        <w:tc>
          <w:tcPr>
            <w:tcW w:w="8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(1,685)</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321.2%</w:t>
            </w:r>
          </w:p>
        </w:tc>
        <w:tc>
          <w:tcPr>
            <w:tcW w:w="18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4560.4%</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(97,186)</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11,499</w:t>
            </w:r>
          </w:p>
        </w:tc>
        <w:tc>
          <w:tcPr>
            <w:tcW w:w="140" w:type="dxa"/>
            <w:vAlign w:val="bottom"/>
            <w:shd w:val="clear" w:color="auto" w:fill="CCFFCC"/>
          </w:tcPr>
          <w:p>
            <w:pPr>
              <w:spacing w:after="0"/>
              <w:rPr>
                <w:sz w:val="12"/>
                <w:szCs w:val="12"/>
                <w:color w:val="auto"/>
              </w:rPr>
            </w:pPr>
          </w:p>
        </w:tc>
        <w:tc>
          <w:tcPr>
            <w:tcW w:w="900" w:type="dxa"/>
            <w:vAlign w:val="bottom"/>
            <w:gridSpan w:val="3"/>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-945.1%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ind w:left="140"/>
              <w:spacing w:after="0" w:line="149" w:lineRule="exact"/>
              <w:rPr>
                <w:sz w:val="20"/>
                <w:szCs w:val="20"/>
                <w:color w:val="auto"/>
              </w:rPr>
            </w:pPr>
            <w:r>
              <w:rPr>
                <w:rFonts w:ascii="Arial" w:cs="Arial" w:eastAsia="Arial" w:hAnsi="Arial"/>
                <w:sz w:val="14"/>
                <w:szCs w:val="14"/>
                <w:color w:val="auto"/>
              </w:rPr>
              <w:t>Income taxes</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(71,008)</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(72,400)</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(58,573)</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w:t>
            </w:r>
          </w:p>
        </w:tc>
        <w:tc>
          <w:tcPr>
            <w:tcW w:w="18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21.2%</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(143,408)</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(118,646)</w:t>
            </w:r>
          </w:p>
        </w:tc>
        <w:tc>
          <w:tcPr>
            <w:tcW w:w="9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8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8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54,842</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185,413</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174,998</w:t>
            </w:r>
          </w:p>
        </w:tc>
        <w:tc>
          <w:tcPr>
            <w:tcW w:w="2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-70.4%</w:t>
            </w:r>
          </w:p>
        </w:tc>
        <w:tc>
          <w:tcPr>
            <w:tcW w:w="1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-68.7%</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240,255</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367,812</w:t>
            </w:r>
          </w:p>
        </w:tc>
        <w:tc>
          <w:tcPr>
            <w:tcW w:w="140" w:type="dxa"/>
            <w:vAlign w:val="bottom"/>
          </w:tcPr>
          <w:p>
            <w:pPr>
              <w:spacing w:after="0"/>
              <w:rPr>
                <w:sz w:val="12"/>
                <w:szCs w:val="12"/>
                <w:color w:val="auto"/>
              </w:rPr>
            </w:pPr>
          </w:p>
        </w:tc>
        <w:tc>
          <w:tcPr>
            <w:tcW w:w="90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rPr>
              <w:t>-34.7%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Minority interest</w:t>
            </w: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348</w:t>
            </w: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3,891</w:t>
            </w: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3,051</w:t>
            </w:r>
          </w:p>
        </w:tc>
        <w:tc>
          <w:tcPr>
            <w:tcW w:w="2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-91.1%</w:t>
            </w:r>
          </w:p>
        </w:tc>
        <w:tc>
          <w:tcPr>
            <w:tcW w:w="18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-88.6%</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4,238</w:t>
            </w: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6,753</w:t>
            </w:r>
          </w:p>
        </w:tc>
        <w:tc>
          <w:tcPr>
            <w:tcW w:w="140" w:type="dxa"/>
            <w:vAlign w:val="bottom"/>
            <w:shd w:val="clear" w:color="auto" w:fill="CCFFCC"/>
          </w:tcPr>
          <w:p>
            <w:pPr>
              <w:spacing w:after="0"/>
              <w:rPr>
                <w:sz w:val="12"/>
                <w:szCs w:val="12"/>
                <w:color w:val="auto"/>
              </w:rPr>
            </w:pPr>
          </w:p>
        </w:tc>
        <w:tc>
          <w:tcPr>
            <w:tcW w:w="900" w:type="dxa"/>
            <w:vAlign w:val="bottom"/>
            <w:gridSpan w:val="3"/>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080" w:type="dxa"/>
            <w:vAlign w:val="bottom"/>
          </w:tcPr>
          <w:p>
            <w:pPr>
              <w:spacing w:after="0"/>
              <w:rPr>
                <w:sz w:val="20"/>
                <w:szCs w:val="20"/>
                <w:color w:val="auto"/>
              </w:rPr>
            </w:pPr>
            <w:r>
              <w:rPr>
                <w:rFonts w:ascii="Arial" w:cs="Arial" w:eastAsia="Arial" w:hAnsi="Arial"/>
                <w:sz w:val="14"/>
                <w:szCs w:val="14"/>
                <w:b w:val="1"/>
                <w:bCs w:val="1"/>
                <w:color w:val="auto"/>
              </w:rPr>
              <w:t>Net income attributed to Credicorp</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54,494</w:t>
            </w: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181,522</w:t>
            </w: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171,946</w:t>
            </w:r>
          </w:p>
        </w:tc>
        <w:tc>
          <w:tcPr>
            <w:tcW w:w="22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-70.0%</w:t>
            </w:r>
          </w:p>
        </w:tc>
        <w:tc>
          <w:tcPr>
            <w:tcW w:w="18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-68.3%</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236,016</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361,059</w:t>
            </w:r>
          </w:p>
        </w:tc>
        <w:tc>
          <w:tcPr>
            <w:tcW w:w="140" w:type="dxa"/>
            <w:vAlign w:val="bottom"/>
          </w:tcPr>
          <w:p>
            <w:pPr>
              <w:spacing w:after="0"/>
              <w:rPr>
                <w:sz w:val="15"/>
                <w:szCs w:val="15"/>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-34.6%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-8890</wp:posOffset>
            </wp:positionV>
            <wp:extent cx="43395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339590" cy="8890"/>
                    </a:xfrm>
                    <a:prstGeom prst="rect">
                      <a:avLst/>
                    </a:prstGeom>
                    <a:noFill/>
                  </pic:spPr>
                </pic:pic>
              </a:graphicData>
            </a:graphic>
          </wp:anchor>
        </w:drawing>
      </w:r>
    </w:p>
    <w:p>
      <w:pPr>
        <w:ind w:left="300" w:hanging="250"/>
        <w:spacing w:after="0"/>
        <w:tabs>
          <w:tab w:leader="none" w:pos="300" w:val="left"/>
        </w:tabs>
        <w:numPr>
          <w:ilvl w:val="0"/>
          <w:numId w:val="36"/>
        </w:numPr>
        <w:rPr>
          <w:rFonts w:ascii="Arial" w:cs="Arial" w:eastAsia="Arial" w:hAnsi="Arial"/>
          <w:sz w:val="17"/>
          <w:szCs w:val="17"/>
          <w:i w:val="1"/>
          <w:iCs w:val="1"/>
          <w:color w:val="auto"/>
        </w:rPr>
      </w:pPr>
      <w:r>
        <w:rPr>
          <w:rFonts w:ascii="Arial" w:cs="Arial" w:eastAsia="Arial" w:hAnsi="Arial"/>
          <w:sz w:val="17"/>
          <w:szCs w:val="17"/>
          <w:i w:val="1"/>
          <w:iCs w:val="1"/>
          <w:color w:val="auto"/>
        </w:rPr>
        <w:t>For 3Q11, Other non financial income has been reclassified and now excludes: a) Medical services technical result and b) Underwriting income.</w:t>
      </w:r>
    </w:p>
    <w:p>
      <w:pPr>
        <w:spacing w:after="0" w:line="18" w:lineRule="exact"/>
        <w:rPr>
          <w:rFonts w:ascii="Arial" w:cs="Arial" w:eastAsia="Arial" w:hAnsi="Arial"/>
          <w:sz w:val="17"/>
          <w:szCs w:val="17"/>
          <w:i w:val="1"/>
          <w:iCs w:val="1"/>
          <w:color w:val="auto"/>
        </w:rPr>
      </w:pPr>
    </w:p>
    <w:p>
      <w:pPr>
        <w:ind w:left="300" w:hanging="250"/>
        <w:spacing w:after="0"/>
        <w:tabs>
          <w:tab w:leader="none" w:pos="300" w:val="left"/>
        </w:tabs>
        <w:numPr>
          <w:ilvl w:val="0"/>
          <w:numId w:val="36"/>
        </w:numPr>
        <w:rPr>
          <w:rFonts w:ascii="Arial" w:cs="Arial" w:eastAsia="Arial" w:hAnsi="Arial"/>
          <w:sz w:val="17"/>
          <w:szCs w:val="17"/>
          <w:i w:val="1"/>
          <w:iCs w:val="1"/>
          <w:color w:val="auto"/>
        </w:rPr>
      </w:pPr>
      <w:r>
        <w:rPr>
          <w:rFonts w:ascii="Arial" w:cs="Arial" w:eastAsia="Arial" w:hAnsi="Arial"/>
          <w:sz w:val="17"/>
          <w:szCs w:val="17"/>
          <w:i w:val="1"/>
          <w:iCs w:val="1"/>
          <w:color w:val="auto"/>
        </w:rPr>
        <w:t>This item was used to be included in Other operating expenses until 1Q12. It refers to Commisions over insurance and reinsurance premiums.</w:t>
      </w:r>
    </w:p>
    <w:p>
      <w:pPr>
        <w:spacing w:after="0" w:line="20" w:lineRule="exact"/>
        <w:rPr>
          <w:rFonts w:ascii="Arial" w:cs="Arial" w:eastAsia="Arial" w:hAnsi="Arial"/>
          <w:sz w:val="17"/>
          <w:szCs w:val="17"/>
          <w:i w:val="1"/>
          <w:iCs w:val="1"/>
          <w:color w:val="auto"/>
        </w:rPr>
      </w:pPr>
    </w:p>
    <w:p>
      <w:pPr>
        <w:ind w:left="60" w:right="220" w:hanging="10"/>
        <w:spacing w:after="0" w:line="250" w:lineRule="auto"/>
        <w:tabs>
          <w:tab w:leader="none" w:pos="315"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Gross margin from clinics: income from medical care minus operating expenses related to medical services. This item was reported under Other non-financial income until 1Q12.</w:t>
      </w:r>
    </w:p>
    <w:p>
      <w:pPr>
        <w:ind w:left="60" w:right="80" w:hanging="10"/>
        <w:spacing w:after="0" w:line="250" w:lineRule="auto"/>
        <w:tabs>
          <w:tab w:leader="none" w:pos="315"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Starting 2013, revenues from medical subsidiaries are accounted in the medical services technical results account. This adjustment has been made against net claims and net technical expenses. In 4Q12, US$ 9.4 million were added to Medical Services Technical Result against an increase of US$ 7.6 million in net claims and US$1.8 million in net technical commissions and expenses.Similarly, 2.3 million were added to Medical Services Technical Result in 1Q12, against an increase of an equal amount in net claims.</w:t>
      </w:r>
    </w:p>
    <w:p>
      <w:pPr>
        <w:spacing w:after="0" w:line="1" w:lineRule="exact"/>
        <w:rPr>
          <w:rFonts w:ascii="Arial" w:cs="Arial" w:eastAsia="Arial" w:hAnsi="Arial"/>
          <w:sz w:val="18"/>
          <w:szCs w:val="18"/>
          <w:i w:val="1"/>
          <w:iCs w:val="1"/>
          <w:color w:val="auto"/>
        </w:rPr>
      </w:pPr>
    </w:p>
    <w:p>
      <w:pPr>
        <w:ind w:left="60" w:right="240" w:hanging="10"/>
        <w:spacing w:after="0" w:line="250" w:lineRule="auto"/>
        <w:tabs>
          <w:tab w:leader="none" w:pos="315"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Other operating expenses now excludes Net technical commisions and expenses but includes the underwriting income that was used to be included in Other non-financial income until 1Q12.</w:t>
      </w:r>
    </w:p>
    <w:p>
      <w:pPr>
        <w:ind w:left="300" w:hanging="250"/>
        <w:spacing w:after="0"/>
        <w:tabs>
          <w:tab w:leader="none" w:pos="30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Income before translation results and income taxes.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360" w:top="1440" w:right="239" w:bottom="1440" w:gutter="0" w:footer="0" w:header="0"/>
        </w:sectPr>
      </w:pPr>
    </w:p>
    <w:bookmarkStart w:id="50" w:name="page51"/>
    <w:bookmarkEnd w:id="50"/>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ind w:left="3960"/>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SELECTED FINANCIAL INDICATORS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Quarter</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3"/>
          </w:tcPr>
          <w:p>
            <w:pPr>
              <w:ind w:left="740"/>
              <w:spacing w:after="0"/>
              <w:rPr>
                <w:sz w:val="20"/>
                <w:szCs w:val="20"/>
                <w:color w:val="auto"/>
              </w:rPr>
            </w:pPr>
            <w:r>
              <w:rPr>
                <w:rFonts w:ascii="Arial" w:cs="Arial" w:eastAsia="Arial" w:hAnsi="Arial"/>
                <w:sz w:val="14"/>
                <w:szCs w:val="14"/>
                <w:b w:val="1"/>
                <w:bCs w:val="1"/>
                <w:color w:val="auto"/>
                <w:w w:val="92"/>
              </w:rPr>
              <w:t>Year to date</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2Q13</w:t>
            </w: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1Q13</w:t>
            </w: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2Q12</w:t>
            </w:r>
          </w:p>
        </w:tc>
        <w:tc>
          <w:tcPr>
            <w:tcW w:w="1500" w:type="dxa"/>
            <w:vAlign w:val="bottom"/>
            <w:gridSpan w:val="3"/>
          </w:tcPr>
          <w:p>
            <w:pPr>
              <w:ind w:left="280"/>
              <w:spacing w:after="0"/>
              <w:rPr>
                <w:sz w:val="20"/>
                <w:szCs w:val="20"/>
                <w:color w:val="auto"/>
              </w:rPr>
            </w:pPr>
            <w:r>
              <w:rPr>
                <w:rFonts w:ascii="Arial" w:cs="Arial" w:eastAsia="Arial" w:hAnsi="Arial"/>
                <w:sz w:val="14"/>
                <w:szCs w:val="14"/>
                <w:b w:val="1"/>
                <w:bCs w:val="1"/>
                <w:color w:val="auto"/>
              </w:rPr>
              <w:t>Jun 13</w:t>
            </w: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Jun 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Borders>
              <w:top w:val="single" w:sz="8" w:color="CCFFCC"/>
            </w:tcBorders>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Profitability</w:t>
            </w:r>
          </w:p>
        </w:tc>
        <w:tc>
          <w:tcPr>
            <w:tcW w:w="100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1000" w:type="dxa"/>
            <w:vAlign w:val="bottom"/>
            <w:tcBorders>
              <w:top w:val="single" w:sz="8" w:color="auto"/>
            </w:tcBorders>
            <w:shd w:val="clear" w:color="auto" w:fill="CCFFCC"/>
          </w:tcPr>
          <w:p>
            <w:pPr>
              <w:spacing w:after="0"/>
              <w:rPr>
                <w:sz w:val="12"/>
                <w:szCs w:val="12"/>
                <w:color w:val="auto"/>
              </w:rPr>
            </w:pPr>
          </w:p>
        </w:tc>
        <w:tc>
          <w:tcPr>
            <w:tcW w:w="240" w:type="dxa"/>
            <w:vAlign w:val="bottom"/>
            <w:tcBorders>
              <w:top w:val="single" w:sz="8" w:color="CCFFCC"/>
            </w:tcBorders>
            <w:shd w:val="clear" w:color="auto" w:fill="CCFFCC"/>
          </w:tcPr>
          <w:p>
            <w:pPr>
              <w:spacing w:after="0"/>
              <w:rPr>
                <w:sz w:val="12"/>
                <w:szCs w:val="12"/>
                <w:color w:val="auto"/>
              </w:rPr>
            </w:pPr>
          </w:p>
        </w:tc>
        <w:tc>
          <w:tcPr>
            <w:tcW w:w="100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1000" w:type="dxa"/>
            <w:vAlign w:val="bottom"/>
            <w:tcBorders>
              <w:top w:val="single" w:sz="8" w:color="auto"/>
            </w:tcBorders>
            <w:shd w:val="clear" w:color="auto" w:fill="CCFFCC"/>
          </w:tcPr>
          <w:p>
            <w:pPr>
              <w:spacing w:after="0"/>
              <w:rPr>
                <w:sz w:val="12"/>
                <w:szCs w:val="12"/>
                <w:color w:val="auto"/>
              </w:rPr>
            </w:pPr>
          </w:p>
        </w:tc>
        <w:tc>
          <w:tcPr>
            <w:tcW w:w="240" w:type="dxa"/>
            <w:vAlign w:val="bottom"/>
            <w:tcBorders>
              <w:top w:val="single" w:sz="8" w:color="CCFFCC"/>
            </w:tcBorders>
            <w:shd w:val="clear" w:color="auto" w:fill="CCFFCC"/>
          </w:tcPr>
          <w:p>
            <w:pPr>
              <w:spacing w:after="0"/>
              <w:rPr>
                <w:sz w:val="12"/>
                <w:szCs w:val="12"/>
                <w:color w:val="auto"/>
              </w:rPr>
            </w:pPr>
          </w:p>
        </w:tc>
        <w:tc>
          <w:tcPr>
            <w:tcW w:w="260" w:type="dxa"/>
            <w:vAlign w:val="bottom"/>
            <w:tcBorders>
              <w:top w:val="single" w:sz="8" w:color="auto"/>
            </w:tcBorders>
            <w:shd w:val="clear" w:color="auto" w:fill="CCFFCC"/>
          </w:tcPr>
          <w:p>
            <w:pPr>
              <w:spacing w:after="0"/>
              <w:rPr>
                <w:sz w:val="12"/>
                <w:szCs w:val="12"/>
                <w:color w:val="auto"/>
              </w:rPr>
            </w:pPr>
          </w:p>
        </w:tc>
        <w:tc>
          <w:tcPr>
            <w:tcW w:w="74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ind w:left="140"/>
              <w:spacing w:after="0" w:line="149" w:lineRule="exact"/>
              <w:rPr>
                <w:sz w:val="20"/>
                <w:szCs w:val="20"/>
                <w:color w:val="auto"/>
              </w:rPr>
            </w:pPr>
            <w:r>
              <w:rPr>
                <w:rFonts w:ascii="Arial" w:cs="Arial" w:eastAsia="Arial" w:hAnsi="Arial"/>
                <w:sz w:val="14"/>
                <w:szCs w:val="14"/>
                <w:color w:val="auto"/>
              </w:rPr>
              <w:t>Net income per common share (US$ per share) (1)</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0.68</w:t>
            </w: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2.28</w:t>
            </w:r>
          </w:p>
        </w:tc>
        <w:tc>
          <w:tcPr>
            <w:tcW w:w="2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2.16</w:t>
            </w: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2.96</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4.53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Net interest margin on interest earning assets (2)</w:t>
            </w:r>
          </w:p>
        </w:tc>
        <w:tc>
          <w:tcPr>
            <w:tcW w:w="12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4.81%</w:t>
            </w:r>
          </w:p>
        </w:tc>
        <w:tc>
          <w:tcPr>
            <w:tcW w:w="12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4.87%</w:t>
            </w:r>
          </w:p>
        </w:tc>
        <w:tc>
          <w:tcPr>
            <w:tcW w:w="12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5.03%</w:t>
            </w:r>
          </w:p>
        </w:tc>
        <w:tc>
          <w:tcPr>
            <w:tcW w:w="12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4.97%</w:t>
            </w:r>
          </w:p>
        </w:tc>
        <w:tc>
          <w:tcPr>
            <w:tcW w:w="2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5.16%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ind w:left="140"/>
              <w:spacing w:after="0" w:line="149" w:lineRule="exact"/>
              <w:rPr>
                <w:sz w:val="20"/>
                <w:szCs w:val="20"/>
                <w:color w:val="auto"/>
              </w:rPr>
            </w:pPr>
            <w:r>
              <w:rPr>
                <w:rFonts w:ascii="Arial" w:cs="Arial" w:eastAsia="Arial" w:hAnsi="Arial"/>
                <w:sz w:val="14"/>
                <w:szCs w:val="14"/>
                <w:color w:val="auto"/>
              </w:rPr>
              <w:t>Return on average total assets (2) (3)</w:t>
            </w:r>
          </w:p>
        </w:tc>
        <w:tc>
          <w:tcPr>
            <w:tcW w:w="12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0.5%</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w:t>
            </w:r>
          </w:p>
        </w:tc>
        <w:tc>
          <w:tcPr>
            <w:tcW w:w="12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w:t>
            </w:r>
          </w:p>
        </w:tc>
        <w:tc>
          <w:tcPr>
            <w:tcW w:w="26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Return on average shareholders' equity (2) (3)</w:t>
            </w:r>
          </w:p>
        </w:tc>
        <w:tc>
          <w:tcPr>
            <w:tcW w:w="12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5.4%</w:t>
            </w:r>
          </w:p>
        </w:tc>
        <w:tc>
          <w:tcPr>
            <w:tcW w:w="12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17.5%</w:t>
            </w:r>
          </w:p>
        </w:tc>
        <w:tc>
          <w:tcPr>
            <w:tcW w:w="12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19.2%</w:t>
            </w:r>
          </w:p>
        </w:tc>
        <w:tc>
          <w:tcPr>
            <w:tcW w:w="12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11.3%</w:t>
            </w:r>
          </w:p>
        </w:tc>
        <w:tc>
          <w:tcPr>
            <w:tcW w:w="2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ind w:left="140"/>
              <w:spacing w:after="0" w:line="149" w:lineRule="exact"/>
              <w:rPr>
                <w:sz w:val="20"/>
                <w:szCs w:val="20"/>
                <w:color w:val="auto"/>
              </w:rPr>
            </w:pPr>
            <w:r>
              <w:rPr>
                <w:rFonts w:ascii="Arial" w:cs="Arial" w:eastAsia="Arial" w:hAnsi="Arial"/>
                <w:sz w:val="14"/>
                <w:szCs w:val="14"/>
                <w:color w:val="auto"/>
              </w:rPr>
              <w:t>No. of outstanding shares (millions) (4)</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79.76</w:t>
            </w: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79.76</w:t>
            </w:r>
          </w:p>
        </w:tc>
        <w:tc>
          <w:tcPr>
            <w:tcW w:w="2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79.76</w:t>
            </w: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79.76</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79.76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4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b w:val="1"/>
                <w:bCs w:val="1"/>
                <w:color w:val="auto"/>
              </w:rPr>
              <w:t>Quality of loan portfolio</w:t>
            </w: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PDL ratio</w:t>
            </w:r>
          </w:p>
        </w:tc>
        <w:tc>
          <w:tcPr>
            <w:tcW w:w="12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2.11%</w:t>
            </w:r>
          </w:p>
        </w:tc>
        <w:tc>
          <w:tcPr>
            <w:tcW w:w="12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1.97%</w:t>
            </w:r>
          </w:p>
        </w:tc>
        <w:tc>
          <w:tcPr>
            <w:tcW w:w="12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1.74%</w:t>
            </w:r>
          </w:p>
        </w:tc>
        <w:tc>
          <w:tcPr>
            <w:tcW w:w="12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2.11%</w:t>
            </w:r>
          </w:p>
        </w:tc>
        <w:tc>
          <w:tcPr>
            <w:tcW w:w="2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ind w:left="140"/>
              <w:spacing w:after="0" w:line="149" w:lineRule="exact"/>
              <w:rPr>
                <w:sz w:val="20"/>
                <w:szCs w:val="20"/>
                <w:color w:val="auto"/>
              </w:rPr>
            </w:pPr>
            <w:r>
              <w:rPr>
                <w:rFonts w:ascii="Arial" w:cs="Arial" w:eastAsia="Arial" w:hAnsi="Arial"/>
                <w:sz w:val="14"/>
                <w:szCs w:val="14"/>
                <w:color w:val="auto"/>
              </w:rPr>
              <w:t>NPL ratio</w:t>
            </w:r>
          </w:p>
        </w:tc>
        <w:tc>
          <w:tcPr>
            <w:tcW w:w="12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2.73%</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2.60%</w:t>
            </w:r>
          </w:p>
        </w:tc>
        <w:tc>
          <w:tcPr>
            <w:tcW w:w="12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2.34%</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2.73%</w:t>
            </w:r>
          </w:p>
        </w:tc>
        <w:tc>
          <w:tcPr>
            <w:tcW w:w="26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Coverage of PDLs</w:t>
            </w:r>
          </w:p>
        </w:tc>
        <w:tc>
          <w:tcPr>
            <w:tcW w:w="12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167.4%</w:t>
            </w:r>
          </w:p>
        </w:tc>
        <w:tc>
          <w:tcPr>
            <w:tcW w:w="12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172.8%</w:t>
            </w:r>
          </w:p>
        </w:tc>
        <w:tc>
          <w:tcPr>
            <w:tcW w:w="12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186.8%</w:t>
            </w:r>
          </w:p>
        </w:tc>
        <w:tc>
          <w:tcPr>
            <w:tcW w:w="12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167.4%</w:t>
            </w:r>
          </w:p>
        </w:tc>
        <w:tc>
          <w:tcPr>
            <w:tcW w:w="2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186.8%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ind w:left="140"/>
              <w:spacing w:after="0" w:line="149" w:lineRule="exact"/>
              <w:rPr>
                <w:sz w:val="20"/>
                <w:szCs w:val="20"/>
                <w:color w:val="auto"/>
              </w:rPr>
            </w:pPr>
            <w:r>
              <w:rPr>
                <w:rFonts w:ascii="Arial" w:cs="Arial" w:eastAsia="Arial" w:hAnsi="Arial"/>
                <w:sz w:val="14"/>
                <w:szCs w:val="14"/>
                <w:color w:val="auto"/>
              </w:rPr>
              <w:t>Coverage of NPLs</w:t>
            </w:r>
          </w:p>
        </w:tc>
        <w:tc>
          <w:tcPr>
            <w:tcW w:w="12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129.3%</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131.2%</w:t>
            </w:r>
          </w:p>
        </w:tc>
        <w:tc>
          <w:tcPr>
            <w:tcW w:w="12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139.1%</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129.3%</w:t>
            </w:r>
          </w:p>
        </w:tc>
        <w:tc>
          <w:tcPr>
            <w:tcW w:w="26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Reserves for loan losses / Total loans</w:t>
            </w:r>
          </w:p>
        </w:tc>
        <w:tc>
          <w:tcPr>
            <w:tcW w:w="12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3.53%</w:t>
            </w:r>
          </w:p>
        </w:tc>
        <w:tc>
          <w:tcPr>
            <w:tcW w:w="12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3.41%</w:t>
            </w:r>
          </w:p>
        </w:tc>
        <w:tc>
          <w:tcPr>
            <w:tcW w:w="12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3.26%</w:t>
            </w:r>
          </w:p>
        </w:tc>
        <w:tc>
          <w:tcPr>
            <w:tcW w:w="12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3.53%</w:t>
            </w:r>
          </w:p>
        </w:tc>
        <w:tc>
          <w:tcPr>
            <w:tcW w:w="2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Operating efficiency</w:t>
            </w: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ind w:left="140"/>
              <w:spacing w:after="0" w:line="149" w:lineRule="exact"/>
              <w:rPr>
                <w:sz w:val="20"/>
                <w:szCs w:val="20"/>
                <w:color w:val="auto"/>
              </w:rPr>
            </w:pPr>
            <w:r>
              <w:rPr>
                <w:rFonts w:ascii="Arial" w:cs="Arial" w:eastAsia="Arial" w:hAnsi="Arial"/>
                <w:sz w:val="14"/>
                <w:szCs w:val="14"/>
                <w:color w:val="auto"/>
              </w:rPr>
              <w:t>Oper. expenses as a percent. of total income (5)</w:t>
            </w:r>
          </w:p>
        </w:tc>
        <w:tc>
          <w:tcPr>
            <w:tcW w:w="12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43.9%</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43.4%</w:t>
            </w:r>
          </w:p>
        </w:tc>
        <w:tc>
          <w:tcPr>
            <w:tcW w:w="12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41.6%</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43.7%</w:t>
            </w:r>
          </w:p>
        </w:tc>
        <w:tc>
          <w:tcPr>
            <w:tcW w:w="26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Oper. expenses as a percent. of av. tot. assets (2) (3) (5)</w:t>
            </w:r>
          </w:p>
        </w:tc>
        <w:tc>
          <w:tcPr>
            <w:tcW w:w="12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3.9%</w:t>
            </w:r>
          </w:p>
        </w:tc>
        <w:tc>
          <w:tcPr>
            <w:tcW w:w="12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3.7%</w:t>
            </w:r>
          </w:p>
        </w:tc>
        <w:tc>
          <w:tcPr>
            <w:tcW w:w="12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3.8%</w:t>
            </w:r>
          </w:p>
        </w:tc>
        <w:tc>
          <w:tcPr>
            <w:tcW w:w="12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3.9%</w:t>
            </w:r>
          </w:p>
        </w:tc>
        <w:tc>
          <w:tcPr>
            <w:tcW w:w="2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Average balances (millions of US$) (3)</w:t>
            </w: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ind w:left="140"/>
              <w:spacing w:after="0" w:line="149" w:lineRule="exact"/>
              <w:rPr>
                <w:sz w:val="20"/>
                <w:szCs w:val="20"/>
                <w:color w:val="auto"/>
              </w:rPr>
            </w:pPr>
            <w:r>
              <w:rPr>
                <w:rFonts w:ascii="Arial" w:cs="Arial" w:eastAsia="Arial" w:hAnsi="Arial"/>
                <w:sz w:val="14"/>
                <w:szCs w:val="14"/>
                <w:color w:val="auto"/>
              </w:rPr>
              <w:t>Interest earning assets</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36,659</w:t>
            </w: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37,002</w:t>
            </w:r>
          </w:p>
        </w:tc>
        <w:tc>
          <w:tcPr>
            <w:tcW w:w="2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31,308</w:t>
            </w: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35,878</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29,717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Total assets</w:t>
            </w:r>
          </w:p>
        </w:tc>
        <w:tc>
          <w:tcPr>
            <w:tcW w:w="10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41,182</w:t>
            </w:r>
          </w:p>
        </w:tc>
        <w:tc>
          <w:tcPr>
            <w:tcW w:w="220" w:type="dxa"/>
            <w:vAlign w:val="bottom"/>
            <w:shd w:val="clear" w:color="auto" w:fill="CCFFCC"/>
          </w:tcPr>
          <w:p>
            <w:pPr>
              <w:spacing w:after="0"/>
              <w:rPr>
                <w:sz w:val="12"/>
                <w:szCs w:val="12"/>
                <w:color w:val="auto"/>
              </w:rPr>
            </w:pPr>
          </w:p>
        </w:tc>
        <w:tc>
          <w:tcPr>
            <w:tcW w:w="10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41,831</w:t>
            </w:r>
          </w:p>
        </w:tc>
        <w:tc>
          <w:tcPr>
            <w:tcW w:w="240" w:type="dxa"/>
            <w:vAlign w:val="bottom"/>
            <w:shd w:val="clear" w:color="auto" w:fill="CCFFCC"/>
          </w:tcPr>
          <w:p>
            <w:pPr>
              <w:spacing w:after="0"/>
              <w:rPr>
                <w:sz w:val="12"/>
                <w:szCs w:val="12"/>
                <w:color w:val="auto"/>
              </w:rPr>
            </w:pPr>
          </w:p>
        </w:tc>
        <w:tc>
          <w:tcPr>
            <w:tcW w:w="10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34,620</w:t>
            </w:r>
          </w:p>
        </w:tc>
        <w:tc>
          <w:tcPr>
            <w:tcW w:w="220" w:type="dxa"/>
            <w:vAlign w:val="bottom"/>
            <w:shd w:val="clear" w:color="auto" w:fill="CCFFCC"/>
          </w:tcPr>
          <w:p>
            <w:pPr>
              <w:spacing w:after="0"/>
              <w:rPr>
                <w:sz w:val="12"/>
                <w:szCs w:val="12"/>
                <w:color w:val="auto"/>
              </w:rPr>
            </w:pPr>
          </w:p>
        </w:tc>
        <w:tc>
          <w:tcPr>
            <w:tcW w:w="10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40,498</w:t>
            </w:r>
          </w:p>
        </w:tc>
        <w:tc>
          <w:tcPr>
            <w:tcW w:w="2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32,997</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140" w:type="dxa"/>
            <w:vAlign w:val="bottom"/>
          </w:tcPr>
          <w:p>
            <w:pPr>
              <w:ind w:left="140"/>
              <w:spacing w:after="0"/>
              <w:rPr>
                <w:sz w:val="20"/>
                <w:szCs w:val="20"/>
                <w:color w:val="auto"/>
              </w:rPr>
            </w:pPr>
            <w:r>
              <w:rPr>
                <w:rFonts w:ascii="Arial" w:cs="Arial" w:eastAsia="Arial" w:hAnsi="Arial"/>
                <w:sz w:val="14"/>
                <w:szCs w:val="14"/>
                <w:color w:val="auto"/>
              </w:rPr>
              <w:t>Net shareholder's equity</w:t>
            </w:r>
          </w:p>
        </w:tc>
        <w:tc>
          <w:tcPr>
            <w:tcW w:w="1000" w:type="dxa"/>
            <w:vAlign w:val="bottom"/>
          </w:tcPr>
          <w:p>
            <w:pPr>
              <w:jc w:val="right"/>
              <w:spacing w:after="0"/>
              <w:rPr>
                <w:sz w:val="20"/>
                <w:szCs w:val="20"/>
                <w:color w:val="auto"/>
              </w:rPr>
            </w:pPr>
            <w:r>
              <w:rPr>
                <w:rFonts w:ascii="Arial" w:cs="Arial" w:eastAsia="Arial" w:hAnsi="Arial"/>
                <w:sz w:val="14"/>
                <w:szCs w:val="14"/>
                <w:color w:val="auto"/>
              </w:rPr>
              <w:t>4,003</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4,144</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3,584</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4,168</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3,376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3342005</wp:posOffset>
            </wp:positionH>
            <wp:positionV relativeFrom="paragraph">
              <wp:posOffset>-8890</wp:posOffset>
            </wp:positionV>
            <wp:extent cx="368744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ind w:left="300" w:hanging="250"/>
        <w:spacing w:after="0"/>
        <w:tabs>
          <w:tab w:leader="none" w:pos="300"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Based on Net Income attributed to BAP. Number of shares outstanding of 79.8 million in all periods.</w:t>
      </w:r>
    </w:p>
    <w:p>
      <w:pPr>
        <w:spacing w:after="0" w:line="7" w:lineRule="exact"/>
        <w:rPr>
          <w:rFonts w:ascii="Arial" w:cs="Arial" w:eastAsia="Arial" w:hAnsi="Arial"/>
          <w:sz w:val="18"/>
          <w:szCs w:val="18"/>
          <w:i w:val="1"/>
          <w:iCs w:val="1"/>
          <w:color w:val="auto"/>
        </w:rPr>
      </w:pPr>
    </w:p>
    <w:p>
      <w:pPr>
        <w:ind w:left="300" w:hanging="250"/>
        <w:spacing w:after="0"/>
        <w:tabs>
          <w:tab w:leader="none" w:pos="300"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Ratios are annualized.</w:t>
      </w:r>
    </w:p>
    <w:p>
      <w:pPr>
        <w:spacing w:after="0" w:line="9" w:lineRule="exact"/>
        <w:rPr>
          <w:rFonts w:ascii="Arial" w:cs="Arial" w:eastAsia="Arial" w:hAnsi="Arial"/>
          <w:sz w:val="18"/>
          <w:szCs w:val="18"/>
          <w:i w:val="1"/>
          <w:iCs w:val="1"/>
          <w:color w:val="auto"/>
        </w:rPr>
      </w:pPr>
    </w:p>
    <w:p>
      <w:pPr>
        <w:ind w:left="300" w:hanging="250"/>
        <w:spacing w:after="0"/>
        <w:tabs>
          <w:tab w:leader="none" w:pos="300"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Averages are determined as the average of period-beginning and period-ending balances.</w:t>
      </w:r>
    </w:p>
    <w:p>
      <w:pPr>
        <w:spacing w:after="0" w:line="9" w:lineRule="exact"/>
        <w:rPr>
          <w:rFonts w:ascii="Arial" w:cs="Arial" w:eastAsia="Arial" w:hAnsi="Arial"/>
          <w:sz w:val="18"/>
          <w:szCs w:val="18"/>
          <w:i w:val="1"/>
          <w:iCs w:val="1"/>
          <w:color w:val="auto"/>
        </w:rPr>
      </w:pPr>
    </w:p>
    <w:p>
      <w:pPr>
        <w:ind w:left="300" w:hanging="250"/>
        <w:spacing w:after="0"/>
        <w:tabs>
          <w:tab w:leader="none" w:pos="300"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Net of treasury shares. The total number of shares was of 94.38 million.</w:t>
      </w:r>
    </w:p>
    <w:p>
      <w:pPr>
        <w:spacing w:after="0" w:line="9" w:lineRule="exact"/>
        <w:rPr>
          <w:rFonts w:ascii="Arial" w:cs="Arial" w:eastAsia="Arial" w:hAnsi="Arial"/>
          <w:sz w:val="18"/>
          <w:szCs w:val="18"/>
          <w:i w:val="1"/>
          <w:iCs w:val="1"/>
          <w:color w:val="auto"/>
        </w:rPr>
      </w:pPr>
    </w:p>
    <w:p>
      <w:pPr>
        <w:ind w:left="60" w:right="160" w:hanging="10"/>
        <w:spacing w:after="0" w:line="261" w:lineRule="auto"/>
        <w:tabs>
          <w:tab w:leader="none" w:pos="315"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Total income includes net interest income, fee income, net gain on foreign exchange transactions, net premiums earned and medical services technical result.</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360" w:top="1440" w:right="239" w:bottom="1440" w:gutter="0" w:footer="0" w:header="0"/>
        </w:sectPr>
      </w:pPr>
    </w:p>
    <w:bookmarkStart w:id="51" w:name="page52"/>
    <w:bookmarkEnd w:id="51"/>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center"/>
        <w:ind w:right="120"/>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(In US$ thousands, IFRS)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5"/>
              </w:rPr>
              <w:t>As of</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4"/>
          </w:tcPr>
          <w:p>
            <w:pPr>
              <w:ind w:left="680"/>
              <w:spacing w:after="0"/>
              <w:rPr>
                <w:sz w:val="20"/>
                <w:szCs w:val="20"/>
                <w:color w:val="auto"/>
              </w:rPr>
            </w:pPr>
            <w:r>
              <w:rPr>
                <w:rFonts w:ascii="Arial" w:cs="Arial" w:eastAsia="Arial" w:hAnsi="Arial"/>
                <w:sz w:val="14"/>
                <w:szCs w:val="14"/>
                <w:b w:val="1"/>
                <w:bCs w:val="1"/>
                <w:color w:val="auto"/>
              </w:rPr>
              <w:t>Change %</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ind w:left="180"/>
              <w:spacing w:after="0"/>
              <w:rPr>
                <w:sz w:val="20"/>
                <w:szCs w:val="20"/>
                <w:color w:val="auto"/>
              </w:rPr>
            </w:pPr>
            <w:r>
              <w:rPr>
                <w:rFonts w:ascii="Arial" w:cs="Arial" w:eastAsia="Arial" w:hAnsi="Arial"/>
                <w:sz w:val="14"/>
                <w:szCs w:val="14"/>
                <w:b w:val="1"/>
                <w:bCs w:val="1"/>
                <w:color w:val="auto"/>
              </w:rPr>
              <w:t>Jun 13</w:t>
            </w:r>
          </w:p>
        </w:tc>
        <w:tc>
          <w:tcPr>
            <w:tcW w:w="12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Mar 13</w:t>
            </w:r>
          </w:p>
        </w:tc>
        <w:tc>
          <w:tcPr>
            <w:tcW w:w="1220" w:type="dxa"/>
            <w:vAlign w:val="bottom"/>
            <w:gridSpan w:val="3"/>
          </w:tcPr>
          <w:p>
            <w:pPr>
              <w:ind w:left="180"/>
              <w:spacing w:after="0"/>
              <w:rPr>
                <w:sz w:val="20"/>
                <w:szCs w:val="20"/>
                <w:color w:val="auto"/>
              </w:rPr>
            </w:pPr>
            <w:r>
              <w:rPr>
                <w:rFonts w:ascii="Arial" w:cs="Arial" w:eastAsia="Arial" w:hAnsi="Arial"/>
                <w:sz w:val="14"/>
                <w:szCs w:val="14"/>
                <w:b w:val="1"/>
                <w:bCs w:val="1"/>
                <w:color w:val="auto"/>
              </w:rPr>
              <w:t>Jun 12</w:t>
            </w:r>
          </w:p>
        </w:tc>
        <w:tc>
          <w:tcPr>
            <w:tcW w:w="1420" w:type="dxa"/>
            <w:vAlign w:val="bottom"/>
            <w:gridSpan w:val="4"/>
          </w:tcPr>
          <w:p>
            <w:pPr>
              <w:ind w:left="240"/>
              <w:spacing w:after="0"/>
              <w:rPr>
                <w:sz w:val="20"/>
                <w:szCs w:val="20"/>
                <w:color w:val="auto"/>
              </w:rPr>
            </w:pPr>
            <w:r>
              <w:rPr>
                <w:rFonts w:ascii="Arial" w:cs="Arial" w:eastAsia="Arial" w:hAnsi="Arial"/>
                <w:sz w:val="14"/>
                <w:szCs w:val="14"/>
                <w:b w:val="1"/>
                <w:bCs w:val="1"/>
                <w:color w:val="auto"/>
              </w:rPr>
              <w:t>QoQ</w:t>
            </w:r>
          </w:p>
        </w:tc>
        <w:tc>
          <w:tcPr>
            <w:tcW w:w="8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YoY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Borders>
              <w:top w:val="single" w:sz="8" w:color="CCFFCC"/>
            </w:tcBorders>
            <w:shd w:val="clear" w:color="auto" w:fill="CCFFCC"/>
          </w:tcPr>
          <w:p>
            <w:pPr>
              <w:jc w:val="center"/>
              <w:ind w:right="68"/>
              <w:spacing w:after="0" w:line="142" w:lineRule="exact"/>
              <w:rPr>
                <w:sz w:val="20"/>
                <w:szCs w:val="20"/>
                <w:color w:val="auto"/>
              </w:rPr>
            </w:pPr>
            <w:r>
              <w:rPr>
                <w:rFonts w:ascii="Arial" w:cs="Arial" w:eastAsia="Arial" w:hAnsi="Arial"/>
                <w:sz w:val="14"/>
                <w:szCs w:val="14"/>
                <w:b w:val="1"/>
                <w:bCs w:val="1"/>
                <w:color w:val="auto"/>
                <w:w w:val="96"/>
              </w:rPr>
              <w:t>ASSETS</w:t>
            </w:r>
          </w:p>
        </w:tc>
        <w:tc>
          <w:tcPr>
            <w:tcW w:w="100" w:type="dxa"/>
            <w:vAlign w:val="bottom"/>
            <w:tcBorders>
              <w:top w:val="single" w:sz="8" w:color="auto"/>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auto"/>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auto"/>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0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auto"/>
            </w:tcBorders>
            <w:shd w:val="clear" w:color="auto" w:fill="CCFFCC"/>
          </w:tcPr>
          <w:p>
            <w:pPr>
              <w:spacing w:after="0"/>
              <w:rPr>
                <w:sz w:val="12"/>
                <w:szCs w:val="12"/>
                <w:color w:val="auto"/>
              </w:rPr>
            </w:pPr>
          </w:p>
        </w:tc>
        <w:tc>
          <w:tcPr>
            <w:tcW w:w="880" w:type="dxa"/>
            <w:vAlign w:val="bottom"/>
            <w:tcBorders>
              <w:top w:val="single" w:sz="8" w:color="auto"/>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auto"/>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720" w:type="dxa"/>
            <w:vAlign w:val="bottom"/>
            <w:tcBorders>
              <w:top w:val="single" w:sz="8" w:color="auto"/>
            </w:tcBorders>
            <w:shd w:val="clear" w:color="auto" w:fill="CCFFCC"/>
          </w:tcPr>
          <w:p>
            <w:pPr>
              <w:spacing w:after="0"/>
              <w:rPr>
                <w:sz w:val="12"/>
                <w:szCs w:val="12"/>
                <w:color w:val="auto"/>
              </w:rPr>
            </w:pPr>
          </w:p>
        </w:tc>
        <w:tc>
          <w:tcPr>
            <w:tcW w:w="16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Cash and due from banks</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7,301,453</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8,586,173</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5,557,967</w:t>
            </w: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-15.0%</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31.4%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Cash and BCRP</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6,713,289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7,391,858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4,962,667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FFCC"/>
          </w:tcPr>
          <w:p>
            <w:pPr>
              <w:ind w:left="140"/>
              <w:spacing w:after="0" w:line="149" w:lineRule="exact"/>
              <w:rPr>
                <w:sz w:val="20"/>
                <w:szCs w:val="20"/>
                <w:color w:val="auto"/>
              </w:rPr>
            </w:pPr>
            <w:r>
              <w:rPr>
                <w:rFonts w:ascii="Arial" w:cs="Arial" w:eastAsia="Arial" w:hAnsi="Arial"/>
                <w:sz w:val="14"/>
                <w:szCs w:val="14"/>
                <w:color w:val="auto"/>
              </w:rPr>
              <w:t>Deposits in other Banks</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508,523</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1,173,971</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585,113</w:t>
            </w: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-56.7%</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Interbanks</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75,389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16,000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6,621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371.2%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1038.6%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FFCC"/>
          </w:tcPr>
          <w:p>
            <w:pPr>
              <w:ind w:left="140"/>
              <w:spacing w:after="0" w:line="149" w:lineRule="exact"/>
              <w:rPr>
                <w:sz w:val="20"/>
                <w:szCs w:val="20"/>
                <w:color w:val="auto"/>
              </w:rPr>
            </w:pPr>
            <w:r>
              <w:rPr>
                <w:rFonts w:ascii="Arial" w:cs="Arial" w:eastAsia="Arial" w:hAnsi="Arial"/>
                <w:sz w:val="14"/>
                <w:szCs w:val="14"/>
                <w:color w:val="auto"/>
              </w:rPr>
              <w:t>Accrued interest on cash and due from banks</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4,252</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4,344</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3,566</w:t>
            </w: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-2.1%</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Marketable securities, net (2)</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111,930</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184,086</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162,617</w:t>
            </w: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-39.2%</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-31.2%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Loans</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20,687,219</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20,905,587</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18,599,092</w:t>
            </w: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-1.0%</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11.2%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Current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20,241,133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20,478,776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18,264,583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FFCC"/>
          </w:tcPr>
          <w:p>
            <w:pPr>
              <w:ind w:left="140"/>
              <w:spacing w:after="0" w:line="149" w:lineRule="exact"/>
              <w:rPr>
                <w:sz w:val="20"/>
                <w:szCs w:val="20"/>
                <w:color w:val="auto"/>
              </w:rPr>
            </w:pPr>
            <w:r>
              <w:rPr>
                <w:rFonts w:ascii="Arial" w:cs="Arial" w:eastAsia="Arial" w:hAnsi="Arial"/>
                <w:sz w:val="14"/>
                <w:szCs w:val="14"/>
                <w:color w:val="auto"/>
              </w:rPr>
              <w:t>Past Due</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446,086</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426,811</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334,509</w:t>
            </w: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4.5%</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33.4%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Less - net provisions for possible loan losses</w:t>
            </w: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(752,538)</w:t>
            </w:r>
          </w:p>
        </w:tc>
        <w:tc>
          <w:tcPr>
            <w:tcW w:w="10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(737,664)</w:t>
            </w:r>
          </w:p>
        </w:tc>
        <w:tc>
          <w:tcPr>
            <w:tcW w:w="10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(625,293)</w:t>
            </w:r>
          </w:p>
        </w:tc>
        <w:tc>
          <w:tcPr>
            <w:tcW w:w="12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Loans, net</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19,934,681</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20,167,923</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17,973,798</w:t>
            </w: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-1.2%</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10.9%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Investment securities available for sale (3)</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4,955,672</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5,165,095</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4,483,200</w:t>
            </w: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-4.1%</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10.5%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Property, plant and equipment, net (4)</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415,000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391,685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360,422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6.0%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15.1%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Due from customers acceptances</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50,263</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51,776</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66,327</w:t>
            </w: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-2.9%</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-24.2%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Other assets (5)</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1,381,001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2,547,659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2,077,044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-45.8%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-33.5%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Total assets</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34,150,000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37,094,397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30,681,375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-7.9%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11.3%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LIABILITIES AND NET SHAREHOLDERS' EQUITY</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Deposits and obligations (6)</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22,364,890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24,089,608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19,743,308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-7.2%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13.3%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FFCC"/>
          </w:tcPr>
          <w:p>
            <w:pPr>
              <w:ind w:left="140"/>
              <w:spacing w:after="0" w:line="149" w:lineRule="exact"/>
              <w:rPr>
                <w:sz w:val="20"/>
                <w:szCs w:val="20"/>
                <w:color w:val="auto"/>
              </w:rPr>
            </w:pPr>
            <w:r>
              <w:rPr>
                <w:rFonts w:ascii="Arial" w:cs="Arial" w:eastAsia="Arial" w:hAnsi="Arial"/>
                <w:sz w:val="14"/>
                <w:szCs w:val="14"/>
                <w:color w:val="auto"/>
              </w:rPr>
              <w:t>Demand deposits</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6,751,888</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7,513,086</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6,840,175</w:t>
            </w: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-10.1%</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Saving deposits</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5,916,783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6,275,766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5,346,285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FFCC"/>
          </w:tcPr>
          <w:p>
            <w:pPr>
              <w:ind w:left="140"/>
              <w:spacing w:after="0" w:line="149" w:lineRule="exact"/>
              <w:rPr>
                <w:sz w:val="20"/>
                <w:szCs w:val="20"/>
                <w:color w:val="auto"/>
              </w:rPr>
            </w:pPr>
            <w:r>
              <w:rPr>
                <w:rFonts w:ascii="Arial" w:cs="Arial" w:eastAsia="Arial" w:hAnsi="Arial"/>
                <w:sz w:val="14"/>
                <w:szCs w:val="14"/>
                <w:color w:val="auto"/>
              </w:rPr>
              <w:t>Time deposits</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7,356,075</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8,156,478</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5,513,461</w:t>
            </w: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-9.8%</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33.4%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Severance indemnity deposits (CTS)</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2,267,416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2,073,189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1,971,406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FFCC"/>
          </w:tcPr>
          <w:p>
            <w:pPr>
              <w:ind w:left="140"/>
              <w:spacing w:after="0" w:line="149" w:lineRule="exact"/>
              <w:rPr>
                <w:sz w:val="20"/>
                <w:szCs w:val="20"/>
                <w:color w:val="auto"/>
              </w:rPr>
            </w:pPr>
            <w:r>
              <w:rPr>
                <w:rFonts w:ascii="Arial" w:cs="Arial" w:eastAsia="Arial" w:hAnsi="Arial"/>
                <w:sz w:val="14"/>
                <w:szCs w:val="14"/>
                <w:color w:val="auto"/>
              </w:rPr>
              <w:t>Interest payable</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72,728</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71,089</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71,981</w:t>
            </w: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2.3%</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Due to banks and correspondents (7)</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4,055,121</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4,530,801</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3,313,636</w:t>
            </w: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-10.5%</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22.4%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Bonds and subordinated debt</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4,168,247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3,650,438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3,482,265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14.2%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19.7%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Acceptances outstanding</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50,263</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51,776</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66,327</w:t>
            </w: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-2.9%</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-24.2%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Other liabilities (8)</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834,640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2,027,204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1,606,346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-58.8%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-48.0%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Total liabilities</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31,473,161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34,349,827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28,211,882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-8.4%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11.6%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shareholders' equity</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2,670,880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2,692,647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2,440,708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-0.8%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FFCC"/>
          </w:tcPr>
          <w:p>
            <w:pPr>
              <w:ind w:left="140"/>
              <w:spacing w:after="0" w:line="149" w:lineRule="exact"/>
              <w:rPr>
                <w:sz w:val="20"/>
                <w:szCs w:val="20"/>
                <w:color w:val="auto"/>
              </w:rPr>
            </w:pPr>
            <w:r>
              <w:rPr>
                <w:rFonts w:ascii="Arial" w:cs="Arial" w:eastAsia="Arial" w:hAnsi="Arial"/>
                <w:sz w:val="14"/>
                <w:szCs w:val="14"/>
                <w:color w:val="auto"/>
              </w:rPr>
              <w:t>Capital stock</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1,237,652</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1,237,632</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1,019,491</w:t>
            </w: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Reserves</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788,325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788,325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711,685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FFCC"/>
          </w:tcPr>
          <w:p>
            <w:pPr>
              <w:ind w:left="140"/>
              <w:spacing w:after="0" w:line="149" w:lineRule="exact"/>
              <w:rPr>
                <w:sz w:val="20"/>
                <w:szCs w:val="20"/>
                <w:color w:val="auto"/>
              </w:rPr>
            </w:pPr>
            <w:r>
              <w:rPr>
                <w:rFonts w:ascii="Arial" w:cs="Arial" w:eastAsia="Arial" w:hAnsi="Arial"/>
                <w:sz w:val="14"/>
                <w:szCs w:val="14"/>
                <w:color w:val="auto"/>
              </w:rPr>
              <w:t>Unrealized Gains and Losses</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119,017</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167,256</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136,280</w:t>
            </w: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-28.8%</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Retained Earnings</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357,467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357,487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274,898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FFCC"/>
          </w:tcPr>
          <w:p>
            <w:pPr>
              <w:ind w:left="140"/>
              <w:spacing w:after="0" w:line="149" w:lineRule="exact"/>
              <w:rPr>
                <w:sz w:val="20"/>
                <w:szCs w:val="20"/>
                <w:color w:val="auto"/>
              </w:rPr>
            </w:pPr>
            <w:r>
              <w:rPr>
                <w:rFonts w:ascii="Arial" w:cs="Arial" w:eastAsia="Arial" w:hAnsi="Arial"/>
                <w:sz w:val="14"/>
                <w:szCs w:val="14"/>
                <w:color w:val="auto"/>
              </w:rPr>
              <w:t>Income for the year</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168,419</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141,947</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298,354</w:t>
            </w: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18.6%</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-43.6%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FFCC"/>
          </w:tcPr>
          <w:p>
            <w:pPr>
              <w:ind w:left="140"/>
              <w:spacing w:after="0" w:line="149" w:lineRule="exact"/>
              <w:rPr>
                <w:sz w:val="20"/>
                <w:szCs w:val="20"/>
                <w:color w:val="auto"/>
              </w:rPr>
            </w:pPr>
            <w:r>
              <w:rPr>
                <w:rFonts w:ascii="Arial" w:cs="Arial" w:eastAsia="Arial" w:hAnsi="Arial"/>
                <w:sz w:val="14"/>
                <w:szCs w:val="14"/>
                <w:color w:val="auto"/>
              </w:rPr>
              <w:t>Minority interest</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5,959</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51,923</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28,785</w:t>
            </w: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-88.5%</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-79.3%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FFCC"/>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Total liabilities and net shareholders' equity</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34,150,000</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37,094,397</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30,681,375</w:t>
            </w: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-7.9%</w:t>
            </w:r>
          </w:p>
        </w:tc>
        <w:tc>
          <w:tcPr>
            <w:tcW w:w="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11.3%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22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Off-balance sheet</w:t>
            </w: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15,897,079</w:t>
            </w:r>
          </w:p>
        </w:tc>
        <w:tc>
          <w:tcPr>
            <w:tcW w:w="2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15,421,954</w:t>
            </w:r>
          </w:p>
        </w:tc>
        <w:tc>
          <w:tcPr>
            <w:tcW w:w="2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14,254,511</w:t>
            </w:r>
          </w:p>
        </w:tc>
        <w:tc>
          <w:tcPr>
            <w:tcW w:w="2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left="60" w:right="100" w:hanging="10"/>
        <w:spacing w:after="0" w:line="250" w:lineRule="auto"/>
        <w:tabs>
          <w:tab w:leader="none" w:pos="195"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1Q13 and 2Q12 figures differ from those previously reported because BCP Colombia's assets and liabilities used to be registered line by line. In order to be aligned with our audited financial statements and because BCP Colombia is a business held for sale, as of this report BCP Colombia will be registered inside "Other assets" and "Other liabilities".</w:t>
      </w:r>
    </w:p>
    <w:p>
      <w:pPr>
        <w:spacing w:after="0" w:line="1" w:lineRule="exact"/>
        <w:rPr>
          <w:rFonts w:ascii="Arial" w:cs="Arial" w:eastAsia="Arial" w:hAnsi="Arial"/>
          <w:sz w:val="18"/>
          <w:szCs w:val="18"/>
          <w:i w:val="1"/>
          <w:iCs w:val="1"/>
          <w:color w:val="auto"/>
        </w:rPr>
      </w:pPr>
    </w:p>
    <w:p>
      <w:pPr>
        <w:ind w:left="60" w:right="420"/>
        <w:spacing w:after="0" w:line="250" w:lineRule="auto"/>
        <w:rPr>
          <w:rFonts w:ascii="Arial" w:cs="Arial" w:eastAsia="Arial" w:hAnsi="Arial"/>
          <w:sz w:val="18"/>
          <w:szCs w:val="18"/>
          <w:i w:val="1"/>
          <w:iCs w:val="1"/>
          <w:color w:val="auto"/>
        </w:rPr>
      </w:pPr>
      <w:r>
        <w:rPr>
          <w:rFonts w:ascii="Arial" w:cs="Arial" w:eastAsia="Arial" w:hAnsi="Arial"/>
          <w:sz w:val="18"/>
          <w:szCs w:val="18"/>
          <w:i w:val="1"/>
          <w:iCs w:val="1"/>
          <w:color w:val="auto"/>
        </w:rPr>
        <w:t>(1) 1Q13 figure differs in US$7.8 million (US$ 5.0 million from Non-interest bearing deposits in national and international banks and US$ 2.8 million Interest bearing deposits in national and international banks) and 2Q12 figure differs in US$ 3.4 million.</w:t>
      </w:r>
    </w:p>
    <w:p>
      <w:pPr>
        <w:ind w:left="60"/>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(2) 1Q13 figure differs in US$ 40,000 and 2Q12 figure differs in US$ 41,600.</w:t>
      </w:r>
    </w:p>
    <w:p>
      <w:pPr>
        <w:spacing w:after="0" w:line="9" w:lineRule="exact"/>
        <w:rPr>
          <w:rFonts w:ascii="Arial" w:cs="Arial" w:eastAsia="Arial" w:hAnsi="Arial"/>
          <w:sz w:val="18"/>
          <w:szCs w:val="18"/>
          <w:i w:val="1"/>
          <w:iCs w:val="1"/>
          <w:color w:val="auto"/>
        </w:rPr>
      </w:pPr>
    </w:p>
    <w:p>
      <w:pPr>
        <w:ind w:left="60"/>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(3) 1Q13 figure differs in US$ 27,800 and 2Q12 figure differs in US$ 690,200.</w:t>
      </w:r>
    </w:p>
    <w:p>
      <w:pPr>
        <w:spacing w:after="0" w:line="9" w:lineRule="exact"/>
        <w:rPr>
          <w:rFonts w:ascii="Arial" w:cs="Arial" w:eastAsia="Arial" w:hAnsi="Arial"/>
          <w:sz w:val="18"/>
          <w:szCs w:val="18"/>
          <w:i w:val="1"/>
          <w:iCs w:val="1"/>
          <w:color w:val="auto"/>
        </w:rPr>
      </w:pPr>
    </w:p>
    <w:p>
      <w:pPr>
        <w:ind w:left="60"/>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(4) 1Q13 figure differs in US$ 3,000 and 2Q12 figure differs in US$ 1,900 (due to assets).</w:t>
      </w:r>
    </w:p>
    <w:p>
      <w:pPr>
        <w:spacing w:after="0" w:line="9" w:lineRule="exact"/>
        <w:rPr>
          <w:rFonts w:ascii="Arial" w:cs="Arial" w:eastAsia="Arial" w:hAnsi="Arial"/>
          <w:sz w:val="18"/>
          <w:szCs w:val="18"/>
          <w:i w:val="1"/>
          <w:iCs w:val="1"/>
          <w:color w:val="auto"/>
        </w:rPr>
      </w:pPr>
    </w:p>
    <w:p>
      <w:pPr>
        <w:ind w:left="60"/>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(5) 1Q13 figure differs in US$ 78,600 and 2Q12 figure differs in US$ 737,100 (due to assets).</w:t>
      </w:r>
    </w:p>
    <w:p>
      <w:pPr>
        <w:spacing w:after="0" w:line="9" w:lineRule="exact"/>
        <w:rPr>
          <w:rFonts w:ascii="Arial" w:cs="Arial" w:eastAsia="Arial" w:hAnsi="Arial"/>
          <w:sz w:val="18"/>
          <w:szCs w:val="18"/>
          <w:i w:val="1"/>
          <w:iCs w:val="1"/>
          <w:color w:val="auto"/>
        </w:rPr>
      </w:pPr>
    </w:p>
    <w:p>
      <w:pPr>
        <w:ind w:left="60"/>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(6) 1Q13 figure differs in US$ 1,300 and 2Q12 figure differs in US$ 681,400 (due to demand deposits).</w:t>
      </w:r>
    </w:p>
    <w:p>
      <w:pPr>
        <w:spacing w:after="0" w:line="9" w:lineRule="exact"/>
        <w:rPr>
          <w:rFonts w:ascii="Arial" w:cs="Arial" w:eastAsia="Arial" w:hAnsi="Arial"/>
          <w:sz w:val="18"/>
          <w:szCs w:val="18"/>
          <w:i w:val="1"/>
          <w:iCs w:val="1"/>
          <w:color w:val="auto"/>
        </w:rPr>
      </w:pPr>
    </w:p>
    <w:p>
      <w:pPr>
        <w:ind w:left="60"/>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(7) 1Q13 figure differs in US$ 36.9 million and 2Q12 figure differs in US$ 11.2 million.</w:t>
      </w:r>
    </w:p>
    <w:p>
      <w:pPr>
        <w:spacing w:after="0" w:line="9" w:lineRule="exact"/>
        <w:rPr>
          <w:rFonts w:ascii="Arial" w:cs="Arial" w:eastAsia="Arial" w:hAnsi="Arial"/>
          <w:sz w:val="18"/>
          <w:szCs w:val="18"/>
          <w:i w:val="1"/>
          <w:iCs w:val="1"/>
          <w:color w:val="auto"/>
        </w:rPr>
      </w:pPr>
    </w:p>
    <w:p>
      <w:pPr>
        <w:ind w:left="60"/>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(8) 1Q13 figure differs in US$ 38,200 and 2Q12 figure differs in US$ 692,600.</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360" w:top="1440" w:right="239" w:bottom="1440" w:gutter="0" w:footer="0" w:header="0"/>
        </w:sectPr>
      </w:pPr>
    </w:p>
    <w:bookmarkStart w:id="52" w:name="page53"/>
    <w:bookmarkEnd w:id="52"/>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center"/>
        <w:ind w:right="120"/>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(In US$ thousands, IFRS)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Quarter</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4"/>
          </w:tcPr>
          <w:p>
            <w:pPr>
              <w:ind w:left="360"/>
              <w:spacing w:after="0"/>
              <w:rPr>
                <w:sz w:val="20"/>
                <w:szCs w:val="20"/>
                <w:color w:val="auto"/>
              </w:rPr>
            </w:pPr>
            <w:r>
              <w:rPr>
                <w:rFonts w:ascii="Arial" w:cs="Arial" w:eastAsia="Arial" w:hAnsi="Arial"/>
                <w:sz w:val="14"/>
                <w:szCs w:val="14"/>
                <w:b w:val="1"/>
                <w:bCs w:val="1"/>
                <w:color w:val="auto"/>
                <w:w w:val="91"/>
              </w:rPr>
              <w:t>Change %</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Year to date</w:t>
            </w:r>
          </w:p>
        </w:tc>
        <w:tc>
          <w:tcPr>
            <w:tcW w:w="100" w:type="dxa"/>
            <w:vAlign w:val="bottom"/>
          </w:tcPr>
          <w:p>
            <w:pPr>
              <w:spacing w:after="0"/>
              <w:rPr>
                <w:sz w:val="14"/>
                <w:szCs w:val="14"/>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2Q13</w:t>
            </w:r>
          </w:p>
        </w:tc>
        <w:tc>
          <w:tcPr>
            <w:tcW w:w="100" w:type="dxa"/>
            <w:vAlign w:val="bottom"/>
          </w:tcPr>
          <w:p>
            <w:pPr>
              <w:spacing w:after="0"/>
              <w:rPr>
                <w:sz w:val="14"/>
                <w:szCs w:val="14"/>
                <w:color w:val="auto"/>
              </w:rPr>
            </w:pPr>
          </w:p>
        </w:tc>
        <w:tc>
          <w:tcPr>
            <w:tcW w:w="8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3"/>
              </w:rPr>
              <w:t>1Q13</w:t>
            </w: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2Q12</w:t>
            </w:r>
          </w:p>
        </w:tc>
        <w:tc>
          <w:tcPr>
            <w:tcW w:w="1000" w:type="dxa"/>
            <w:vAlign w:val="bottom"/>
            <w:gridSpan w:val="4"/>
          </w:tcPr>
          <w:p>
            <w:pPr>
              <w:ind w:left="60"/>
              <w:spacing w:after="0"/>
              <w:rPr>
                <w:sz w:val="20"/>
                <w:szCs w:val="20"/>
                <w:color w:val="auto"/>
              </w:rPr>
            </w:pPr>
            <w:r>
              <w:rPr>
                <w:rFonts w:ascii="Arial" w:cs="Arial" w:eastAsia="Arial" w:hAnsi="Arial"/>
                <w:sz w:val="14"/>
                <w:szCs w:val="14"/>
                <w:b w:val="1"/>
                <w:bCs w:val="1"/>
                <w:color w:val="auto"/>
              </w:rPr>
              <w:t>QoQ</w:t>
            </w:r>
          </w:p>
        </w:tc>
        <w:tc>
          <w:tcPr>
            <w:tcW w:w="7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7"/>
              </w:rPr>
              <w:t>YoY</w:t>
            </w:r>
          </w:p>
        </w:tc>
        <w:tc>
          <w:tcPr>
            <w:tcW w:w="1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Jun 13</w:t>
            </w: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Jun 12</w:t>
            </w:r>
          </w:p>
        </w:tc>
        <w:tc>
          <w:tcPr>
            <w:tcW w:w="114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9"/>
              </w:rPr>
              <w:t>Jun 13 / Jun12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Interest income and expense</w:t>
            </w:r>
          </w:p>
        </w:tc>
        <w:tc>
          <w:tcPr>
            <w:tcW w:w="5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Interest and dividend income (1)</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595,032</w:t>
            </w:r>
          </w:p>
        </w:tc>
        <w:tc>
          <w:tcPr>
            <w:tcW w:w="22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601,016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511,314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16.4%</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1,196,048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998,963</w:t>
            </w:r>
          </w:p>
        </w:tc>
        <w:tc>
          <w:tcPr>
            <w:tcW w:w="120" w:type="dxa"/>
            <w:vAlign w:val="bottom"/>
          </w:tcPr>
          <w:p>
            <w:pPr>
              <w:spacing w:after="0"/>
              <w:rPr>
                <w:sz w:val="12"/>
                <w:szCs w:val="12"/>
                <w:color w:val="auto"/>
              </w:rPr>
            </w:pPr>
          </w:p>
        </w:tc>
        <w:tc>
          <w:tcPr>
            <w:tcW w:w="114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FFCC"/>
          </w:tcPr>
          <w:p>
            <w:pPr>
              <w:ind w:left="140"/>
              <w:spacing w:after="0" w:line="149" w:lineRule="exact"/>
              <w:rPr>
                <w:sz w:val="20"/>
                <w:szCs w:val="20"/>
                <w:color w:val="auto"/>
              </w:rPr>
            </w:pPr>
            <w:r>
              <w:rPr>
                <w:rFonts w:ascii="Arial" w:cs="Arial" w:eastAsia="Arial" w:hAnsi="Arial"/>
                <w:sz w:val="14"/>
                <w:szCs w:val="14"/>
                <w:color w:val="auto"/>
              </w:rPr>
              <w:t>Interest expense (2)</w:t>
            </w:r>
          </w:p>
        </w:tc>
        <w:tc>
          <w:tcPr>
            <w:tcW w:w="7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w w:val="96"/>
              </w:rPr>
              <w:t>(189,644)</w:t>
            </w:r>
          </w:p>
        </w:tc>
        <w:tc>
          <w:tcPr>
            <w:tcW w:w="880" w:type="dxa"/>
            <w:vAlign w:val="bottom"/>
            <w:gridSpan w:val="3"/>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(189,108)</w:t>
            </w:r>
          </w:p>
        </w:tc>
        <w:tc>
          <w:tcPr>
            <w:tcW w:w="10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w w:val="96"/>
              </w:rPr>
              <w:t>(156,053)</w:t>
            </w:r>
          </w:p>
        </w:tc>
        <w:tc>
          <w:tcPr>
            <w:tcW w:w="10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0.3%</w:t>
            </w: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21.5%</w:t>
            </w:r>
          </w:p>
        </w:tc>
        <w:tc>
          <w:tcPr>
            <w:tcW w:w="920" w:type="dxa"/>
            <w:vAlign w:val="bottom"/>
            <w:gridSpan w:val="3"/>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(378,752)</w:t>
            </w:r>
          </w:p>
        </w:tc>
        <w:tc>
          <w:tcPr>
            <w:tcW w:w="10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w w:val="96"/>
              </w:rPr>
              <w:t>(301,203)</w:t>
            </w:r>
          </w:p>
        </w:tc>
        <w:tc>
          <w:tcPr>
            <w:tcW w:w="1140" w:type="dxa"/>
            <w:vAlign w:val="bottom"/>
            <w:gridSpan w:val="4"/>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Net interest and dividend income</w:t>
            </w: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405,388</w:t>
            </w:r>
          </w:p>
        </w:tc>
        <w:tc>
          <w:tcPr>
            <w:tcW w:w="22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411,908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355,261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14.1%</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817,296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697,760</w:t>
            </w:r>
          </w:p>
        </w:tc>
        <w:tc>
          <w:tcPr>
            <w:tcW w:w="120" w:type="dxa"/>
            <w:vAlign w:val="bottom"/>
          </w:tcPr>
          <w:p>
            <w:pPr>
              <w:spacing w:after="0"/>
              <w:rPr>
                <w:sz w:val="12"/>
                <w:szCs w:val="12"/>
                <w:color w:val="auto"/>
              </w:rPr>
            </w:pPr>
          </w:p>
        </w:tc>
        <w:tc>
          <w:tcPr>
            <w:tcW w:w="1140" w:type="dxa"/>
            <w:vAlign w:val="bottom"/>
            <w:gridSpan w:val="4"/>
          </w:tcPr>
          <w:p>
            <w:pPr>
              <w:jc w:val="right"/>
              <w:ind w:right="20"/>
              <w:spacing w:after="0" w:line="149" w:lineRule="exact"/>
              <w:rPr>
                <w:sz w:val="20"/>
                <w:szCs w:val="20"/>
                <w:color w:val="auto"/>
              </w:rPr>
            </w:pPr>
            <w:r>
              <w:rPr>
                <w:rFonts w:ascii="Arial" w:cs="Arial" w:eastAsia="Arial" w:hAnsi="Arial"/>
                <w:sz w:val="14"/>
                <w:szCs w:val="14"/>
                <w:b w:val="1"/>
                <w:bCs w:val="1"/>
                <w:color w:val="auto"/>
              </w:rPr>
              <w:t>17.1%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provision for loan losses</w:t>
            </w:r>
          </w:p>
        </w:tc>
        <w:tc>
          <w:tcPr>
            <w:tcW w:w="7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b w:val="1"/>
                <w:bCs w:val="1"/>
                <w:color w:val="auto"/>
                <w:w w:val="96"/>
              </w:rPr>
              <w:t>(115,288)</w:t>
            </w:r>
          </w:p>
        </w:tc>
        <w:tc>
          <w:tcPr>
            <w:tcW w:w="880" w:type="dxa"/>
            <w:vAlign w:val="bottom"/>
            <w:gridSpan w:val="3"/>
            <w:shd w:val="clear" w:color="auto" w:fill="CCFFCC"/>
          </w:tcPr>
          <w:p>
            <w:pPr>
              <w:jc w:val="right"/>
              <w:ind w:right="180"/>
              <w:spacing w:after="0" w:line="149" w:lineRule="exact"/>
              <w:rPr>
                <w:sz w:val="20"/>
                <w:szCs w:val="20"/>
                <w:color w:val="auto"/>
              </w:rPr>
            </w:pPr>
            <w:r>
              <w:rPr>
                <w:rFonts w:ascii="Arial" w:cs="Arial" w:eastAsia="Arial" w:hAnsi="Arial"/>
                <w:sz w:val="14"/>
                <w:szCs w:val="14"/>
                <w:b w:val="1"/>
                <w:bCs w:val="1"/>
                <w:color w:val="auto"/>
              </w:rPr>
              <w:t>(94,673)</w:t>
            </w:r>
          </w:p>
        </w:tc>
        <w:tc>
          <w:tcPr>
            <w:tcW w:w="10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b w:val="1"/>
                <w:bCs w:val="1"/>
                <w:color w:val="auto"/>
                <w:w w:val="96"/>
              </w:rPr>
              <w:t>(111,091)</w:t>
            </w:r>
          </w:p>
        </w:tc>
        <w:tc>
          <w:tcPr>
            <w:tcW w:w="10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21.8%</w:t>
            </w: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3.8%</w:t>
            </w:r>
          </w:p>
        </w:tc>
        <w:tc>
          <w:tcPr>
            <w:tcW w:w="920" w:type="dxa"/>
            <w:vAlign w:val="bottom"/>
            <w:gridSpan w:val="3"/>
            <w:shd w:val="clear" w:color="auto" w:fill="CCFFCC"/>
          </w:tcPr>
          <w:p>
            <w:pPr>
              <w:jc w:val="right"/>
              <w:ind w:right="180"/>
              <w:spacing w:after="0" w:line="149" w:lineRule="exact"/>
              <w:rPr>
                <w:sz w:val="20"/>
                <w:szCs w:val="20"/>
                <w:color w:val="auto"/>
              </w:rPr>
            </w:pPr>
            <w:r>
              <w:rPr>
                <w:rFonts w:ascii="Arial" w:cs="Arial" w:eastAsia="Arial" w:hAnsi="Arial"/>
                <w:sz w:val="14"/>
                <w:szCs w:val="14"/>
                <w:b w:val="1"/>
                <w:bCs w:val="1"/>
                <w:color w:val="auto"/>
              </w:rPr>
              <w:t>(209,961)</w:t>
            </w:r>
          </w:p>
        </w:tc>
        <w:tc>
          <w:tcPr>
            <w:tcW w:w="10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b w:val="1"/>
                <w:bCs w:val="1"/>
                <w:color w:val="auto"/>
                <w:w w:val="96"/>
              </w:rPr>
              <w:t>(180,933)</w:t>
            </w:r>
          </w:p>
        </w:tc>
        <w:tc>
          <w:tcPr>
            <w:tcW w:w="1140" w:type="dxa"/>
            <w:vAlign w:val="bottom"/>
            <w:gridSpan w:val="4"/>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16.0%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Non financial income</w:t>
            </w:r>
          </w:p>
        </w:tc>
        <w:tc>
          <w:tcPr>
            <w:tcW w:w="5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Banking services commissions</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163,155</w:t>
            </w:r>
          </w:p>
        </w:tc>
        <w:tc>
          <w:tcPr>
            <w:tcW w:w="22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151,912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145,823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11.9%</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315,067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287,808</w:t>
            </w:r>
          </w:p>
        </w:tc>
        <w:tc>
          <w:tcPr>
            <w:tcW w:w="120" w:type="dxa"/>
            <w:vAlign w:val="bottom"/>
          </w:tcPr>
          <w:p>
            <w:pPr>
              <w:spacing w:after="0"/>
              <w:rPr>
                <w:sz w:val="12"/>
                <w:szCs w:val="12"/>
                <w:color w:val="auto"/>
              </w:rPr>
            </w:pPr>
          </w:p>
        </w:tc>
        <w:tc>
          <w:tcPr>
            <w:tcW w:w="114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FFCC"/>
          </w:tcPr>
          <w:p>
            <w:pPr>
              <w:ind w:left="140"/>
              <w:spacing w:after="0" w:line="149" w:lineRule="exact"/>
              <w:rPr>
                <w:sz w:val="20"/>
                <w:szCs w:val="20"/>
                <w:color w:val="auto"/>
              </w:rPr>
            </w:pPr>
            <w:r>
              <w:rPr>
                <w:rFonts w:ascii="Arial" w:cs="Arial" w:eastAsia="Arial" w:hAnsi="Arial"/>
                <w:sz w:val="14"/>
                <w:szCs w:val="14"/>
                <w:color w:val="auto"/>
              </w:rPr>
              <w:t>Net gain on foreign exchange transactions</w:t>
            </w:r>
          </w:p>
        </w:tc>
        <w:tc>
          <w:tcPr>
            <w:tcW w:w="5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52,216</w:t>
            </w:r>
          </w:p>
        </w:tc>
        <w:tc>
          <w:tcPr>
            <w:tcW w:w="22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46,570</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42,660</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12.1%</w:t>
            </w: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22.4%</w:t>
            </w:r>
          </w:p>
        </w:tc>
        <w:tc>
          <w:tcPr>
            <w:tcW w:w="7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98,786</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81,990</w:t>
            </w:r>
          </w:p>
        </w:tc>
        <w:tc>
          <w:tcPr>
            <w:tcW w:w="120" w:type="dxa"/>
            <w:vAlign w:val="bottom"/>
            <w:shd w:val="clear" w:color="auto" w:fill="CCFFCC"/>
          </w:tcPr>
          <w:p>
            <w:pPr>
              <w:spacing w:after="0"/>
              <w:rPr>
                <w:sz w:val="12"/>
                <w:szCs w:val="12"/>
                <w:color w:val="auto"/>
              </w:rPr>
            </w:pPr>
          </w:p>
        </w:tc>
        <w:tc>
          <w:tcPr>
            <w:tcW w:w="1140" w:type="dxa"/>
            <w:vAlign w:val="bottom"/>
            <w:gridSpan w:val="4"/>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Net gain on sales of securities</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(26,988)</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7,041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-2667.8%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-483.3%</w:t>
            </w:r>
          </w:p>
        </w:tc>
        <w:tc>
          <w:tcPr>
            <w:tcW w:w="9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(25,937)</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20,688</w:t>
            </w:r>
          </w:p>
        </w:tc>
        <w:tc>
          <w:tcPr>
            <w:tcW w:w="120" w:type="dxa"/>
            <w:vAlign w:val="bottom"/>
          </w:tcPr>
          <w:p>
            <w:pPr>
              <w:spacing w:after="0"/>
              <w:rPr>
                <w:sz w:val="12"/>
                <w:szCs w:val="12"/>
                <w:color w:val="auto"/>
              </w:rPr>
            </w:pPr>
          </w:p>
        </w:tc>
        <w:tc>
          <w:tcPr>
            <w:tcW w:w="114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-225.4%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FFCC"/>
          </w:tcPr>
          <w:p>
            <w:pPr>
              <w:ind w:left="140"/>
              <w:spacing w:after="0" w:line="149" w:lineRule="exact"/>
              <w:rPr>
                <w:sz w:val="20"/>
                <w:szCs w:val="20"/>
                <w:color w:val="auto"/>
              </w:rPr>
            </w:pPr>
            <w:r>
              <w:rPr>
                <w:rFonts w:ascii="Arial" w:cs="Arial" w:eastAsia="Arial" w:hAnsi="Arial"/>
                <w:sz w:val="14"/>
                <w:szCs w:val="14"/>
                <w:color w:val="auto"/>
              </w:rPr>
              <w:t>Other</w:t>
            </w:r>
          </w:p>
        </w:tc>
        <w:tc>
          <w:tcPr>
            <w:tcW w:w="5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4,221</w:t>
            </w:r>
          </w:p>
        </w:tc>
        <w:tc>
          <w:tcPr>
            <w:tcW w:w="22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11,577</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10,863</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-63.5%</w:t>
            </w: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-61.1%</w:t>
            </w:r>
          </w:p>
        </w:tc>
        <w:tc>
          <w:tcPr>
            <w:tcW w:w="7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15,798</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14,600</w:t>
            </w:r>
          </w:p>
        </w:tc>
        <w:tc>
          <w:tcPr>
            <w:tcW w:w="120" w:type="dxa"/>
            <w:vAlign w:val="bottom"/>
            <w:shd w:val="clear" w:color="auto" w:fill="CCFFCC"/>
          </w:tcPr>
          <w:p>
            <w:pPr>
              <w:spacing w:after="0"/>
              <w:rPr>
                <w:sz w:val="12"/>
                <w:szCs w:val="12"/>
                <w:color w:val="auto"/>
              </w:rPr>
            </w:pPr>
          </w:p>
        </w:tc>
        <w:tc>
          <w:tcPr>
            <w:tcW w:w="1140" w:type="dxa"/>
            <w:vAlign w:val="bottom"/>
            <w:gridSpan w:val="4"/>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Total non financial income, net (3)</w:t>
            </w: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192,604</w:t>
            </w:r>
          </w:p>
        </w:tc>
        <w:tc>
          <w:tcPr>
            <w:tcW w:w="22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211,110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206,387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-8.8%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-6.7%</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403,714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405,086</w:t>
            </w:r>
          </w:p>
        </w:tc>
        <w:tc>
          <w:tcPr>
            <w:tcW w:w="120" w:type="dxa"/>
            <w:vAlign w:val="bottom"/>
          </w:tcPr>
          <w:p>
            <w:pPr>
              <w:spacing w:after="0"/>
              <w:rPr>
                <w:sz w:val="12"/>
                <w:szCs w:val="12"/>
                <w:color w:val="auto"/>
              </w:rPr>
            </w:pPr>
          </w:p>
        </w:tc>
        <w:tc>
          <w:tcPr>
            <w:tcW w:w="1140" w:type="dxa"/>
            <w:vAlign w:val="bottom"/>
            <w:gridSpan w:val="4"/>
          </w:tcPr>
          <w:p>
            <w:pPr>
              <w:jc w:val="right"/>
              <w:ind w:right="20"/>
              <w:spacing w:after="0" w:line="149" w:lineRule="exact"/>
              <w:rPr>
                <w:sz w:val="20"/>
                <w:szCs w:val="20"/>
                <w:color w:val="auto"/>
              </w:rPr>
            </w:pPr>
            <w:r>
              <w:rPr>
                <w:rFonts w:ascii="Arial" w:cs="Arial" w:eastAsia="Arial" w:hAnsi="Arial"/>
                <w:sz w:val="14"/>
                <w:szCs w:val="14"/>
                <w:b w:val="1"/>
                <w:bCs w:val="1"/>
                <w:color w:val="auto"/>
              </w:rPr>
              <w:t>-0.3%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FFCC"/>
          </w:tcPr>
          <w:p>
            <w:pPr>
              <w:ind w:left="140"/>
              <w:spacing w:after="0" w:line="149" w:lineRule="exact"/>
              <w:rPr>
                <w:sz w:val="20"/>
                <w:szCs w:val="20"/>
                <w:color w:val="auto"/>
              </w:rPr>
            </w:pPr>
            <w:r>
              <w:rPr>
                <w:rFonts w:ascii="Arial" w:cs="Arial" w:eastAsia="Arial" w:hAnsi="Arial"/>
                <w:sz w:val="14"/>
                <w:szCs w:val="14"/>
                <w:color w:val="auto"/>
              </w:rPr>
              <w:t>Salaries and employees benefits</w:t>
            </w:r>
          </w:p>
        </w:tc>
        <w:tc>
          <w:tcPr>
            <w:tcW w:w="7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w w:val="96"/>
              </w:rPr>
              <w:t>(159,823)</w:t>
            </w:r>
          </w:p>
        </w:tc>
        <w:tc>
          <w:tcPr>
            <w:tcW w:w="880" w:type="dxa"/>
            <w:vAlign w:val="bottom"/>
            <w:gridSpan w:val="3"/>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(162,321)</w:t>
            </w:r>
          </w:p>
        </w:tc>
        <w:tc>
          <w:tcPr>
            <w:tcW w:w="10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w w:val="96"/>
              </w:rPr>
              <w:t>(140,494)</w:t>
            </w:r>
          </w:p>
        </w:tc>
        <w:tc>
          <w:tcPr>
            <w:tcW w:w="10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-1.5%</w:t>
            </w: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13.8%</w:t>
            </w:r>
          </w:p>
        </w:tc>
        <w:tc>
          <w:tcPr>
            <w:tcW w:w="920" w:type="dxa"/>
            <w:vAlign w:val="bottom"/>
            <w:gridSpan w:val="3"/>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(322,144)</w:t>
            </w:r>
          </w:p>
        </w:tc>
        <w:tc>
          <w:tcPr>
            <w:tcW w:w="10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w w:val="96"/>
              </w:rPr>
              <w:t>(279,536)</w:t>
            </w:r>
          </w:p>
        </w:tc>
        <w:tc>
          <w:tcPr>
            <w:tcW w:w="1140" w:type="dxa"/>
            <w:vAlign w:val="bottom"/>
            <w:gridSpan w:val="4"/>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Administrative expenses</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6"/>
              </w:rPr>
              <w:t>(122,057)</w:t>
            </w:r>
          </w:p>
        </w:tc>
        <w:tc>
          <w:tcPr>
            <w:tcW w:w="8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(111,028)</w:t>
            </w:r>
          </w:p>
        </w:tc>
        <w:tc>
          <w:tcPr>
            <w:tcW w:w="10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(99,466)</w:t>
            </w:r>
          </w:p>
        </w:tc>
        <w:tc>
          <w:tcPr>
            <w:tcW w:w="10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22.7%</w:t>
            </w:r>
          </w:p>
        </w:tc>
        <w:tc>
          <w:tcPr>
            <w:tcW w:w="9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(233,085)</w:t>
            </w: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6"/>
              </w:rPr>
              <w:t>(184,721)</w:t>
            </w:r>
          </w:p>
        </w:tc>
        <w:tc>
          <w:tcPr>
            <w:tcW w:w="114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FFCC"/>
          </w:tcPr>
          <w:p>
            <w:pPr>
              <w:ind w:left="140"/>
              <w:spacing w:after="0" w:line="149" w:lineRule="exact"/>
              <w:rPr>
                <w:sz w:val="20"/>
                <w:szCs w:val="20"/>
                <w:color w:val="auto"/>
              </w:rPr>
            </w:pPr>
            <w:r>
              <w:rPr>
                <w:rFonts w:ascii="Arial" w:cs="Arial" w:eastAsia="Arial" w:hAnsi="Arial"/>
                <w:sz w:val="14"/>
                <w:szCs w:val="14"/>
                <w:color w:val="auto"/>
              </w:rPr>
              <w:t>Depreciation and amortization</w:t>
            </w:r>
          </w:p>
        </w:tc>
        <w:tc>
          <w:tcPr>
            <w:tcW w:w="7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(24,177)</w:t>
            </w:r>
          </w:p>
        </w:tc>
        <w:tc>
          <w:tcPr>
            <w:tcW w:w="880" w:type="dxa"/>
            <w:vAlign w:val="bottom"/>
            <w:gridSpan w:val="3"/>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(24,113)</w:t>
            </w:r>
          </w:p>
        </w:tc>
        <w:tc>
          <w:tcPr>
            <w:tcW w:w="10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(23,029)</w:t>
            </w:r>
          </w:p>
        </w:tc>
        <w:tc>
          <w:tcPr>
            <w:tcW w:w="10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0.3%</w:t>
            </w: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5.0%</w:t>
            </w:r>
          </w:p>
        </w:tc>
        <w:tc>
          <w:tcPr>
            <w:tcW w:w="920" w:type="dxa"/>
            <w:vAlign w:val="bottom"/>
            <w:gridSpan w:val="3"/>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(48,290)</w:t>
            </w:r>
          </w:p>
        </w:tc>
        <w:tc>
          <w:tcPr>
            <w:tcW w:w="10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(46,682)</w:t>
            </w:r>
          </w:p>
        </w:tc>
        <w:tc>
          <w:tcPr>
            <w:tcW w:w="1140" w:type="dxa"/>
            <w:vAlign w:val="bottom"/>
            <w:gridSpan w:val="4"/>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Other</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(23,824)</w:t>
            </w:r>
          </w:p>
        </w:tc>
        <w:tc>
          <w:tcPr>
            <w:tcW w:w="8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(10,930)</w:t>
            </w:r>
          </w:p>
        </w:tc>
        <w:tc>
          <w:tcPr>
            <w:tcW w:w="10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(8,660)</w:t>
            </w:r>
          </w:p>
        </w:tc>
        <w:tc>
          <w:tcPr>
            <w:tcW w:w="10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118.0%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175.1%</w:t>
            </w:r>
          </w:p>
        </w:tc>
        <w:tc>
          <w:tcPr>
            <w:tcW w:w="9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(34,754)</w:t>
            </w: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(17,959)</w:t>
            </w:r>
          </w:p>
        </w:tc>
        <w:tc>
          <w:tcPr>
            <w:tcW w:w="114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93.5%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FFCC"/>
          </w:tcPr>
          <w:p>
            <w:pPr>
              <w:ind w:left="140"/>
              <w:spacing w:after="0" w:line="149" w:lineRule="exact"/>
              <w:rPr>
                <w:sz w:val="20"/>
                <w:szCs w:val="20"/>
                <w:color w:val="auto"/>
              </w:rPr>
            </w:pPr>
            <w:r>
              <w:rPr>
                <w:rFonts w:ascii="Arial" w:cs="Arial" w:eastAsia="Arial" w:hAnsi="Arial"/>
                <w:sz w:val="14"/>
                <w:szCs w:val="14"/>
                <w:b w:val="1"/>
                <w:bCs w:val="1"/>
                <w:color w:val="auto"/>
              </w:rPr>
              <w:t>Total operating expenses (4)</w:t>
            </w:r>
          </w:p>
        </w:tc>
        <w:tc>
          <w:tcPr>
            <w:tcW w:w="7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b w:val="1"/>
                <w:bCs w:val="1"/>
                <w:color w:val="auto"/>
                <w:w w:val="96"/>
              </w:rPr>
              <w:t>(329,881)</w:t>
            </w:r>
          </w:p>
        </w:tc>
        <w:tc>
          <w:tcPr>
            <w:tcW w:w="880" w:type="dxa"/>
            <w:vAlign w:val="bottom"/>
            <w:gridSpan w:val="3"/>
            <w:shd w:val="clear" w:color="auto" w:fill="CCFFCC"/>
          </w:tcPr>
          <w:p>
            <w:pPr>
              <w:jc w:val="right"/>
              <w:ind w:right="180"/>
              <w:spacing w:after="0" w:line="149" w:lineRule="exact"/>
              <w:rPr>
                <w:sz w:val="20"/>
                <w:szCs w:val="20"/>
                <w:color w:val="auto"/>
              </w:rPr>
            </w:pPr>
            <w:r>
              <w:rPr>
                <w:rFonts w:ascii="Arial" w:cs="Arial" w:eastAsia="Arial" w:hAnsi="Arial"/>
                <w:sz w:val="14"/>
                <w:szCs w:val="14"/>
                <w:b w:val="1"/>
                <w:bCs w:val="1"/>
                <w:color w:val="auto"/>
              </w:rPr>
              <w:t>(308,392)</w:t>
            </w:r>
          </w:p>
        </w:tc>
        <w:tc>
          <w:tcPr>
            <w:tcW w:w="10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b w:val="1"/>
                <w:bCs w:val="1"/>
                <w:color w:val="auto"/>
                <w:w w:val="96"/>
              </w:rPr>
              <w:t>(271,649)</w:t>
            </w:r>
          </w:p>
        </w:tc>
        <w:tc>
          <w:tcPr>
            <w:tcW w:w="10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7.0%</w:t>
            </w: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21.4%</w:t>
            </w:r>
          </w:p>
        </w:tc>
        <w:tc>
          <w:tcPr>
            <w:tcW w:w="920" w:type="dxa"/>
            <w:vAlign w:val="bottom"/>
            <w:gridSpan w:val="3"/>
            <w:shd w:val="clear" w:color="auto" w:fill="CCFFCC"/>
          </w:tcPr>
          <w:p>
            <w:pPr>
              <w:jc w:val="right"/>
              <w:ind w:right="180"/>
              <w:spacing w:after="0" w:line="149" w:lineRule="exact"/>
              <w:rPr>
                <w:sz w:val="20"/>
                <w:szCs w:val="20"/>
                <w:color w:val="auto"/>
              </w:rPr>
            </w:pPr>
            <w:r>
              <w:rPr>
                <w:rFonts w:ascii="Arial" w:cs="Arial" w:eastAsia="Arial" w:hAnsi="Arial"/>
                <w:sz w:val="14"/>
                <w:szCs w:val="14"/>
                <w:b w:val="1"/>
                <w:bCs w:val="1"/>
                <w:color w:val="auto"/>
              </w:rPr>
              <w:t>(638,273)</w:t>
            </w:r>
          </w:p>
        </w:tc>
        <w:tc>
          <w:tcPr>
            <w:tcW w:w="10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b w:val="1"/>
                <w:bCs w:val="1"/>
                <w:color w:val="auto"/>
                <w:w w:val="96"/>
              </w:rPr>
              <w:t>(528,898)</w:t>
            </w:r>
          </w:p>
        </w:tc>
        <w:tc>
          <w:tcPr>
            <w:tcW w:w="1140" w:type="dxa"/>
            <w:vAlign w:val="bottom"/>
            <w:gridSpan w:val="4"/>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20.7%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5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152,823</w:t>
            </w:r>
          </w:p>
        </w:tc>
        <w:tc>
          <w:tcPr>
            <w:tcW w:w="22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219,953</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178,908</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-30.5%</w:t>
            </w: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-14.6%</w:t>
            </w:r>
          </w:p>
        </w:tc>
        <w:tc>
          <w:tcPr>
            <w:tcW w:w="7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372,776</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393,015</w:t>
            </w:r>
          </w:p>
        </w:tc>
        <w:tc>
          <w:tcPr>
            <w:tcW w:w="120" w:type="dxa"/>
            <w:vAlign w:val="bottom"/>
            <w:shd w:val="clear" w:color="auto" w:fill="CCFFCC"/>
          </w:tcPr>
          <w:p>
            <w:pPr>
              <w:spacing w:after="0"/>
              <w:rPr>
                <w:sz w:val="12"/>
                <w:szCs w:val="12"/>
                <w:color w:val="auto"/>
              </w:rPr>
            </w:pPr>
          </w:p>
        </w:tc>
        <w:tc>
          <w:tcPr>
            <w:tcW w:w="1140" w:type="dxa"/>
            <w:vAlign w:val="bottom"/>
            <w:gridSpan w:val="4"/>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Translation result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(63,395)</w:t>
            </w:r>
          </w:p>
        </w:tc>
        <w:tc>
          <w:tcPr>
            <w:tcW w:w="8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(15,753)</w:t>
            </w:r>
          </w:p>
        </w:tc>
        <w:tc>
          <w:tcPr>
            <w:tcW w:w="10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(2,988)</w:t>
            </w:r>
          </w:p>
        </w:tc>
        <w:tc>
          <w:tcPr>
            <w:tcW w:w="10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302.4%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2021.7%</w:t>
            </w:r>
          </w:p>
        </w:tc>
        <w:tc>
          <w:tcPr>
            <w:tcW w:w="9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(79,148)</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8,426</w:t>
            </w:r>
          </w:p>
        </w:tc>
        <w:tc>
          <w:tcPr>
            <w:tcW w:w="120" w:type="dxa"/>
            <w:vAlign w:val="bottom"/>
          </w:tcPr>
          <w:p>
            <w:pPr>
              <w:spacing w:after="0"/>
              <w:rPr>
                <w:sz w:val="12"/>
                <w:szCs w:val="12"/>
                <w:color w:val="auto"/>
              </w:rPr>
            </w:pPr>
          </w:p>
        </w:tc>
        <w:tc>
          <w:tcPr>
            <w:tcW w:w="114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-1039.3%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FFCC"/>
          </w:tcPr>
          <w:p>
            <w:pPr>
              <w:ind w:left="140"/>
              <w:spacing w:after="0" w:line="149" w:lineRule="exact"/>
              <w:rPr>
                <w:sz w:val="20"/>
                <w:szCs w:val="20"/>
                <w:color w:val="auto"/>
              </w:rPr>
            </w:pPr>
            <w:r>
              <w:rPr>
                <w:rFonts w:ascii="Arial" w:cs="Arial" w:eastAsia="Arial" w:hAnsi="Arial"/>
                <w:sz w:val="14"/>
                <w:szCs w:val="14"/>
                <w:color w:val="auto"/>
              </w:rPr>
              <w:t>Income taxes</w:t>
            </w:r>
          </w:p>
        </w:tc>
        <w:tc>
          <w:tcPr>
            <w:tcW w:w="7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(62,774)</w:t>
            </w:r>
          </w:p>
        </w:tc>
        <w:tc>
          <w:tcPr>
            <w:tcW w:w="880" w:type="dxa"/>
            <w:vAlign w:val="bottom"/>
            <w:gridSpan w:val="3"/>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(62,042)</w:t>
            </w:r>
          </w:p>
        </w:tc>
        <w:tc>
          <w:tcPr>
            <w:tcW w:w="10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(47,944)</w:t>
            </w:r>
          </w:p>
        </w:tc>
        <w:tc>
          <w:tcPr>
            <w:tcW w:w="10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1.2%</w:t>
            </w: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30.9%</w:t>
            </w:r>
          </w:p>
        </w:tc>
        <w:tc>
          <w:tcPr>
            <w:tcW w:w="920" w:type="dxa"/>
            <w:vAlign w:val="bottom"/>
            <w:gridSpan w:val="3"/>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(124,816)</w:t>
            </w:r>
          </w:p>
        </w:tc>
        <w:tc>
          <w:tcPr>
            <w:tcW w:w="10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w w:val="96"/>
              </w:rPr>
              <w:t>(102,598)</w:t>
            </w:r>
          </w:p>
        </w:tc>
        <w:tc>
          <w:tcPr>
            <w:tcW w:w="1140" w:type="dxa"/>
            <w:vAlign w:val="bottom"/>
            <w:gridSpan w:val="4"/>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Minority interest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(181)</w:t>
            </w:r>
          </w:p>
        </w:tc>
        <w:tc>
          <w:tcPr>
            <w:tcW w:w="8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(212)</w:t>
            </w:r>
          </w:p>
        </w:tc>
        <w:tc>
          <w:tcPr>
            <w:tcW w:w="10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(241)</w:t>
            </w:r>
          </w:p>
        </w:tc>
        <w:tc>
          <w:tcPr>
            <w:tcW w:w="10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-24.9%</w:t>
            </w:r>
          </w:p>
        </w:tc>
        <w:tc>
          <w:tcPr>
            <w:tcW w:w="9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(393)</w:t>
            </w: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(489)</w:t>
            </w:r>
          </w:p>
        </w:tc>
        <w:tc>
          <w:tcPr>
            <w:tcW w:w="114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80" w:type="dxa"/>
            <w:vAlign w:val="bottom"/>
            <w:gridSpan w:val="2"/>
            <w:shd w:val="clear" w:color="auto" w:fill="CCFFCC"/>
          </w:tcPr>
          <w:p>
            <w:pPr>
              <w:spacing w:after="0"/>
              <w:rPr>
                <w:sz w:val="20"/>
                <w:szCs w:val="20"/>
                <w:color w:val="auto"/>
              </w:rPr>
            </w:pPr>
            <w:r>
              <w:rPr>
                <w:rFonts w:ascii="Arial" w:cs="Arial" w:eastAsia="Arial" w:hAnsi="Arial"/>
                <w:sz w:val="14"/>
                <w:szCs w:val="14"/>
                <w:b w:val="1"/>
                <w:bCs w:val="1"/>
                <w:color w:val="auto"/>
              </w:rPr>
              <w:t>Net income</w:t>
            </w:r>
          </w:p>
        </w:tc>
        <w:tc>
          <w:tcPr>
            <w:tcW w:w="56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26,473</w:t>
            </w:r>
          </w:p>
        </w:tc>
        <w:tc>
          <w:tcPr>
            <w:tcW w:w="2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141,946</w:t>
            </w:r>
          </w:p>
        </w:tc>
        <w:tc>
          <w:tcPr>
            <w:tcW w:w="2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127,735</w:t>
            </w:r>
          </w:p>
        </w:tc>
        <w:tc>
          <w:tcPr>
            <w:tcW w:w="2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-81.3%</w:t>
            </w: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b w:val="1"/>
                <w:bCs w:val="1"/>
                <w:color w:val="auto"/>
              </w:rPr>
              <w:t>-79.3%</w:t>
            </w:r>
          </w:p>
        </w:tc>
        <w:tc>
          <w:tcPr>
            <w:tcW w:w="700" w:type="dxa"/>
            <w:vAlign w:val="bottom"/>
            <w:gridSpan w:val="2"/>
            <w:shd w:val="clear" w:color="auto" w:fill="CCFFCC"/>
          </w:tcPr>
          <w:p>
            <w:pPr>
              <w:jc w:val="right"/>
              <w:spacing w:after="0"/>
              <w:rPr>
                <w:sz w:val="20"/>
                <w:szCs w:val="20"/>
                <w:color w:val="auto"/>
              </w:rPr>
            </w:pPr>
            <w:r>
              <w:rPr>
                <w:rFonts w:ascii="Arial" w:cs="Arial" w:eastAsia="Arial" w:hAnsi="Arial"/>
                <w:sz w:val="14"/>
                <w:szCs w:val="14"/>
                <w:b w:val="1"/>
                <w:bCs w:val="1"/>
                <w:color w:val="auto"/>
              </w:rPr>
              <w:t>168,419</w:t>
            </w:r>
          </w:p>
        </w:tc>
        <w:tc>
          <w:tcPr>
            <w:tcW w:w="2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298,354</w:t>
            </w:r>
          </w:p>
        </w:tc>
        <w:tc>
          <w:tcPr>
            <w:tcW w:w="120" w:type="dxa"/>
            <w:vAlign w:val="bottom"/>
            <w:shd w:val="clear" w:color="auto" w:fill="CCFFCC"/>
          </w:tcPr>
          <w:p>
            <w:pPr>
              <w:spacing w:after="0"/>
              <w:rPr>
                <w:sz w:val="14"/>
                <w:szCs w:val="14"/>
                <w:color w:val="auto"/>
              </w:rPr>
            </w:pPr>
          </w:p>
        </w:tc>
        <w:tc>
          <w:tcPr>
            <w:tcW w:w="1140" w:type="dxa"/>
            <w:vAlign w:val="bottom"/>
            <w:gridSpan w:val="4"/>
            <w:shd w:val="clear" w:color="auto" w:fill="CCFFCC"/>
          </w:tcPr>
          <w:p>
            <w:pPr>
              <w:jc w:val="right"/>
              <w:ind w:right="20"/>
              <w:spacing w:after="0"/>
              <w:rPr>
                <w:sz w:val="20"/>
                <w:szCs w:val="20"/>
                <w:color w:val="auto"/>
              </w:rPr>
            </w:pPr>
            <w:r>
              <w:rPr>
                <w:rFonts w:ascii="Arial" w:cs="Arial" w:eastAsia="Arial" w:hAnsi="Arial"/>
                <w:sz w:val="14"/>
                <w:szCs w:val="14"/>
                <w:b w:val="1"/>
                <w:bCs w:val="1"/>
                <w:color w:val="auto"/>
              </w:rPr>
              <w:t>-43.6%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left="60" w:right="260" w:hanging="10"/>
        <w:spacing w:after="0" w:line="250" w:lineRule="auto"/>
        <w:tabs>
          <w:tab w:leader="none" w:pos="195"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1Q13, 2Q12 and June 2012 (YTD) figures differ from figures previously reported because BCP Colombia's results used to be registered line by line. In order to be aligned with our audited financial statements and because BCP Colombia is a business held for sale, as of this report BCP Colombia will be registered inside Net gain on sales of securities.</w:t>
      </w:r>
    </w:p>
    <w:p>
      <w:pPr>
        <w:spacing w:after="0" w:line="1" w:lineRule="exact"/>
        <w:rPr>
          <w:rFonts w:ascii="Arial" w:cs="Arial" w:eastAsia="Arial" w:hAnsi="Arial"/>
          <w:sz w:val="18"/>
          <w:szCs w:val="18"/>
          <w:i w:val="1"/>
          <w:iCs w:val="1"/>
          <w:color w:val="auto"/>
        </w:rPr>
      </w:pPr>
    </w:p>
    <w:p>
      <w:pPr>
        <w:ind w:left="60" w:right="100"/>
        <w:spacing w:after="0" w:line="281" w:lineRule="auto"/>
        <w:rPr>
          <w:rFonts w:ascii="Arial" w:cs="Arial" w:eastAsia="Arial" w:hAnsi="Arial"/>
          <w:sz w:val="18"/>
          <w:szCs w:val="18"/>
          <w:i w:val="1"/>
          <w:iCs w:val="1"/>
          <w:color w:val="auto"/>
        </w:rPr>
      </w:pPr>
      <w:r>
        <w:rPr>
          <w:rFonts w:ascii="Arial" w:cs="Arial" w:eastAsia="Arial" w:hAnsi="Arial"/>
          <w:sz w:val="16"/>
          <w:szCs w:val="16"/>
          <w:i w:val="1"/>
          <w:iCs w:val="1"/>
          <w:color w:val="auto"/>
        </w:rPr>
        <w:t>(1) 1Q13 figure differs in US$ 127,000 (US$ 15,000 from Dividends on investments and US$ 115,000 from Deposits with banks) and 2Q12 figure differs in US$ 666,000 (US$ 127,000 from Dividends on investments, US$ 41,000 from Deposits with banks and US$ 498,000 for Other interest income).</w:t>
      </w:r>
    </w:p>
    <w:p>
      <w:pPr>
        <w:spacing w:after="0" w:line="1" w:lineRule="exact"/>
        <w:rPr>
          <w:rFonts w:ascii="Arial" w:cs="Arial" w:eastAsia="Arial" w:hAnsi="Arial"/>
          <w:sz w:val="18"/>
          <w:szCs w:val="18"/>
          <w:i w:val="1"/>
          <w:iCs w:val="1"/>
          <w:color w:val="auto"/>
        </w:rPr>
      </w:pPr>
    </w:p>
    <w:p>
      <w:pPr>
        <w:ind w:left="60"/>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(2) 1Q13 figure differs in US$ 133,000 in Other interest expenses and 2Q12 figure differs in US$ 1.6 million in the same account.</w:t>
      </w:r>
    </w:p>
    <w:p>
      <w:pPr>
        <w:spacing w:after="0" w:line="9" w:lineRule="exact"/>
        <w:rPr>
          <w:rFonts w:ascii="Arial" w:cs="Arial" w:eastAsia="Arial" w:hAnsi="Arial"/>
          <w:sz w:val="18"/>
          <w:szCs w:val="18"/>
          <w:i w:val="1"/>
          <w:iCs w:val="1"/>
          <w:color w:val="auto"/>
        </w:rPr>
      </w:pPr>
    </w:p>
    <w:p>
      <w:pPr>
        <w:ind w:left="60" w:right="20"/>
        <w:spacing w:after="0" w:line="250" w:lineRule="auto"/>
        <w:rPr>
          <w:rFonts w:ascii="Arial" w:cs="Arial" w:eastAsia="Arial" w:hAnsi="Arial"/>
          <w:sz w:val="18"/>
          <w:szCs w:val="18"/>
          <w:i w:val="1"/>
          <w:iCs w:val="1"/>
          <w:color w:val="auto"/>
        </w:rPr>
      </w:pPr>
      <w:r>
        <w:rPr>
          <w:rFonts w:ascii="Arial" w:cs="Arial" w:eastAsia="Arial" w:hAnsi="Arial"/>
          <w:sz w:val="18"/>
          <w:szCs w:val="18"/>
          <w:i w:val="1"/>
          <w:iCs w:val="1"/>
          <w:color w:val="auto"/>
        </w:rPr>
        <w:t>(3) 1Q13 figure differs in US$ 19 million (US$ 9.9 million from Fee income, US$ 1.4 million from Net gain on foreign exchange transactions, US$ 7.7 millions from Net gain on sales of securities and US$ 0.3 million from Other income) and 2Q12 figure differs in US$ 11.3 million (US$ 5.8 million from Fee income, US$ 0.99 million from Net gain on foreign exchange transactions, US$ 3.9 million from Net gain on sales of securities and US$ 0.7 million from Other income).</w:t>
      </w:r>
    </w:p>
    <w:p>
      <w:pPr>
        <w:spacing w:after="0" w:line="1" w:lineRule="exact"/>
        <w:rPr>
          <w:rFonts w:ascii="Arial" w:cs="Arial" w:eastAsia="Arial" w:hAnsi="Arial"/>
          <w:sz w:val="18"/>
          <w:szCs w:val="18"/>
          <w:i w:val="1"/>
          <w:iCs w:val="1"/>
          <w:color w:val="auto"/>
        </w:rPr>
      </w:pPr>
    </w:p>
    <w:p>
      <w:pPr>
        <w:ind w:left="60" w:right="100"/>
        <w:spacing w:after="0" w:line="250" w:lineRule="auto"/>
        <w:rPr>
          <w:rFonts w:ascii="Arial" w:cs="Arial" w:eastAsia="Arial" w:hAnsi="Arial"/>
          <w:sz w:val="18"/>
          <w:szCs w:val="18"/>
          <w:i w:val="1"/>
          <w:iCs w:val="1"/>
          <w:color w:val="auto"/>
        </w:rPr>
      </w:pPr>
      <w:r>
        <w:rPr>
          <w:rFonts w:ascii="Arial" w:cs="Arial" w:eastAsia="Arial" w:hAnsi="Arial"/>
          <w:sz w:val="18"/>
          <w:szCs w:val="18"/>
          <w:i w:val="1"/>
          <w:iCs w:val="1"/>
          <w:color w:val="auto"/>
        </w:rPr>
        <w:t>(4) 1Q13 figure differs in US$ 17.6 million (US$ 11.3 million from Salaries and employees benefits, US$ 4.7 million from administrative, general and tax expenses, US$ 1.3 million from depreciation and amortization and US$ 0.3 million from Other expenses) and 2Q12 figure differs in US$ 10.7 million (US$ 7.3 million from Salaries and employees benefits, US$ 3.2 million from administrative, general and tax expenses, US$ 0.1 million from depreciation and amortization and US$ 0.1 million from Other expenses).</w:t>
      </w:r>
    </w:p>
    <w:p>
      <w:pPr>
        <w:spacing w:after="0" w:line="1" w:lineRule="exact"/>
        <w:rPr>
          <w:rFonts w:ascii="Arial" w:cs="Arial" w:eastAsia="Arial" w:hAnsi="Arial"/>
          <w:sz w:val="18"/>
          <w:szCs w:val="18"/>
          <w:i w:val="1"/>
          <w:iCs w:val="1"/>
          <w:color w:val="auto"/>
        </w:rPr>
      </w:pPr>
    </w:p>
    <w:p>
      <w:pPr>
        <w:ind w:left="60"/>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(5) 1Q13 figure differs in US$ 46,000 and 2Q12 figure differs in US$ 74,000.</w:t>
      </w:r>
    </w:p>
    <w:p>
      <w:pPr>
        <w:spacing w:after="0" w:line="9" w:lineRule="exact"/>
        <w:rPr>
          <w:rFonts w:ascii="Arial" w:cs="Arial" w:eastAsia="Arial" w:hAnsi="Arial"/>
          <w:sz w:val="18"/>
          <w:szCs w:val="18"/>
          <w:i w:val="1"/>
          <w:iCs w:val="1"/>
          <w:color w:val="auto"/>
        </w:rPr>
      </w:pPr>
    </w:p>
    <w:p>
      <w:pPr>
        <w:ind w:left="60"/>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(6) 1Q13 figure differs in US$ 1.1 million and 2Q12 figure differs in US$ 21,000.</w:t>
      </w:r>
    </w:p>
    <w:p>
      <w:pPr>
        <w:spacing w:after="0" w:line="9" w:lineRule="exact"/>
        <w:rPr>
          <w:rFonts w:ascii="Arial" w:cs="Arial" w:eastAsia="Arial" w:hAnsi="Arial"/>
          <w:sz w:val="18"/>
          <w:szCs w:val="18"/>
          <w:i w:val="1"/>
          <w:iCs w:val="1"/>
          <w:color w:val="auto"/>
        </w:rPr>
      </w:pPr>
    </w:p>
    <w:p>
      <w:pPr>
        <w:ind w:left="60"/>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(7) 1Q13 figure differs in US$ 568,000 and 2Q12 figure differs in US$ 423,000.</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360" w:top="1440" w:right="239" w:bottom="1440" w:gutter="0" w:footer="0" w:header="0"/>
        </w:sectPr>
      </w:pPr>
    </w:p>
    <w:bookmarkStart w:id="53" w:name="page54"/>
    <w:bookmarkEnd w:id="53"/>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SELECTED FINANCIAL INDICATORS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8"/>
              </w:rPr>
              <w:t>Quarter</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4"/>
          </w:tcPr>
          <w:p>
            <w:pPr>
              <w:ind w:left="620"/>
              <w:spacing w:after="0"/>
              <w:rPr>
                <w:sz w:val="20"/>
                <w:szCs w:val="20"/>
                <w:color w:val="auto"/>
              </w:rPr>
            </w:pPr>
            <w:r>
              <w:rPr>
                <w:rFonts w:ascii="Arial" w:cs="Arial" w:eastAsia="Arial" w:hAnsi="Arial"/>
                <w:sz w:val="14"/>
                <w:szCs w:val="14"/>
                <w:b w:val="1"/>
                <w:bCs w:val="1"/>
                <w:color w:val="auto"/>
                <w:w w:val="92"/>
              </w:rPr>
              <w:t>Year to date</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ind w:left="220"/>
              <w:spacing w:after="0"/>
              <w:rPr>
                <w:sz w:val="20"/>
                <w:szCs w:val="20"/>
                <w:color w:val="auto"/>
              </w:rPr>
            </w:pPr>
            <w:r>
              <w:rPr>
                <w:rFonts w:ascii="Arial" w:cs="Arial" w:eastAsia="Arial" w:hAnsi="Arial"/>
                <w:sz w:val="14"/>
                <w:szCs w:val="14"/>
                <w:b w:val="1"/>
                <w:bCs w:val="1"/>
                <w:color w:val="auto"/>
              </w:rPr>
              <w:t>2Q13</w:t>
            </w:r>
          </w:p>
        </w:tc>
        <w:tc>
          <w:tcPr>
            <w:tcW w:w="12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3"/>
              </w:rPr>
              <w:t>1Q13</w:t>
            </w:r>
          </w:p>
        </w:tc>
        <w:tc>
          <w:tcPr>
            <w:tcW w:w="1240" w:type="dxa"/>
            <w:vAlign w:val="bottom"/>
            <w:gridSpan w:val="3"/>
          </w:tcPr>
          <w:p>
            <w:pPr>
              <w:ind w:left="220"/>
              <w:spacing w:after="0"/>
              <w:rPr>
                <w:sz w:val="20"/>
                <w:szCs w:val="20"/>
                <w:color w:val="auto"/>
              </w:rPr>
            </w:pPr>
            <w:r>
              <w:rPr>
                <w:rFonts w:ascii="Arial" w:cs="Arial" w:eastAsia="Arial" w:hAnsi="Arial"/>
                <w:sz w:val="14"/>
                <w:szCs w:val="14"/>
                <w:b w:val="1"/>
                <w:bCs w:val="1"/>
                <w:color w:val="auto"/>
              </w:rPr>
              <w:t>2Q12</w:t>
            </w:r>
          </w:p>
        </w:tc>
        <w:tc>
          <w:tcPr>
            <w:tcW w:w="1380" w:type="dxa"/>
            <w:vAlign w:val="bottom"/>
            <w:gridSpan w:val="4"/>
          </w:tcPr>
          <w:p>
            <w:pPr>
              <w:ind w:left="160"/>
              <w:spacing w:after="0"/>
              <w:rPr>
                <w:sz w:val="20"/>
                <w:szCs w:val="20"/>
                <w:color w:val="auto"/>
              </w:rPr>
            </w:pPr>
            <w:r>
              <w:rPr>
                <w:rFonts w:ascii="Arial" w:cs="Arial" w:eastAsia="Arial" w:hAnsi="Arial"/>
                <w:sz w:val="14"/>
                <w:szCs w:val="14"/>
                <w:b w:val="1"/>
                <w:bCs w:val="1"/>
                <w:color w:val="auto"/>
              </w:rPr>
              <w:t>Jun 13</w:t>
            </w: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Jun 12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Profitability</w:t>
            </w: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Net income per common share (US$ per share) (1)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0.009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0.046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0.041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0.054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0.096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shd w:val="clear" w:color="auto" w:fill="CCFFCC"/>
          </w:tcPr>
          <w:p>
            <w:pPr>
              <w:ind w:left="140"/>
              <w:spacing w:after="0" w:line="149" w:lineRule="exact"/>
              <w:rPr>
                <w:sz w:val="20"/>
                <w:szCs w:val="20"/>
                <w:color w:val="auto"/>
              </w:rPr>
            </w:pPr>
            <w:r>
              <w:rPr>
                <w:rFonts w:ascii="Arial" w:cs="Arial" w:eastAsia="Arial" w:hAnsi="Arial"/>
                <w:sz w:val="14"/>
                <w:szCs w:val="14"/>
                <w:color w:val="auto"/>
              </w:rPr>
              <w:t>Net interest margin on interest earning assets (2)</w:t>
            </w:r>
          </w:p>
        </w:tc>
        <w:tc>
          <w:tcPr>
            <w:tcW w:w="11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4.92%</w:t>
            </w: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4.97%</w:t>
            </w:r>
          </w:p>
        </w:tc>
        <w:tc>
          <w:tcPr>
            <w:tcW w:w="1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5.29%</w:t>
            </w: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5.07%</w:t>
            </w: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5.31%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Return on average total assets (2) (3)</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0.3%</w:t>
            </w:r>
          </w:p>
        </w:tc>
        <w:tc>
          <w:tcPr>
            <w:tcW w:w="12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w:t>
            </w:r>
          </w:p>
        </w:tc>
        <w:tc>
          <w:tcPr>
            <w:tcW w:w="10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w:t>
            </w:r>
          </w:p>
        </w:tc>
        <w:tc>
          <w:tcPr>
            <w:tcW w:w="12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shd w:val="clear" w:color="auto" w:fill="CCFFCC"/>
          </w:tcPr>
          <w:p>
            <w:pPr>
              <w:ind w:left="140"/>
              <w:spacing w:after="0" w:line="149" w:lineRule="exact"/>
              <w:rPr>
                <w:sz w:val="20"/>
                <w:szCs w:val="20"/>
                <w:color w:val="auto"/>
              </w:rPr>
            </w:pPr>
            <w:r>
              <w:rPr>
                <w:rFonts w:ascii="Arial" w:cs="Arial" w:eastAsia="Arial" w:hAnsi="Arial"/>
                <w:sz w:val="14"/>
                <w:szCs w:val="14"/>
                <w:color w:val="auto"/>
              </w:rPr>
              <w:t>Return on average shareholders' equity (2) (3)</w:t>
            </w:r>
          </w:p>
        </w:tc>
        <w:tc>
          <w:tcPr>
            <w:tcW w:w="11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4.0%</w:t>
            </w: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20.8%</w:t>
            </w:r>
          </w:p>
        </w:tc>
        <w:tc>
          <w:tcPr>
            <w:tcW w:w="1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21.4%</w:t>
            </w: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12.4%</w:t>
            </w: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No. of outstanding shares (millions)</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3,102.90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3,102.90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3,102.90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3,102.90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3,102.90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Quality of loan portfolio</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shd w:val="clear" w:color="auto" w:fill="CCFFCC"/>
          </w:tcPr>
          <w:p>
            <w:pPr>
              <w:ind w:left="140"/>
              <w:spacing w:after="0" w:line="149" w:lineRule="exact"/>
              <w:rPr>
                <w:sz w:val="20"/>
                <w:szCs w:val="20"/>
                <w:color w:val="auto"/>
              </w:rPr>
            </w:pPr>
            <w:r>
              <w:rPr>
                <w:rFonts w:ascii="Arial" w:cs="Arial" w:eastAsia="Arial" w:hAnsi="Arial"/>
                <w:sz w:val="14"/>
                <w:szCs w:val="14"/>
                <w:color w:val="auto"/>
              </w:rPr>
              <w:t>PDL ratio</w:t>
            </w:r>
          </w:p>
        </w:tc>
        <w:tc>
          <w:tcPr>
            <w:tcW w:w="11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2.16%</w:t>
            </w: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2.04%</w:t>
            </w:r>
          </w:p>
        </w:tc>
        <w:tc>
          <w:tcPr>
            <w:tcW w:w="1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1.80%</w:t>
            </w: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2.16%</w:t>
            </w: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NPL ratio</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2.80%</w:t>
            </w:r>
          </w:p>
        </w:tc>
        <w:tc>
          <w:tcPr>
            <w:tcW w:w="12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2.69%</w:t>
            </w:r>
          </w:p>
        </w:tc>
        <w:tc>
          <w:tcPr>
            <w:tcW w:w="10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2.42%</w:t>
            </w:r>
          </w:p>
        </w:tc>
        <w:tc>
          <w:tcPr>
            <w:tcW w:w="12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shd w:val="clear" w:color="auto" w:fill="CCFFCC"/>
          </w:tcPr>
          <w:p>
            <w:pPr>
              <w:ind w:left="140"/>
              <w:spacing w:after="0" w:line="149" w:lineRule="exact"/>
              <w:rPr>
                <w:sz w:val="20"/>
                <w:szCs w:val="20"/>
                <w:color w:val="auto"/>
              </w:rPr>
            </w:pPr>
            <w:r>
              <w:rPr>
                <w:rFonts w:ascii="Arial" w:cs="Arial" w:eastAsia="Arial" w:hAnsi="Arial"/>
                <w:sz w:val="14"/>
                <w:szCs w:val="14"/>
                <w:color w:val="auto"/>
              </w:rPr>
              <w:t>Coverage of PDLs</w:t>
            </w:r>
          </w:p>
        </w:tc>
        <w:tc>
          <w:tcPr>
            <w:tcW w:w="11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168.7%</w:t>
            </w: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172.8%</w:t>
            </w:r>
          </w:p>
        </w:tc>
        <w:tc>
          <w:tcPr>
            <w:tcW w:w="1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186.9%</w:t>
            </w: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168.7%</w:t>
            </w: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186.9%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Coverage of NPLs</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130.1%</w:t>
            </w:r>
          </w:p>
        </w:tc>
        <w:tc>
          <w:tcPr>
            <w:tcW w:w="12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131.2%</w:t>
            </w:r>
          </w:p>
        </w:tc>
        <w:tc>
          <w:tcPr>
            <w:tcW w:w="10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139.1%</w:t>
            </w:r>
          </w:p>
        </w:tc>
        <w:tc>
          <w:tcPr>
            <w:tcW w:w="12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130.1%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shd w:val="clear" w:color="auto" w:fill="CCFFCC"/>
          </w:tcPr>
          <w:p>
            <w:pPr>
              <w:ind w:left="140"/>
              <w:spacing w:after="0" w:line="149" w:lineRule="exact"/>
              <w:rPr>
                <w:sz w:val="20"/>
                <w:szCs w:val="20"/>
                <w:color w:val="auto"/>
              </w:rPr>
            </w:pPr>
            <w:r>
              <w:rPr>
                <w:rFonts w:ascii="Arial" w:cs="Arial" w:eastAsia="Arial" w:hAnsi="Arial"/>
                <w:sz w:val="14"/>
                <w:szCs w:val="14"/>
                <w:color w:val="auto"/>
              </w:rPr>
              <w:t>Reserves for loan losses as a percentage of total loans</w:t>
            </w:r>
          </w:p>
        </w:tc>
        <w:tc>
          <w:tcPr>
            <w:tcW w:w="11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3.6%</w:t>
            </w: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3.5%</w:t>
            </w:r>
          </w:p>
        </w:tc>
        <w:tc>
          <w:tcPr>
            <w:tcW w:w="1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3.4%</w:t>
            </w: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3.6%</w:t>
            </w: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Operating efficiency</w:t>
            </w: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Oper. expenses as a percent. of total income (4)</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49.3%</w:t>
            </w:r>
          </w:p>
        </w:tc>
        <w:tc>
          <w:tcPr>
            <w:tcW w:w="12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48.7%</w:t>
            </w:r>
          </w:p>
        </w:tc>
        <w:tc>
          <w:tcPr>
            <w:tcW w:w="10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48.4%</w:t>
            </w:r>
          </w:p>
        </w:tc>
        <w:tc>
          <w:tcPr>
            <w:tcW w:w="12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shd w:val="clear" w:color="auto" w:fill="CCFFCC"/>
          </w:tcPr>
          <w:p>
            <w:pPr>
              <w:ind w:left="140"/>
              <w:spacing w:after="0" w:line="149" w:lineRule="exact"/>
              <w:rPr>
                <w:sz w:val="20"/>
                <w:szCs w:val="20"/>
                <w:color w:val="auto"/>
              </w:rPr>
            </w:pPr>
            <w:r>
              <w:rPr>
                <w:rFonts w:ascii="Arial" w:cs="Arial" w:eastAsia="Arial" w:hAnsi="Arial"/>
                <w:sz w:val="14"/>
                <w:szCs w:val="14"/>
                <w:color w:val="auto"/>
              </w:rPr>
              <w:t>Oper. expenses as a percent. of av. tot. Assets (2) (3) (4)</w:t>
            </w:r>
          </w:p>
        </w:tc>
        <w:tc>
          <w:tcPr>
            <w:tcW w:w="11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3.4%</w:t>
            </w: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3.3%</w:t>
            </w:r>
          </w:p>
        </w:tc>
        <w:tc>
          <w:tcPr>
            <w:tcW w:w="1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3.5%</w:t>
            </w: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3.4%</w:t>
            </w: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Capital adequacy</w:t>
            </w: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Total Regulatory Capital (US$ million)</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3,669.9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3,590.4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3,275.9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3,669.9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3,275.9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shd w:val="clear" w:color="auto" w:fill="CCFFCC"/>
          </w:tcPr>
          <w:p>
            <w:pPr>
              <w:ind w:left="140"/>
              <w:spacing w:after="0" w:line="149" w:lineRule="exact"/>
              <w:rPr>
                <w:sz w:val="20"/>
                <w:szCs w:val="20"/>
                <w:color w:val="auto"/>
              </w:rPr>
            </w:pPr>
            <w:r>
              <w:rPr>
                <w:rFonts w:ascii="Arial" w:cs="Arial" w:eastAsia="Arial" w:hAnsi="Arial"/>
                <w:sz w:val="14"/>
                <w:szCs w:val="14"/>
                <w:color w:val="auto"/>
              </w:rPr>
              <w:t>Tier I capital</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2,402.7</w:t>
            </w:r>
          </w:p>
        </w:tc>
        <w:tc>
          <w:tcPr>
            <w:tcW w:w="2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2,524.9</w:t>
            </w:r>
          </w:p>
        </w:tc>
        <w:tc>
          <w:tcPr>
            <w:tcW w:w="2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2,219.3</w:t>
            </w:r>
          </w:p>
        </w:tc>
        <w:tc>
          <w:tcPr>
            <w:tcW w:w="2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2,402.7</w:t>
            </w:r>
          </w:p>
        </w:tc>
        <w:tc>
          <w:tcPr>
            <w:tcW w:w="2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2,219.3</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BIS ratio (5)</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15.06%</w:t>
            </w:r>
          </w:p>
        </w:tc>
        <w:tc>
          <w:tcPr>
            <w:tcW w:w="12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14.65%</w:t>
            </w:r>
          </w:p>
        </w:tc>
        <w:tc>
          <w:tcPr>
            <w:tcW w:w="10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15.91%</w:t>
            </w:r>
          </w:p>
        </w:tc>
        <w:tc>
          <w:tcPr>
            <w:tcW w:w="12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15.06%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15.91%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Average balances (US$ million) (3)</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shd w:val="clear" w:color="auto" w:fill="CCFFCC"/>
          </w:tcPr>
          <w:p>
            <w:pPr>
              <w:ind w:left="140"/>
              <w:spacing w:after="0" w:line="149" w:lineRule="exact"/>
              <w:rPr>
                <w:sz w:val="20"/>
                <w:szCs w:val="20"/>
                <w:color w:val="auto"/>
              </w:rPr>
            </w:pPr>
            <w:r>
              <w:rPr>
                <w:rFonts w:ascii="Arial" w:cs="Arial" w:eastAsia="Arial" w:hAnsi="Arial"/>
                <w:sz w:val="14"/>
                <w:szCs w:val="14"/>
                <w:color w:val="auto"/>
              </w:rPr>
              <w:t>Interest earning assets</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32,976.7</w:t>
            </w:r>
          </w:p>
        </w:tc>
        <w:tc>
          <w:tcPr>
            <w:tcW w:w="2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33,154.1</w:t>
            </w:r>
          </w:p>
        </w:tc>
        <w:tc>
          <w:tcPr>
            <w:tcW w:w="2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26,881.0</w:t>
            </w:r>
          </w:p>
        </w:tc>
        <w:tc>
          <w:tcPr>
            <w:tcW w:w="2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32,261.8</w:t>
            </w:r>
          </w:p>
        </w:tc>
        <w:tc>
          <w:tcPr>
            <w:tcW w:w="2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26,304.7</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Total Assets</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35,622.2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36,443.6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30,323.8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34,971.4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28,828.9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gridSpan w:val="2"/>
            <w:shd w:val="clear" w:color="auto" w:fill="CCFFCC"/>
          </w:tcPr>
          <w:p>
            <w:pPr>
              <w:ind w:left="140"/>
              <w:spacing w:after="0"/>
              <w:rPr>
                <w:sz w:val="20"/>
                <w:szCs w:val="20"/>
                <w:color w:val="auto"/>
              </w:rPr>
            </w:pPr>
            <w:r>
              <w:rPr>
                <w:rFonts w:ascii="Arial" w:cs="Arial" w:eastAsia="Arial" w:hAnsi="Arial"/>
                <w:sz w:val="14"/>
                <w:szCs w:val="14"/>
                <w:color w:val="auto"/>
              </w:rPr>
              <w:t>Net shareholders' equity</w:t>
            </w: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2,681.8</w:t>
            </w:r>
          </w:p>
        </w:tc>
        <w:tc>
          <w:tcPr>
            <w:tcW w:w="2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2,734.0</w:t>
            </w:r>
          </w:p>
        </w:tc>
        <w:tc>
          <w:tcPr>
            <w:tcW w:w="2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2,388.9</w:t>
            </w:r>
          </w:p>
        </w:tc>
        <w:tc>
          <w:tcPr>
            <w:tcW w:w="2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2,723.1</w:t>
            </w:r>
          </w:p>
        </w:tc>
        <w:tc>
          <w:tcPr>
            <w:tcW w:w="2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60" w:type="dxa"/>
            <w:vAlign w:val="bottom"/>
            <w:tcBorders>
              <w:bottom w:val="single" w:sz="8" w:color="auto"/>
            </w:tcBorders>
            <w:shd w:val="clear" w:color="auto" w:fill="CCFFCC"/>
          </w:tcPr>
          <w:p>
            <w:pPr>
              <w:spacing w:after="0"/>
              <w:rPr>
                <w:sz w:val="14"/>
                <w:szCs w:val="14"/>
                <w:color w:val="auto"/>
              </w:rPr>
            </w:pPr>
          </w:p>
        </w:tc>
        <w:tc>
          <w:tcPr>
            <w:tcW w:w="7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2,391.1</w:t>
            </w:r>
          </w:p>
        </w:tc>
        <w:tc>
          <w:tcPr>
            <w:tcW w:w="1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bl>
    <w:p>
      <w:pPr>
        <w:ind w:left="300" w:hanging="250"/>
        <w:spacing w:after="0"/>
        <w:tabs>
          <w:tab w:leader="none" w:pos="300" w:val="left"/>
        </w:tabs>
        <w:numPr>
          <w:ilvl w:val="0"/>
          <w:numId w:val="40"/>
        </w:numPr>
        <w:rPr>
          <w:rFonts w:ascii="Arial" w:cs="Arial" w:eastAsia="Arial" w:hAnsi="Arial"/>
          <w:sz w:val="17"/>
          <w:szCs w:val="17"/>
          <w:i w:val="1"/>
          <w:iCs w:val="1"/>
          <w:color w:val="auto"/>
        </w:rPr>
      </w:pPr>
      <w:r>
        <w:rPr>
          <w:rFonts w:ascii="Arial" w:cs="Arial" w:eastAsia="Arial" w:hAnsi="Arial"/>
          <w:sz w:val="17"/>
          <w:szCs w:val="17"/>
          <w:i w:val="1"/>
          <w:iCs w:val="1"/>
          <w:color w:val="auto"/>
        </w:rPr>
        <w:t>Shares outstanding of 2,558 million is used for all periods since shares have been issued only for capitalization of profits and inflation adjustment.</w:t>
      </w:r>
    </w:p>
    <w:p>
      <w:pPr>
        <w:spacing w:after="0" w:line="20" w:lineRule="exact"/>
        <w:rPr>
          <w:rFonts w:ascii="Arial" w:cs="Arial" w:eastAsia="Arial" w:hAnsi="Arial"/>
          <w:sz w:val="17"/>
          <w:szCs w:val="17"/>
          <w:i w:val="1"/>
          <w:iCs w:val="1"/>
          <w:color w:val="auto"/>
        </w:rPr>
      </w:pPr>
    </w:p>
    <w:p>
      <w:pPr>
        <w:ind w:left="300" w:hanging="250"/>
        <w:spacing w:after="0"/>
        <w:tabs>
          <w:tab w:leader="none" w:pos="30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Ratios are annualized.</w:t>
      </w:r>
    </w:p>
    <w:p>
      <w:pPr>
        <w:spacing w:after="0" w:line="9" w:lineRule="exact"/>
        <w:rPr>
          <w:rFonts w:ascii="Arial" w:cs="Arial" w:eastAsia="Arial" w:hAnsi="Arial"/>
          <w:sz w:val="18"/>
          <w:szCs w:val="18"/>
          <w:i w:val="1"/>
          <w:iCs w:val="1"/>
          <w:color w:val="auto"/>
        </w:rPr>
      </w:pPr>
    </w:p>
    <w:p>
      <w:pPr>
        <w:ind w:left="300" w:hanging="250"/>
        <w:spacing w:after="0"/>
        <w:tabs>
          <w:tab w:leader="none" w:pos="30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Averages are determined as the average of period-beginning and period-ending balances.</w:t>
      </w:r>
    </w:p>
    <w:p>
      <w:pPr>
        <w:spacing w:after="0" w:line="9" w:lineRule="exact"/>
        <w:rPr>
          <w:rFonts w:ascii="Arial" w:cs="Arial" w:eastAsia="Arial" w:hAnsi="Arial"/>
          <w:sz w:val="18"/>
          <w:szCs w:val="18"/>
          <w:i w:val="1"/>
          <w:iCs w:val="1"/>
          <w:color w:val="auto"/>
        </w:rPr>
      </w:pPr>
    </w:p>
    <w:p>
      <w:pPr>
        <w:ind w:left="60" w:right="180" w:hanging="10"/>
        <w:spacing w:after="0" w:line="250" w:lineRule="auto"/>
        <w:tabs>
          <w:tab w:leader="none" w:pos="315"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Total income includes net interest income, fee income and net gain on foreign exchange transactions. Operating expense includes personnel expenses, administrative expenses and depreciation and amortization .</w:t>
      </w:r>
    </w:p>
    <w:p>
      <w:pPr>
        <w:ind w:left="300" w:hanging="250"/>
        <w:spacing w:after="0"/>
        <w:tabs>
          <w:tab w:leader="none" w:pos="30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Regulatory Capital / risk-weighted assets. Risk weighted assets include market risk and operation risk.</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360" w:top="1440" w:right="239" w:bottom="1440" w:gutter="0" w:footer="0" w:header="0"/>
        </w:sectPr>
      </w:pPr>
    </w:p>
    <w:bookmarkStart w:id="54" w:name="page55"/>
    <w:bookmarkEnd w:id="54"/>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center"/>
        <w:ind w:right="120"/>
        <w:spacing w:after="0"/>
        <w:rPr>
          <w:sz w:val="20"/>
          <w:szCs w:val="20"/>
          <w:color w:val="auto"/>
        </w:rPr>
      </w:pPr>
      <w:r>
        <w:rPr>
          <w:rFonts w:ascii="Arial" w:cs="Arial" w:eastAsia="Arial" w:hAnsi="Arial"/>
          <w:sz w:val="18"/>
          <w:szCs w:val="18"/>
          <w:b w:val="1"/>
          <w:bCs w:val="1"/>
          <w:color w:val="auto"/>
        </w:rPr>
        <w:t>PACIFICO GRUPO ASEGURADOR (PGA)</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(In US$ thousand)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960" w:type="dxa"/>
            <w:vAlign w:val="bottom"/>
            <w:gridSpan w:val="5"/>
          </w:tcPr>
          <w:p>
            <w:pPr>
              <w:jc w:val="center"/>
              <w:ind w:left="548"/>
              <w:spacing w:after="0"/>
              <w:rPr>
                <w:sz w:val="20"/>
                <w:szCs w:val="20"/>
                <w:color w:val="auto"/>
              </w:rPr>
            </w:pPr>
            <w:r>
              <w:rPr>
                <w:rFonts w:ascii="Arial" w:cs="Arial" w:eastAsia="Arial" w:hAnsi="Arial"/>
                <w:sz w:val="14"/>
                <w:szCs w:val="14"/>
                <w:b w:val="1"/>
                <w:bCs w:val="1"/>
                <w:color w:val="auto"/>
                <w:w w:val="91"/>
              </w:rPr>
              <w:t>Three months ended</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Change %</w:t>
            </w:r>
          </w:p>
        </w:tc>
        <w:tc>
          <w:tcPr>
            <w:tcW w:w="18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Year to date</w:t>
            </w:r>
          </w:p>
        </w:tc>
        <w:tc>
          <w:tcPr>
            <w:tcW w:w="8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2Q13</w:t>
            </w:r>
          </w:p>
        </w:tc>
        <w:tc>
          <w:tcPr>
            <w:tcW w:w="10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9"/>
              </w:rPr>
              <w:t>1Q13</w:t>
            </w: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4Q12</w:t>
            </w: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QoQ</w:t>
            </w: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YoY</w:t>
            </w: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Jun 13</w:t>
            </w: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Jun 12</w:t>
            </w:r>
          </w:p>
        </w:tc>
        <w:tc>
          <w:tcPr>
            <w:tcW w:w="11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7"/>
              </w:rPr>
              <w:t>Jun 13 / Jun 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Borders>
              <w:top w:val="single" w:sz="8" w:color="CCFFCC"/>
            </w:tcBorders>
            <w:shd w:val="clear" w:color="auto" w:fill="CCFFCC"/>
          </w:tcPr>
          <w:p>
            <w:pPr>
              <w:jc w:val="center"/>
              <w:ind w:right="48"/>
              <w:spacing w:after="0" w:line="142" w:lineRule="exact"/>
              <w:rPr>
                <w:sz w:val="20"/>
                <w:szCs w:val="20"/>
                <w:color w:val="auto"/>
              </w:rPr>
            </w:pPr>
            <w:r>
              <w:rPr>
                <w:rFonts w:ascii="Arial" w:cs="Arial" w:eastAsia="Arial" w:hAnsi="Arial"/>
                <w:sz w:val="14"/>
                <w:szCs w:val="14"/>
                <w:b w:val="1"/>
                <w:bCs w:val="1"/>
                <w:color w:val="auto"/>
                <w:w w:val="86"/>
              </w:rPr>
              <w:t>Results</w:t>
            </w:r>
          </w:p>
        </w:tc>
        <w:tc>
          <w:tcPr>
            <w:tcW w:w="700" w:type="dxa"/>
            <w:vAlign w:val="bottom"/>
            <w:tcBorders>
              <w:top w:val="single" w:sz="8" w:color="auto"/>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60" w:type="dxa"/>
            <w:vAlign w:val="bottom"/>
            <w:tcBorders>
              <w:top w:val="single" w:sz="8" w:color="auto"/>
            </w:tcBorders>
            <w:shd w:val="clear" w:color="auto" w:fill="CCFFCC"/>
          </w:tcPr>
          <w:p>
            <w:pPr>
              <w:spacing w:after="0"/>
              <w:rPr>
                <w:sz w:val="12"/>
                <w:szCs w:val="12"/>
                <w:color w:val="auto"/>
              </w:rPr>
            </w:pPr>
          </w:p>
        </w:tc>
        <w:tc>
          <w:tcPr>
            <w:tcW w:w="620" w:type="dxa"/>
            <w:vAlign w:val="bottom"/>
            <w:tcBorders>
              <w:top w:val="single" w:sz="8" w:color="auto"/>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700" w:type="dxa"/>
            <w:vAlign w:val="bottom"/>
            <w:tcBorders>
              <w:top w:val="single" w:sz="8" w:color="auto"/>
            </w:tcBorders>
            <w:shd w:val="clear" w:color="auto" w:fill="CCFFCC"/>
          </w:tcPr>
          <w:p>
            <w:pPr>
              <w:spacing w:after="0"/>
              <w:rPr>
                <w:sz w:val="12"/>
                <w:szCs w:val="12"/>
                <w:color w:val="auto"/>
              </w:rPr>
            </w:pPr>
          </w:p>
        </w:tc>
        <w:tc>
          <w:tcPr>
            <w:tcW w:w="18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16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ind w:left="140"/>
              <w:spacing w:after="0" w:line="149" w:lineRule="exact"/>
              <w:rPr>
                <w:sz w:val="20"/>
                <w:szCs w:val="20"/>
                <w:color w:val="auto"/>
              </w:rPr>
            </w:pPr>
            <w:r>
              <w:rPr>
                <w:rFonts w:ascii="Arial" w:cs="Arial" w:eastAsia="Arial" w:hAnsi="Arial"/>
                <w:sz w:val="14"/>
                <w:szCs w:val="14"/>
                <w:color w:val="auto"/>
              </w:rPr>
              <w:t>Written premiums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285,253</w:t>
            </w:r>
          </w:p>
        </w:tc>
        <w:tc>
          <w:tcPr>
            <w:tcW w:w="2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281,083</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231,508</w:t>
            </w:r>
          </w:p>
        </w:tc>
        <w:tc>
          <w:tcPr>
            <w:tcW w:w="2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23.2%</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566,336</w:t>
            </w:r>
          </w:p>
        </w:tc>
        <w:tc>
          <w:tcPr>
            <w:tcW w:w="2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459,050</w:t>
            </w:r>
          </w:p>
        </w:tc>
        <w:tc>
          <w:tcPr>
            <w:tcW w:w="180" w:type="dxa"/>
            <w:vAlign w:val="bottom"/>
          </w:tcPr>
          <w:p>
            <w:pPr>
              <w:spacing w:after="0"/>
              <w:rPr>
                <w:sz w:val="12"/>
                <w:szCs w:val="12"/>
                <w:color w:val="auto"/>
              </w:rPr>
            </w:pPr>
          </w:p>
        </w:tc>
        <w:tc>
          <w:tcPr>
            <w:tcW w:w="11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Ceded Premiums</w:t>
            </w: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38,012</w:t>
            </w: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42,111</w:t>
            </w:r>
          </w:p>
        </w:tc>
        <w:tc>
          <w:tcPr>
            <w:tcW w:w="26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6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26,142</w:t>
            </w:r>
          </w:p>
        </w:tc>
        <w:tc>
          <w:tcPr>
            <w:tcW w:w="2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-9.7%</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45.4%</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80,123</w:t>
            </w:r>
          </w:p>
        </w:tc>
        <w:tc>
          <w:tcPr>
            <w:tcW w:w="260" w:type="dxa"/>
            <w:vAlign w:val="bottom"/>
            <w:shd w:val="clear" w:color="auto" w:fill="CCFFCC"/>
          </w:tcPr>
          <w:p>
            <w:pPr>
              <w:spacing w:after="0"/>
              <w:rPr>
                <w:sz w:val="12"/>
                <w:szCs w:val="12"/>
                <w:color w:val="auto"/>
              </w:rPr>
            </w:pP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49,117</w:t>
            </w:r>
          </w:p>
        </w:tc>
        <w:tc>
          <w:tcPr>
            <w:tcW w:w="180" w:type="dxa"/>
            <w:vAlign w:val="bottom"/>
            <w:shd w:val="clear" w:color="auto" w:fill="CCFFCC"/>
          </w:tcPr>
          <w:p>
            <w:pPr>
              <w:spacing w:after="0"/>
              <w:rPr>
                <w:sz w:val="12"/>
                <w:szCs w:val="12"/>
                <w:color w:val="auto"/>
              </w:rPr>
            </w:pPr>
          </w:p>
        </w:tc>
        <w:tc>
          <w:tcPr>
            <w:tcW w:w="1160" w:type="dxa"/>
            <w:vAlign w:val="bottom"/>
            <w:gridSpan w:val="3"/>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63.1%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ind w:left="140"/>
              <w:spacing w:after="0" w:line="149" w:lineRule="exact"/>
              <w:rPr>
                <w:sz w:val="20"/>
                <w:szCs w:val="20"/>
                <w:color w:val="auto"/>
              </w:rPr>
            </w:pPr>
            <w:r>
              <w:rPr>
                <w:rFonts w:ascii="Arial" w:cs="Arial" w:eastAsia="Arial" w:hAnsi="Arial"/>
                <w:sz w:val="14"/>
                <w:szCs w:val="14"/>
                <w:color w:val="auto"/>
              </w:rPr>
              <w:t>Unearned premium reserves **</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43,075</w:t>
            </w:r>
          </w:p>
        </w:tc>
        <w:tc>
          <w:tcPr>
            <w:tcW w:w="2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39,010</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31,342</w:t>
            </w:r>
          </w:p>
        </w:tc>
        <w:tc>
          <w:tcPr>
            <w:tcW w:w="2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10.4%</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37.4%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82,085</w:t>
            </w:r>
          </w:p>
        </w:tc>
        <w:tc>
          <w:tcPr>
            <w:tcW w:w="2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66,841</w:t>
            </w:r>
          </w:p>
        </w:tc>
        <w:tc>
          <w:tcPr>
            <w:tcW w:w="180" w:type="dxa"/>
            <w:vAlign w:val="bottom"/>
          </w:tcPr>
          <w:p>
            <w:pPr>
              <w:spacing w:after="0"/>
              <w:rPr>
                <w:sz w:val="12"/>
                <w:szCs w:val="12"/>
                <w:color w:val="auto"/>
              </w:rPr>
            </w:pPr>
          </w:p>
        </w:tc>
        <w:tc>
          <w:tcPr>
            <w:tcW w:w="11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earned premiums</w:t>
            </w: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204,167</w:t>
            </w: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199,962</w:t>
            </w:r>
          </w:p>
        </w:tc>
        <w:tc>
          <w:tcPr>
            <w:tcW w:w="26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6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174,024</w:t>
            </w:r>
          </w:p>
        </w:tc>
        <w:tc>
          <w:tcPr>
            <w:tcW w:w="2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2.1%</w:t>
            </w: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17.3%</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404,129</w:t>
            </w:r>
          </w:p>
        </w:tc>
        <w:tc>
          <w:tcPr>
            <w:tcW w:w="260" w:type="dxa"/>
            <w:vAlign w:val="bottom"/>
            <w:shd w:val="clear" w:color="auto" w:fill="CCFFCC"/>
          </w:tcPr>
          <w:p>
            <w:pPr>
              <w:spacing w:after="0"/>
              <w:rPr>
                <w:sz w:val="12"/>
                <w:szCs w:val="12"/>
                <w:color w:val="auto"/>
              </w:rPr>
            </w:pP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343,092</w:t>
            </w:r>
          </w:p>
        </w:tc>
        <w:tc>
          <w:tcPr>
            <w:tcW w:w="180" w:type="dxa"/>
            <w:vAlign w:val="bottom"/>
            <w:shd w:val="clear" w:color="auto" w:fill="CCFFCC"/>
          </w:tcPr>
          <w:p>
            <w:pPr>
              <w:spacing w:after="0"/>
              <w:rPr>
                <w:sz w:val="12"/>
                <w:szCs w:val="12"/>
                <w:color w:val="auto"/>
              </w:rPr>
            </w:pPr>
          </w:p>
        </w:tc>
        <w:tc>
          <w:tcPr>
            <w:tcW w:w="1160" w:type="dxa"/>
            <w:vAlign w:val="bottom"/>
            <w:gridSpan w:val="3"/>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17.8%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ind w:left="140"/>
              <w:spacing w:after="0" w:line="149" w:lineRule="exact"/>
              <w:rPr>
                <w:sz w:val="20"/>
                <w:szCs w:val="20"/>
                <w:color w:val="auto"/>
              </w:rPr>
            </w:pPr>
            <w:r>
              <w:rPr>
                <w:rFonts w:ascii="Arial" w:cs="Arial" w:eastAsia="Arial" w:hAnsi="Arial"/>
                <w:sz w:val="14"/>
                <w:szCs w:val="14"/>
                <w:color w:val="auto"/>
              </w:rPr>
              <w:t>Direct claims *</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144,438</w:t>
            </w:r>
          </w:p>
        </w:tc>
        <w:tc>
          <w:tcPr>
            <w:tcW w:w="2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157,314</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119,970</w:t>
            </w:r>
          </w:p>
        </w:tc>
        <w:tc>
          <w:tcPr>
            <w:tcW w:w="2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-8.2%</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301,753</w:t>
            </w:r>
          </w:p>
        </w:tc>
        <w:tc>
          <w:tcPr>
            <w:tcW w:w="2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284,400</w:t>
            </w:r>
          </w:p>
        </w:tc>
        <w:tc>
          <w:tcPr>
            <w:tcW w:w="180" w:type="dxa"/>
            <w:vAlign w:val="bottom"/>
          </w:tcPr>
          <w:p>
            <w:pPr>
              <w:spacing w:after="0"/>
              <w:rPr>
                <w:sz w:val="12"/>
                <w:szCs w:val="12"/>
                <w:color w:val="auto"/>
              </w:rPr>
            </w:pPr>
          </w:p>
        </w:tc>
        <w:tc>
          <w:tcPr>
            <w:tcW w:w="11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Reinsurance ceded</w:t>
            </w: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5,916</w:t>
            </w: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25,623</w:t>
            </w:r>
          </w:p>
        </w:tc>
        <w:tc>
          <w:tcPr>
            <w:tcW w:w="26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6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12,058</w:t>
            </w:r>
          </w:p>
        </w:tc>
        <w:tc>
          <w:tcPr>
            <w:tcW w:w="2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-76.9%</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-50.9%</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31,539</w:t>
            </w:r>
          </w:p>
        </w:tc>
        <w:tc>
          <w:tcPr>
            <w:tcW w:w="260" w:type="dxa"/>
            <w:vAlign w:val="bottom"/>
            <w:shd w:val="clear" w:color="auto" w:fill="CCFFCC"/>
          </w:tcPr>
          <w:p>
            <w:pPr>
              <w:spacing w:after="0"/>
              <w:rPr>
                <w:sz w:val="12"/>
                <w:szCs w:val="12"/>
                <w:color w:val="auto"/>
              </w:rPr>
            </w:pP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47,627</w:t>
            </w:r>
          </w:p>
        </w:tc>
        <w:tc>
          <w:tcPr>
            <w:tcW w:w="180" w:type="dxa"/>
            <w:vAlign w:val="bottom"/>
            <w:shd w:val="clear" w:color="auto" w:fill="CCFFCC"/>
          </w:tcPr>
          <w:p>
            <w:pPr>
              <w:spacing w:after="0"/>
              <w:rPr>
                <w:sz w:val="12"/>
                <w:szCs w:val="12"/>
                <w:color w:val="auto"/>
              </w:rPr>
            </w:pPr>
          </w:p>
        </w:tc>
        <w:tc>
          <w:tcPr>
            <w:tcW w:w="1160" w:type="dxa"/>
            <w:vAlign w:val="bottom"/>
            <w:gridSpan w:val="3"/>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b w:val="1"/>
                <w:bCs w:val="1"/>
                <w:color w:val="auto"/>
              </w:rPr>
              <w:t>Net claims *</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138,522</w:t>
            </w:r>
          </w:p>
        </w:tc>
        <w:tc>
          <w:tcPr>
            <w:tcW w:w="2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131,691</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107,912</w:t>
            </w:r>
          </w:p>
        </w:tc>
        <w:tc>
          <w:tcPr>
            <w:tcW w:w="26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5.2%</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28.4%</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270,214</w:t>
            </w:r>
          </w:p>
        </w:tc>
        <w:tc>
          <w:tcPr>
            <w:tcW w:w="2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236,773</w:t>
            </w:r>
          </w:p>
        </w:tc>
        <w:tc>
          <w:tcPr>
            <w:tcW w:w="180" w:type="dxa"/>
            <w:vAlign w:val="bottom"/>
          </w:tcPr>
          <w:p>
            <w:pPr>
              <w:spacing w:after="0"/>
              <w:rPr>
                <w:sz w:val="12"/>
                <w:szCs w:val="12"/>
                <w:color w:val="auto"/>
              </w:rPr>
            </w:pP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rPr>
              <w:t>14.1%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Paid commissions</w:t>
            </w: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38,112</w:t>
            </w: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36,400</w:t>
            </w:r>
          </w:p>
        </w:tc>
        <w:tc>
          <w:tcPr>
            <w:tcW w:w="26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6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31,414</w:t>
            </w:r>
          </w:p>
        </w:tc>
        <w:tc>
          <w:tcPr>
            <w:tcW w:w="2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4.7%</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21.3%</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74,512</w:t>
            </w:r>
          </w:p>
        </w:tc>
        <w:tc>
          <w:tcPr>
            <w:tcW w:w="260" w:type="dxa"/>
            <w:vAlign w:val="bottom"/>
            <w:shd w:val="clear" w:color="auto" w:fill="CCFFCC"/>
          </w:tcPr>
          <w:p>
            <w:pPr>
              <w:spacing w:after="0"/>
              <w:rPr>
                <w:sz w:val="12"/>
                <w:szCs w:val="12"/>
                <w:color w:val="auto"/>
              </w:rPr>
            </w:pP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62,330</w:t>
            </w:r>
          </w:p>
        </w:tc>
        <w:tc>
          <w:tcPr>
            <w:tcW w:w="180" w:type="dxa"/>
            <w:vAlign w:val="bottom"/>
            <w:shd w:val="clear" w:color="auto" w:fill="CCFFCC"/>
          </w:tcPr>
          <w:p>
            <w:pPr>
              <w:spacing w:after="0"/>
              <w:rPr>
                <w:sz w:val="12"/>
                <w:szCs w:val="12"/>
                <w:color w:val="auto"/>
              </w:rPr>
            </w:pPr>
          </w:p>
        </w:tc>
        <w:tc>
          <w:tcPr>
            <w:tcW w:w="1160" w:type="dxa"/>
            <w:vAlign w:val="bottom"/>
            <w:gridSpan w:val="3"/>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ind w:left="140"/>
              <w:spacing w:after="0" w:line="149" w:lineRule="exact"/>
              <w:rPr>
                <w:sz w:val="20"/>
                <w:szCs w:val="20"/>
                <w:color w:val="auto"/>
              </w:rPr>
            </w:pPr>
            <w:r>
              <w:rPr>
                <w:rFonts w:ascii="Arial" w:cs="Arial" w:eastAsia="Arial" w:hAnsi="Arial"/>
                <w:sz w:val="14"/>
                <w:szCs w:val="14"/>
                <w:color w:val="auto"/>
              </w:rPr>
              <w:t>Commissions received</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3,999</w:t>
            </w:r>
          </w:p>
        </w:tc>
        <w:tc>
          <w:tcPr>
            <w:tcW w:w="2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2,951</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2,602</w:t>
            </w:r>
          </w:p>
        </w:tc>
        <w:tc>
          <w:tcPr>
            <w:tcW w:w="2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35.5%</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53.7%</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6,950</w:t>
            </w:r>
          </w:p>
        </w:tc>
        <w:tc>
          <w:tcPr>
            <w:tcW w:w="2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4,801</w:t>
            </w:r>
          </w:p>
        </w:tc>
        <w:tc>
          <w:tcPr>
            <w:tcW w:w="180" w:type="dxa"/>
            <w:vAlign w:val="bottom"/>
          </w:tcPr>
          <w:p>
            <w:pPr>
              <w:spacing w:after="0"/>
              <w:rPr>
                <w:sz w:val="12"/>
                <w:szCs w:val="12"/>
                <w:color w:val="auto"/>
              </w:rPr>
            </w:pPr>
          </w:p>
        </w:tc>
        <w:tc>
          <w:tcPr>
            <w:tcW w:w="11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commissions</w:t>
            </w: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34,113</w:t>
            </w: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33,449</w:t>
            </w:r>
          </w:p>
        </w:tc>
        <w:tc>
          <w:tcPr>
            <w:tcW w:w="26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6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28,812</w:t>
            </w:r>
          </w:p>
        </w:tc>
        <w:tc>
          <w:tcPr>
            <w:tcW w:w="2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2.0%</w:t>
            </w: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18.4%</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67,562</w:t>
            </w:r>
          </w:p>
        </w:tc>
        <w:tc>
          <w:tcPr>
            <w:tcW w:w="260" w:type="dxa"/>
            <w:vAlign w:val="bottom"/>
            <w:shd w:val="clear" w:color="auto" w:fill="CCFFCC"/>
          </w:tcPr>
          <w:p>
            <w:pPr>
              <w:spacing w:after="0"/>
              <w:rPr>
                <w:sz w:val="12"/>
                <w:szCs w:val="12"/>
                <w:color w:val="auto"/>
              </w:rPr>
            </w:pP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57,529</w:t>
            </w:r>
          </w:p>
        </w:tc>
        <w:tc>
          <w:tcPr>
            <w:tcW w:w="180" w:type="dxa"/>
            <w:vAlign w:val="bottom"/>
            <w:shd w:val="clear" w:color="auto" w:fill="CCFFCC"/>
          </w:tcPr>
          <w:p>
            <w:pPr>
              <w:spacing w:after="0"/>
              <w:rPr>
                <w:sz w:val="12"/>
                <w:szCs w:val="12"/>
                <w:color w:val="auto"/>
              </w:rPr>
            </w:pPr>
          </w:p>
        </w:tc>
        <w:tc>
          <w:tcPr>
            <w:tcW w:w="1160" w:type="dxa"/>
            <w:vAlign w:val="bottom"/>
            <w:gridSpan w:val="3"/>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color w:val="auto"/>
              </w:rPr>
              <w:t>Underwriting expenses *</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13,926</w:t>
            </w:r>
          </w:p>
        </w:tc>
        <w:tc>
          <w:tcPr>
            <w:tcW w:w="2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13,870</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12,035</w:t>
            </w:r>
          </w:p>
        </w:tc>
        <w:tc>
          <w:tcPr>
            <w:tcW w:w="2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0.4%</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15.7%</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27,796</w:t>
            </w:r>
          </w:p>
        </w:tc>
        <w:tc>
          <w:tcPr>
            <w:tcW w:w="2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21,366</w:t>
            </w:r>
          </w:p>
        </w:tc>
        <w:tc>
          <w:tcPr>
            <w:tcW w:w="180" w:type="dxa"/>
            <w:vAlign w:val="bottom"/>
          </w:tcPr>
          <w:p>
            <w:pPr>
              <w:spacing w:after="0"/>
              <w:rPr>
                <w:sz w:val="12"/>
                <w:szCs w:val="12"/>
                <w:color w:val="auto"/>
              </w:rPr>
            </w:pP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rPr>
              <w:t>30.1%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Underwriting income</w:t>
            </w: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3,602</w:t>
            </w: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3,594</w:t>
            </w:r>
          </w:p>
        </w:tc>
        <w:tc>
          <w:tcPr>
            <w:tcW w:w="26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6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3,183</w:t>
            </w:r>
          </w:p>
        </w:tc>
        <w:tc>
          <w:tcPr>
            <w:tcW w:w="2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0.2%</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13.2%</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7,196</w:t>
            </w:r>
          </w:p>
        </w:tc>
        <w:tc>
          <w:tcPr>
            <w:tcW w:w="260" w:type="dxa"/>
            <w:vAlign w:val="bottom"/>
            <w:shd w:val="clear" w:color="auto" w:fill="CCFFCC"/>
          </w:tcPr>
          <w:p>
            <w:pPr>
              <w:spacing w:after="0"/>
              <w:rPr>
                <w:sz w:val="12"/>
                <w:szCs w:val="12"/>
                <w:color w:val="auto"/>
              </w:rPr>
            </w:pP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6,100</w:t>
            </w:r>
          </w:p>
        </w:tc>
        <w:tc>
          <w:tcPr>
            <w:tcW w:w="180" w:type="dxa"/>
            <w:vAlign w:val="bottom"/>
            <w:shd w:val="clear" w:color="auto" w:fill="CCFFCC"/>
          </w:tcPr>
          <w:p>
            <w:pPr>
              <w:spacing w:after="0"/>
              <w:rPr>
                <w:sz w:val="12"/>
                <w:szCs w:val="12"/>
                <w:color w:val="auto"/>
              </w:rPr>
            </w:pPr>
          </w:p>
        </w:tc>
        <w:tc>
          <w:tcPr>
            <w:tcW w:w="1160" w:type="dxa"/>
            <w:vAlign w:val="bottom"/>
            <w:gridSpan w:val="3"/>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18.0%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b w:val="1"/>
                <w:bCs w:val="1"/>
                <w:color w:val="auto"/>
              </w:rPr>
              <w:t>Net underwriting expenses *</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10,323</w:t>
            </w:r>
          </w:p>
        </w:tc>
        <w:tc>
          <w:tcPr>
            <w:tcW w:w="2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10,276</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8,853</w:t>
            </w:r>
          </w:p>
        </w:tc>
        <w:tc>
          <w:tcPr>
            <w:tcW w:w="26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0.5%</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16.6%</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20,599</w:t>
            </w:r>
          </w:p>
        </w:tc>
        <w:tc>
          <w:tcPr>
            <w:tcW w:w="2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15,267</w:t>
            </w:r>
          </w:p>
        </w:tc>
        <w:tc>
          <w:tcPr>
            <w:tcW w:w="180" w:type="dxa"/>
            <w:vAlign w:val="bottom"/>
          </w:tcPr>
          <w:p>
            <w:pPr>
              <w:spacing w:after="0"/>
              <w:rPr>
                <w:sz w:val="12"/>
                <w:szCs w:val="12"/>
                <w:color w:val="auto"/>
              </w:rPr>
            </w:pP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rPr>
              <w:t>34.9%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Underwriting result before Medical Services *</w:t>
            </w: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21,208</w:t>
            </w: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24,546</w:t>
            </w:r>
          </w:p>
        </w:tc>
        <w:tc>
          <w:tcPr>
            <w:tcW w:w="26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6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28,446</w:t>
            </w:r>
          </w:p>
        </w:tc>
        <w:tc>
          <w:tcPr>
            <w:tcW w:w="2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-13.6%</w:t>
            </w: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-25.4%</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45,754</w:t>
            </w:r>
          </w:p>
        </w:tc>
        <w:tc>
          <w:tcPr>
            <w:tcW w:w="260" w:type="dxa"/>
            <w:vAlign w:val="bottom"/>
            <w:shd w:val="clear" w:color="auto" w:fill="CCFFCC"/>
          </w:tcPr>
          <w:p>
            <w:pPr>
              <w:spacing w:after="0"/>
              <w:rPr>
                <w:sz w:val="12"/>
                <w:szCs w:val="12"/>
                <w:color w:val="auto"/>
              </w:rPr>
            </w:pP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33,524</w:t>
            </w:r>
          </w:p>
        </w:tc>
        <w:tc>
          <w:tcPr>
            <w:tcW w:w="180" w:type="dxa"/>
            <w:vAlign w:val="bottom"/>
            <w:shd w:val="clear" w:color="auto" w:fill="CCFFCC"/>
          </w:tcPr>
          <w:p>
            <w:pPr>
              <w:spacing w:after="0"/>
              <w:rPr>
                <w:sz w:val="12"/>
                <w:szCs w:val="12"/>
                <w:color w:val="auto"/>
              </w:rPr>
            </w:pPr>
          </w:p>
        </w:tc>
        <w:tc>
          <w:tcPr>
            <w:tcW w:w="1160" w:type="dxa"/>
            <w:vAlign w:val="bottom"/>
            <w:gridSpan w:val="3"/>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36.5%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Medical Services Underwriting result *</w:t>
            </w: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6,466</w:t>
            </w: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5,534</w:t>
            </w:r>
          </w:p>
        </w:tc>
        <w:tc>
          <w:tcPr>
            <w:tcW w:w="26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6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5,727</w:t>
            </w:r>
          </w:p>
        </w:tc>
        <w:tc>
          <w:tcPr>
            <w:tcW w:w="2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16.8%</w:t>
            </w: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12.9%</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12,000</w:t>
            </w:r>
          </w:p>
        </w:tc>
        <w:tc>
          <w:tcPr>
            <w:tcW w:w="260" w:type="dxa"/>
            <w:vAlign w:val="bottom"/>
            <w:shd w:val="clear" w:color="auto" w:fill="CCFFCC"/>
          </w:tcPr>
          <w:p>
            <w:pPr>
              <w:spacing w:after="0"/>
              <w:rPr>
                <w:sz w:val="12"/>
                <w:szCs w:val="12"/>
                <w:color w:val="auto"/>
              </w:rPr>
            </w:pP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10,033</w:t>
            </w:r>
          </w:p>
        </w:tc>
        <w:tc>
          <w:tcPr>
            <w:tcW w:w="180" w:type="dxa"/>
            <w:vAlign w:val="bottom"/>
            <w:shd w:val="clear" w:color="auto" w:fill="CCFFCC"/>
          </w:tcPr>
          <w:p>
            <w:pPr>
              <w:spacing w:after="0"/>
              <w:rPr>
                <w:sz w:val="12"/>
                <w:szCs w:val="12"/>
                <w:color w:val="auto"/>
              </w:rPr>
            </w:pPr>
          </w:p>
        </w:tc>
        <w:tc>
          <w:tcPr>
            <w:tcW w:w="1160" w:type="dxa"/>
            <w:vAlign w:val="bottom"/>
            <w:gridSpan w:val="3"/>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19.6%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Financial income</w:t>
            </w: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26,453</w:t>
            </w: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22,750</w:t>
            </w:r>
          </w:p>
        </w:tc>
        <w:tc>
          <w:tcPr>
            <w:tcW w:w="26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6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28,443</w:t>
            </w:r>
          </w:p>
        </w:tc>
        <w:tc>
          <w:tcPr>
            <w:tcW w:w="2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16.3%</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-7.0%</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49,203</w:t>
            </w:r>
          </w:p>
        </w:tc>
        <w:tc>
          <w:tcPr>
            <w:tcW w:w="260" w:type="dxa"/>
            <w:vAlign w:val="bottom"/>
            <w:shd w:val="clear" w:color="auto" w:fill="CCFFCC"/>
          </w:tcPr>
          <w:p>
            <w:pPr>
              <w:spacing w:after="0"/>
              <w:rPr>
                <w:sz w:val="12"/>
                <w:szCs w:val="12"/>
                <w:color w:val="auto"/>
              </w:rPr>
            </w:pP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44,800</w:t>
            </w:r>
          </w:p>
        </w:tc>
        <w:tc>
          <w:tcPr>
            <w:tcW w:w="180" w:type="dxa"/>
            <w:vAlign w:val="bottom"/>
            <w:shd w:val="clear" w:color="auto" w:fill="CCFFCC"/>
          </w:tcPr>
          <w:p>
            <w:pPr>
              <w:spacing w:after="0"/>
              <w:rPr>
                <w:sz w:val="12"/>
                <w:szCs w:val="12"/>
                <w:color w:val="auto"/>
              </w:rPr>
            </w:pPr>
          </w:p>
        </w:tc>
        <w:tc>
          <w:tcPr>
            <w:tcW w:w="1160" w:type="dxa"/>
            <w:vAlign w:val="bottom"/>
            <w:gridSpan w:val="3"/>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ind w:left="140"/>
              <w:spacing w:after="0" w:line="149" w:lineRule="exact"/>
              <w:rPr>
                <w:sz w:val="20"/>
                <w:szCs w:val="20"/>
                <w:color w:val="auto"/>
              </w:rPr>
            </w:pPr>
            <w:r>
              <w:rPr>
                <w:rFonts w:ascii="Arial" w:cs="Arial" w:eastAsia="Arial" w:hAnsi="Arial"/>
                <w:sz w:val="14"/>
                <w:szCs w:val="14"/>
                <w:color w:val="auto"/>
              </w:rPr>
              <w:t>Gains on sale of securities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6,393</w:t>
            </w:r>
          </w:p>
        </w:tc>
        <w:tc>
          <w:tcPr>
            <w:tcW w:w="2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6,930</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3,377</w:t>
            </w:r>
          </w:p>
        </w:tc>
        <w:tc>
          <w:tcPr>
            <w:tcW w:w="2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-7.7%</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89.3%</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13,323</w:t>
            </w:r>
          </w:p>
        </w:tc>
        <w:tc>
          <w:tcPr>
            <w:tcW w:w="2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16,387</w:t>
            </w:r>
          </w:p>
        </w:tc>
        <w:tc>
          <w:tcPr>
            <w:tcW w:w="180" w:type="dxa"/>
            <w:vAlign w:val="bottom"/>
          </w:tcPr>
          <w:p>
            <w:pPr>
              <w:spacing w:after="0"/>
              <w:rPr>
                <w:sz w:val="12"/>
                <w:szCs w:val="12"/>
                <w:color w:val="auto"/>
              </w:rPr>
            </w:pPr>
          </w:p>
        </w:tc>
        <w:tc>
          <w:tcPr>
            <w:tcW w:w="11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Net property and rental income</w:t>
            </w: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1,907</w:t>
            </w: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1,927</w:t>
            </w:r>
          </w:p>
        </w:tc>
        <w:tc>
          <w:tcPr>
            <w:tcW w:w="26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6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1,385</w:t>
            </w:r>
          </w:p>
        </w:tc>
        <w:tc>
          <w:tcPr>
            <w:tcW w:w="2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37.7%</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3,834</w:t>
            </w:r>
          </w:p>
        </w:tc>
        <w:tc>
          <w:tcPr>
            <w:tcW w:w="260" w:type="dxa"/>
            <w:vAlign w:val="bottom"/>
            <w:shd w:val="clear" w:color="auto" w:fill="CCFFCC"/>
          </w:tcPr>
          <w:p>
            <w:pPr>
              <w:spacing w:after="0"/>
              <w:rPr>
                <w:sz w:val="12"/>
                <w:szCs w:val="12"/>
                <w:color w:val="auto"/>
              </w:rPr>
            </w:pP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3,300</w:t>
            </w:r>
          </w:p>
        </w:tc>
        <w:tc>
          <w:tcPr>
            <w:tcW w:w="180" w:type="dxa"/>
            <w:vAlign w:val="bottom"/>
            <w:shd w:val="clear" w:color="auto" w:fill="CCFFCC"/>
          </w:tcPr>
          <w:p>
            <w:pPr>
              <w:spacing w:after="0"/>
              <w:rPr>
                <w:sz w:val="12"/>
                <w:szCs w:val="12"/>
                <w:color w:val="auto"/>
              </w:rPr>
            </w:pPr>
          </w:p>
        </w:tc>
        <w:tc>
          <w:tcPr>
            <w:tcW w:w="1160" w:type="dxa"/>
            <w:vAlign w:val="bottom"/>
            <w:gridSpan w:val="3"/>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ind w:left="140"/>
              <w:spacing w:after="0" w:line="149" w:lineRule="exact"/>
              <w:rPr>
                <w:sz w:val="20"/>
                <w:szCs w:val="20"/>
                <w:color w:val="auto"/>
              </w:rPr>
            </w:pPr>
            <w:r>
              <w:rPr>
                <w:rFonts w:ascii="Arial" w:cs="Arial" w:eastAsia="Arial" w:hAnsi="Arial"/>
                <w:sz w:val="14"/>
                <w:szCs w:val="14"/>
                <w:color w:val="auto"/>
              </w:rPr>
              <w:t>(-) Financial expenses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2,250</w:t>
            </w:r>
          </w:p>
        </w:tc>
        <w:tc>
          <w:tcPr>
            <w:tcW w:w="2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2,168</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1,950</w:t>
            </w:r>
          </w:p>
        </w:tc>
        <w:tc>
          <w:tcPr>
            <w:tcW w:w="2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3.8%</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4,417</w:t>
            </w:r>
          </w:p>
        </w:tc>
        <w:tc>
          <w:tcPr>
            <w:tcW w:w="2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3,517</w:t>
            </w:r>
          </w:p>
        </w:tc>
        <w:tc>
          <w:tcPr>
            <w:tcW w:w="180" w:type="dxa"/>
            <w:vAlign w:val="bottom"/>
          </w:tcPr>
          <w:p>
            <w:pPr>
              <w:spacing w:after="0"/>
              <w:rPr>
                <w:sz w:val="12"/>
                <w:szCs w:val="12"/>
                <w:color w:val="auto"/>
              </w:rPr>
            </w:pPr>
          </w:p>
        </w:tc>
        <w:tc>
          <w:tcPr>
            <w:tcW w:w="11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Financial income, net</w:t>
            </w: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32,504</w:t>
            </w: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29,439</w:t>
            </w:r>
          </w:p>
        </w:tc>
        <w:tc>
          <w:tcPr>
            <w:tcW w:w="26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6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31,256</w:t>
            </w:r>
          </w:p>
        </w:tc>
        <w:tc>
          <w:tcPr>
            <w:tcW w:w="2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10.4%</w:t>
            </w: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4.0%</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61,943</w:t>
            </w:r>
          </w:p>
        </w:tc>
        <w:tc>
          <w:tcPr>
            <w:tcW w:w="260" w:type="dxa"/>
            <w:vAlign w:val="bottom"/>
            <w:shd w:val="clear" w:color="auto" w:fill="CCFFCC"/>
          </w:tcPr>
          <w:p>
            <w:pPr>
              <w:spacing w:after="0"/>
              <w:rPr>
                <w:sz w:val="12"/>
                <w:szCs w:val="12"/>
                <w:color w:val="auto"/>
              </w:rPr>
            </w:pP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60,970</w:t>
            </w:r>
          </w:p>
        </w:tc>
        <w:tc>
          <w:tcPr>
            <w:tcW w:w="180" w:type="dxa"/>
            <w:vAlign w:val="bottom"/>
            <w:shd w:val="clear" w:color="auto" w:fill="CCFFCC"/>
          </w:tcPr>
          <w:p>
            <w:pPr>
              <w:spacing w:after="0"/>
              <w:rPr>
                <w:sz w:val="12"/>
                <w:szCs w:val="12"/>
                <w:color w:val="auto"/>
              </w:rPr>
            </w:pPr>
          </w:p>
        </w:tc>
        <w:tc>
          <w:tcPr>
            <w:tcW w:w="1160" w:type="dxa"/>
            <w:vAlign w:val="bottom"/>
            <w:gridSpan w:val="3"/>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Salaries and benefits</w:t>
            </w: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23,310</w:t>
            </w: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23,682</w:t>
            </w:r>
          </w:p>
        </w:tc>
        <w:tc>
          <w:tcPr>
            <w:tcW w:w="26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6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20,656</w:t>
            </w:r>
          </w:p>
        </w:tc>
        <w:tc>
          <w:tcPr>
            <w:tcW w:w="2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-1.6%</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12.9%</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46,992</w:t>
            </w:r>
          </w:p>
        </w:tc>
        <w:tc>
          <w:tcPr>
            <w:tcW w:w="260" w:type="dxa"/>
            <w:vAlign w:val="bottom"/>
            <w:shd w:val="clear" w:color="auto" w:fill="CCFFCC"/>
          </w:tcPr>
          <w:p>
            <w:pPr>
              <w:spacing w:after="0"/>
              <w:rPr>
                <w:sz w:val="12"/>
                <w:szCs w:val="12"/>
                <w:color w:val="auto"/>
              </w:rPr>
            </w:pP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40,491</w:t>
            </w:r>
          </w:p>
        </w:tc>
        <w:tc>
          <w:tcPr>
            <w:tcW w:w="180" w:type="dxa"/>
            <w:vAlign w:val="bottom"/>
            <w:shd w:val="clear" w:color="auto" w:fill="CCFFCC"/>
          </w:tcPr>
          <w:p>
            <w:pPr>
              <w:spacing w:after="0"/>
              <w:rPr>
                <w:sz w:val="12"/>
                <w:szCs w:val="12"/>
                <w:color w:val="auto"/>
              </w:rPr>
            </w:pPr>
          </w:p>
        </w:tc>
        <w:tc>
          <w:tcPr>
            <w:tcW w:w="1160" w:type="dxa"/>
            <w:vAlign w:val="bottom"/>
            <w:gridSpan w:val="3"/>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16.1%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ind w:left="140"/>
              <w:spacing w:after="0" w:line="149" w:lineRule="exact"/>
              <w:rPr>
                <w:sz w:val="20"/>
                <w:szCs w:val="20"/>
                <w:color w:val="auto"/>
              </w:rPr>
            </w:pPr>
            <w:r>
              <w:rPr>
                <w:rFonts w:ascii="Arial" w:cs="Arial" w:eastAsia="Arial" w:hAnsi="Arial"/>
                <w:sz w:val="14"/>
                <w:szCs w:val="14"/>
                <w:color w:val="auto"/>
              </w:rPr>
              <w:t>Administrative expenses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25,690</w:t>
            </w:r>
          </w:p>
        </w:tc>
        <w:tc>
          <w:tcPr>
            <w:tcW w:w="2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23,825</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18,976</w:t>
            </w:r>
          </w:p>
        </w:tc>
        <w:tc>
          <w:tcPr>
            <w:tcW w:w="2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7.8%</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35.4%</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49,516</w:t>
            </w:r>
          </w:p>
        </w:tc>
        <w:tc>
          <w:tcPr>
            <w:tcW w:w="2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36,673</w:t>
            </w:r>
          </w:p>
        </w:tc>
        <w:tc>
          <w:tcPr>
            <w:tcW w:w="180" w:type="dxa"/>
            <w:vAlign w:val="bottom"/>
          </w:tcPr>
          <w:p>
            <w:pPr>
              <w:spacing w:after="0"/>
              <w:rPr>
                <w:sz w:val="12"/>
                <w:szCs w:val="12"/>
                <w:color w:val="auto"/>
              </w:rPr>
            </w:pP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rPr>
              <w:t>35.0%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FFCC"/>
          </w:tcPr>
          <w:p>
            <w:pPr>
              <w:ind w:left="300"/>
              <w:spacing w:after="0" w:line="149" w:lineRule="exact"/>
              <w:rPr>
                <w:sz w:val="20"/>
                <w:szCs w:val="20"/>
                <w:color w:val="auto"/>
              </w:rPr>
            </w:pPr>
            <w:r>
              <w:rPr>
                <w:rFonts w:ascii="Arial" w:cs="Arial" w:eastAsia="Arial" w:hAnsi="Arial"/>
                <w:sz w:val="14"/>
                <w:szCs w:val="14"/>
                <w:color w:val="auto"/>
              </w:rPr>
              <w:t>Third party services</w:t>
            </w: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12,220</w:t>
            </w: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12,207</w:t>
            </w:r>
          </w:p>
        </w:tc>
        <w:tc>
          <w:tcPr>
            <w:tcW w:w="26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6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9,843</w:t>
            </w:r>
          </w:p>
        </w:tc>
        <w:tc>
          <w:tcPr>
            <w:tcW w:w="2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0.1%</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24.1%</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24,459</w:t>
            </w:r>
          </w:p>
        </w:tc>
        <w:tc>
          <w:tcPr>
            <w:tcW w:w="260" w:type="dxa"/>
            <w:vAlign w:val="bottom"/>
            <w:shd w:val="clear" w:color="auto" w:fill="CCFFCC"/>
          </w:tcPr>
          <w:p>
            <w:pPr>
              <w:spacing w:after="0"/>
              <w:rPr>
                <w:sz w:val="12"/>
                <w:szCs w:val="12"/>
                <w:color w:val="auto"/>
              </w:rPr>
            </w:pP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18,215</w:t>
            </w:r>
          </w:p>
        </w:tc>
        <w:tc>
          <w:tcPr>
            <w:tcW w:w="180" w:type="dxa"/>
            <w:vAlign w:val="bottom"/>
            <w:shd w:val="clear" w:color="auto" w:fill="CCFFCC"/>
          </w:tcPr>
          <w:p>
            <w:pPr>
              <w:spacing w:after="0"/>
              <w:rPr>
                <w:sz w:val="12"/>
                <w:szCs w:val="12"/>
                <w:color w:val="auto"/>
              </w:rPr>
            </w:pPr>
          </w:p>
        </w:tc>
        <w:tc>
          <w:tcPr>
            <w:tcW w:w="1160" w:type="dxa"/>
            <w:vAlign w:val="bottom"/>
            <w:gridSpan w:val="3"/>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34.3%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ind w:left="300"/>
              <w:spacing w:after="0" w:line="149" w:lineRule="exact"/>
              <w:rPr>
                <w:sz w:val="20"/>
                <w:szCs w:val="20"/>
                <w:color w:val="auto"/>
              </w:rPr>
            </w:pPr>
            <w:r>
              <w:rPr>
                <w:rFonts w:ascii="Arial" w:cs="Arial" w:eastAsia="Arial" w:hAnsi="Arial"/>
                <w:sz w:val="14"/>
                <w:szCs w:val="14"/>
                <w:color w:val="auto"/>
              </w:rPr>
              <w:t>Management expenses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5,776</w:t>
            </w:r>
          </w:p>
        </w:tc>
        <w:tc>
          <w:tcPr>
            <w:tcW w:w="2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4,766</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3,390</w:t>
            </w:r>
          </w:p>
        </w:tc>
        <w:tc>
          <w:tcPr>
            <w:tcW w:w="2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21.2%</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70.4%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10,510</w:t>
            </w:r>
          </w:p>
        </w:tc>
        <w:tc>
          <w:tcPr>
            <w:tcW w:w="2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6,893</w:t>
            </w:r>
          </w:p>
        </w:tc>
        <w:tc>
          <w:tcPr>
            <w:tcW w:w="180" w:type="dxa"/>
            <w:vAlign w:val="bottom"/>
          </w:tcPr>
          <w:p>
            <w:pPr>
              <w:spacing w:after="0"/>
              <w:rPr>
                <w:sz w:val="12"/>
                <w:szCs w:val="12"/>
                <w:color w:val="auto"/>
              </w:rPr>
            </w:pPr>
          </w:p>
        </w:tc>
        <w:tc>
          <w:tcPr>
            <w:tcW w:w="11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FFCC"/>
          </w:tcPr>
          <w:p>
            <w:pPr>
              <w:ind w:left="300"/>
              <w:spacing w:after="0" w:line="149" w:lineRule="exact"/>
              <w:rPr>
                <w:sz w:val="20"/>
                <w:szCs w:val="20"/>
                <w:color w:val="auto"/>
              </w:rPr>
            </w:pPr>
            <w:r>
              <w:rPr>
                <w:rFonts w:ascii="Arial" w:cs="Arial" w:eastAsia="Arial" w:hAnsi="Arial"/>
                <w:sz w:val="14"/>
                <w:szCs w:val="14"/>
                <w:color w:val="auto"/>
              </w:rPr>
              <w:t>Provisions</w:t>
            </w: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4,358</w:t>
            </w: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3,705</w:t>
            </w:r>
          </w:p>
        </w:tc>
        <w:tc>
          <w:tcPr>
            <w:tcW w:w="26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6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2,753</w:t>
            </w:r>
          </w:p>
        </w:tc>
        <w:tc>
          <w:tcPr>
            <w:tcW w:w="2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17.7%</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58.3%</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8,063</w:t>
            </w:r>
          </w:p>
        </w:tc>
        <w:tc>
          <w:tcPr>
            <w:tcW w:w="260" w:type="dxa"/>
            <w:vAlign w:val="bottom"/>
            <w:shd w:val="clear" w:color="auto" w:fill="CCFFCC"/>
          </w:tcPr>
          <w:p>
            <w:pPr>
              <w:spacing w:after="0"/>
              <w:rPr>
                <w:sz w:val="12"/>
                <w:szCs w:val="12"/>
                <w:color w:val="auto"/>
              </w:rPr>
            </w:pP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5,642</w:t>
            </w:r>
          </w:p>
        </w:tc>
        <w:tc>
          <w:tcPr>
            <w:tcW w:w="180" w:type="dxa"/>
            <w:vAlign w:val="bottom"/>
            <w:shd w:val="clear" w:color="auto" w:fill="CCFFCC"/>
          </w:tcPr>
          <w:p>
            <w:pPr>
              <w:spacing w:after="0"/>
              <w:rPr>
                <w:sz w:val="12"/>
                <w:szCs w:val="12"/>
                <w:color w:val="auto"/>
              </w:rPr>
            </w:pPr>
          </w:p>
        </w:tc>
        <w:tc>
          <w:tcPr>
            <w:tcW w:w="1160" w:type="dxa"/>
            <w:vAlign w:val="bottom"/>
            <w:gridSpan w:val="3"/>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42.9%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ind w:left="300"/>
              <w:spacing w:after="0" w:line="149" w:lineRule="exact"/>
              <w:rPr>
                <w:sz w:val="20"/>
                <w:szCs w:val="20"/>
                <w:color w:val="auto"/>
              </w:rPr>
            </w:pPr>
            <w:r>
              <w:rPr>
                <w:rFonts w:ascii="Arial" w:cs="Arial" w:eastAsia="Arial" w:hAnsi="Arial"/>
                <w:sz w:val="14"/>
                <w:szCs w:val="14"/>
                <w:color w:val="auto"/>
              </w:rPr>
              <w:t>Taxes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2,116</w:t>
            </w:r>
          </w:p>
        </w:tc>
        <w:tc>
          <w:tcPr>
            <w:tcW w:w="2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2,255</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1,686</w:t>
            </w:r>
          </w:p>
        </w:tc>
        <w:tc>
          <w:tcPr>
            <w:tcW w:w="2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-6.2%</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4,371</w:t>
            </w:r>
          </w:p>
        </w:tc>
        <w:tc>
          <w:tcPr>
            <w:tcW w:w="2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3,465</w:t>
            </w:r>
          </w:p>
        </w:tc>
        <w:tc>
          <w:tcPr>
            <w:tcW w:w="180" w:type="dxa"/>
            <w:vAlign w:val="bottom"/>
          </w:tcPr>
          <w:p>
            <w:pPr>
              <w:spacing w:after="0"/>
              <w:rPr>
                <w:sz w:val="12"/>
                <w:szCs w:val="12"/>
                <w:color w:val="auto"/>
              </w:rPr>
            </w:pPr>
          </w:p>
        </w:tc>
        <w:tc>
          <w:tcPr>
            <w:tcW w:w="11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FFCC"/>
          </w:tcPr>
          <w:p>
            <w:pPr>
              <w:ind w:left="300"/>
              <w:spacing w:after="0" w:line="149" w:lineRule="exact"/>
              <w:rPr>
                <w:sz w:val="20"/>
                <w:szCs w:val="20"/>
                <w:color w:val="auto"/>
              </w:rPr>
            </w:pPr>
            <w:r>
              <w:rPr>
                <w:rFonts w:ascii="Arial" w:cs="Arial" w:eastAsia="Arial" w:hAnsi="Arial"/>
                <w:sz w:val="14"/>
                <w:szCs w:val="14"/>
                <w:color w:val="auto"/>
              </w:rPr>
              <w:t>Other expenses</w:t>
            </w: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1,221</w:t>
            </w: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893</w:t>
            </w:r>
          </w:p>
        </w:tc>
        <w:tc>
          <w:tcPr>
            <w:tcW w:w="26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6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1,304</w:t>
            </w:r>
          </w:p>
        </w:tc>
        <w:tc>
          <w:tcPr>
            <w:tcW w:w="2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36.7%</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-6.4%</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2,114</w:t>
            </w:r>
          </w:p>
        </w:tc>
        <w:tc>
          <w:tcPr>
            <w:tcW w:w="260" w:type="dxa"/>
            <w:vAlign w:val="bottom"/>
            <w:shd w:val="clear" w:color="auto" w:fill="CCFFCC"/>
          </w:tcPr>
          <w:p>
            <w:pPr>
              <w:spacing w:after="0"/>
              <w:rPr>
                <w:sz w:val="12"/>
                <w:szCs w:val="12"/>
                <w:color w:val="auto"/>
              </w:rPr>
            </w:pP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2,458</w:t>
            </w:r>
          </w:p>
        </w:tc>
        <w:tc>
          <w:tcPr>
            <w:tcW w:w="180" w:type="dxa"/>
            <w:vAlign w:val="bottom"/>
            <w:shd w:val="clear" w:color="auto" w:fill="CCFFCC"/>
          </w:tcPr>
          <w:p>
            <w:pPr>
              <w:spacing w:after="0"/>
              <w:rPr>
                <w:sz w:val="12"/>
                <w:szCs w:val="12"/>
                <w:color w:val="auto"/>
              </w:rPr>
            </w:pPr>
          </w:p>
        </w:tc>
        <w:tc>
          <w:tcPr>
            <w:tcW w:w="1160" w:type="dxa"/>
            <w:vAlign w:val="bottom"/>
            <w:gridSpan w:val="3"/>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b w:val="1"/>
                <w:bCs w:val="1"/>
                <w:color w:val="auto"/>
              </w:rPr>
              <w:t>Opertating expenses</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49,001</w:t>
            </w:r>
          </w:p>
        </w:tc>
        <w:tc>
          <w:tcPr>
            <w:tcW w:w="2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47,507</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39,631</w:t>
            </w:r>
          </w:p>
        </w:tc>
        <w:tc>
          <w:tcPr>
            <w:tcW w:w="26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3.1%</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23.6%</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96,508</w:t>
            </w:r>
          </w:p>
        </w:tc>
        <w:tc>
          <w:tcPr>
            <w:tcW w:w="2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77,165</w:t>
            </w:r>
          </w:p>
        </w:tc>
        <w:tc>
          <w:tcPr>
            <w:tcW w:w="180" w:type="dxa"/>
            <w:vAlign w:val="bottom"/>
          </w:tcPr>
          <w:p>
            <w:pPr>
              <w:spacing w:after="0"/>
              <w:rPr>
                <w:sz w:val="12"/>
                <w:szCs w:val="12"/>
                <w:color w:val="auto"/>
              </w:rPr>
            </w:pP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rPr>
              <w:t>25.1%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5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color w:val="auto"/>
              </w:rPr>
              <w:t>Other income</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(518)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986</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1,250</w:t>
            </w:r>
          </w:p>
        </w:tc>
        <w:tc>
          <w:tcPr>
            <w:tcW w:w="2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-152.5%</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-141.4%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469</w:t>
            </w:r>
          </w:p>
        </w:tc>
        <w:tc>
          <w:tcPr>
            <w:tcW w:w="2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1,616</w:t>
            </w:r>
          </w:p>
        </w:tc>
        <w:tc>
          <w:tcPr>
            <w:tcW w:w="180" w:type="dxa"/>
            <w:vAlign w:val="bottom"/>
          </w:tcPr>
          <w:p>
            <w:pPr>
              <w:spacing w:after="0"/>
              <w:rPr>
                <w:sz w:val="12"/>
                <w:szCs w:val="12"/>
                <w:color w:val="auto"/>
              </w:rPr>
            </w:pPr>
          </w:p>
        </w:tc>
        <w:tc>
          <w:tcPr>
            <w:tcW w:w="11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-71.0%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Traslations results</w:t>
            </w: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(6,424)</w:t>
            </w:r>
          </w:p>
        </w:tc>
        <w:tc>
          <w:tcPr>
            <w:tcW w:w="9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(1,983)</w:t>
            </w:r>
          </w:p>
        </w:tc>
        <w:tc>
          <w:tcPr>
            <w:tcW w:w="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(233)</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224.0%</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2653.5%</w:t>
            </w:r>
          </w:p>
        </w:tc>
        <w:tc>
          <w:tcPr>
            <w:tcW w:w="9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(8,407)</w:t>
            </w: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1,534</w:t>
            </w:r>
          </w:p>
        </w:tc>
        <w:tc>
          <w:tcPr>
            <w:tcW w:w="180" w:type="dxa"/>
            <w:vAlign w:val="bottom"/>
            <w:shd w:val="clear" w:color="auto" w:fill="CCFFCC"/>
          </w:tcPr>
          <w:p>
            <w:pPr>
              <w:spacing w:after="0"/>
              <w:rPr>
                <w:sz w:val="12"/>
                <w:szCs w:val="12"/>
                <w:color w:val="auto"/>
              </w:rPr>
            </w:pPr>
          </w:p>
        </w:tc>
        <w:tc>
          <w:tcPr>
            <w:tcW w:w="1160" w:type="dxa"/>
            <w:vAlign w:val="bottom"/>
            <w:gridSpan w:val="3"/>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-648.2%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color w:val="auto"/>
              </w:rPr>
              <w:t>Income tax</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(1,214)</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(452)</w:t>
            </w: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2,647</w:t>
            </w:r>
          </w:p>
        </w:tc>
        <w:tc>
          <w:tcPr>
            <w:tcW w:w="2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168.6%</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-145.9%</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(1,666)</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1,421</w:t>
            </w:r>
          </w:p>
        </w:tc>
        <w:tc>
          <w:tcPr>
            <w:tcW w:w="180" w:type="dxa"/>
            <w:vAlign w:val="bottom"/>
          </w:tcPr>
          <w:p>
            <w:pPr>
              <w:spacing w:after="0"/>
              <w:rPr>
                <w:sz w:val="12"/>
                <w:szCs w:val="12"/>
                <w:color w:val="auto"/>
              </w:rPr>
            </w:pPr>
          </w:p>
        </w:tc>
        <w:tc>
          <w:tcPr>
            <w:tcW w:w="11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-217.3%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5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b w:val="1"/>
                <w:bCs w:val="1"/>
                <w:color w:val="auto"/>
              </w:rPr>
              <w:t>Income before minority interest</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5,450</w:t>
            </w:r>
          </w:p>
        </w:tc>
        <w:tc>
          <w:tcPr>
            <w:tcW w:w="2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11,467</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24,168</w:t>
            </w:r>
          </w:p>
        </w:tc>
        <w:tc>
          <w:tcPr>
            <w:tcW w:w="26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-52.5%</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-77.5%</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16,917</w:t>
            </w:r>
          </w:p>
        </w:tc>
        <w:tc>
          <w:tcPr>
            <w:tcW w:w="2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29,090</w:t>
            </w:r>
          </w:p>
        </w:tc>
        <w:tc>
          <w:tcPr>
            <w:tcW w:w="180" w:type="dxa"/>
            <w:vAlign w:val="bottom"/>
          </w:tcPr>
          <w:p>
            <w:pPr>
              <w:spacing w:after="0"/>
              <w:rPr>
                <w:sz w:val="12"/>
                <w:szCs w:val="12"/>
                <w:color w:val="auto"/>
              </w:rPr>
            </w:pP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rPr>
              <w:t>-41.8%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Minority interest</w:t>
            </w: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1,626</w:t>
            </w: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1,977</w:t>
            </w:r>
          </w:p>
        </w:tc>
        <w:tc>
          <w:tcPr>
            <w:tcW w:w="26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6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2,280</w:t>
            </w:r>
          </w:p>
        </w:tc>
        <w:tc>
          <w:tcPr>
            <w:tcW w:w="2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-17.8%</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-28.7%</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3,602</w:t>
            </w:r>
          </w:p>
        </w:tc>
        <w:tc>
          <w:tcPr>
            <w:tcW w:w="260" w:type="dxa"/>
            <w:vAlign w:val="bottom"/>
            <w:shd w:val="clear" w:color="auto" w:fill="CCFFCC"/>
          </w:tcPr>
          <w:p>
            <w:pPr>
              <w:spacing w:after="0"/>
              <w:rPr>
                <w:sz w:val="12"/>
                <w:szCs w:val="12"/>
                <w:color w:val="auto"/>
              </w:rPr>
            </w:pP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3,910</w:t>
            </w:r>
          </w:p>
        </w:tc>
        <w:tc>
          <w:tcPr>
            <w:tcW w:w="180" w:type="dxa"/>
            <w:vAlign w:val="bottom"/>
            <w:shd w:val="clear" w:color="auto" w:fill="CCFFCC"/>
          </w:tcPr>
          <w:p>
            <w:pPr>
              <w:spacing w:after="0"/>
              <w:rPr>
                <w:sz w:val="12"/>
                <w:szCs w:val="12"/>
                <w:color w:val="auto"/>
              </w:rPr>
            </w:pPr>
          </w:p>
        </w:tc>
        <w:tc>
          <w:tcPr>
            <w:tcW w:w="1160" w:type="dxa"/>
            <w:vAlign w:val="bottom"/>
            <w:gridSpan w:val="3"/>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3,824</w:t>
            </w: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9,490</w:t>
            </w:r>
          </w:p>
        </w:tc>
        <w:tc>
          <w:tcPr>
            <w:tcW w:w="26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6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21,888</w:t>
            </w:r>
          </w:p>
        </w:tc>
        <w:tc>
          <w:tcPr>
            <w:tcW w:w="2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-59.7%</w:t>
            </w: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-82.5%</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13,314</w:t>
            </w:r>
          </w:p>
        </w:tc>
        <w:tc>
          <w:tcPr>
            <w:tcW w:w="260" w:type="dxa"/>
            <w:vAlign w:val="bottom"/>
            <w:shd w:val="clear" w:color="auto" w:fill="CCFFCC"/>
          </w:tcPr>
          <w:p>
            <w:pPr>
              <w:spacing w:after="0"/>
              <w:rPr>
                <w:sz w:val="12"/>
                <w:szCs w:val="12"/>
                <w:color w:val="auto"/>
              </w:rPr>
            </w:pP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25,180</w:t>
            </w:r>
          </w:p>
        </w:tc>
        <w:tc>
          <w:tcPr>
            <w:tcW w:w="180" w:type="dxa"/>
            <w:vAlign w:val="bottom"/>
            <w:shd w:val="clear" w:color="auto" w:fill="CCFFCC"/>
          </w:tcPr>
          <w:p>
            <w:pPr>
              <w:spacing w:after="0"/>
              <w:rPr>
                <w:sz w:val="12"/>
                <w:szCs w:val="12"/>
                <w:color w:val="auto"/>
              </w:rPr>
            </w:pPr>
          </w:p>
        </w:tc>
        <w:tc>
          <w:tcPr>
            <w:tcW w:w="1160" w:type="dxa"/>
            <w:vAlign w:val="bottom"/>
            <w:gridSpan w:val="3"/>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-47.1%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FFCC"/>
          </w:tcPr>
          <w:p>
            <w:pPr>
              <w:jc w:val="center"/>
              <w:ind w:right="48"/>
              <w:spacing w:after="0" w:line="149" w:lineRule="exact"/>
              <w:rPr>
                <w:sz w:val="20"/>
                <w:szCs w:val="20"/>
                <w:color w:val="auto"/>
              </w:rPr>
            </w:pPr>
            <w:r>
              <w:rPr>
                <w:rFonts w:ascii="Arial" w:cs="Arial" w:eastAsia="Arial" w:hAnsi="Arial"/>
                <w:sz w:val="14"/>
                <w:szCs w:val="14"/>
                <w:b w:val="1"/>
                <w:bCs w:val="1"/>
                <w:color w:val="auto"/>
                <w:w w:val="92"/>
              </w:rPr>
              <w:t>Balance (end of period)</w:t>
            </w:r>
          </w:p>
        </w:tc>
        <w:tc>
          <w:tcPr>
            <w:tcW w:w="7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2,626,453</w:t>
            </w:r>
          </w:p>
        </w:tc>
        <w:tc>
          <w:tcPr>
            <w:tcW w:w="2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2,805,693</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2,380,110</w:t>
            </w: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-179,240</w:t>
            </w: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246,342</w:t>
            </w:r>
          </w:p>
        </w:tc>
        <w:tc>
          <w:tcPr>
            <w:tcW w:w="2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2,626,453</w:t>
            </w:r>
          </w:p>
        </w:tc>
        <w:tc>
          <w:tcPr>
            <w:tcW w:w="2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2,380,110</w:t>
            </w:r>
          </w:p>
        </w:tc>
        <w:tc>
          <w:tcPr>
            <w:tcW w:w="18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246,342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Invesment on securities (1)</w:t>
            </w: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1,626,763</w:t>
            </w: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1,764,873</w:t>
            </w:r>
          </w:p>
        </w:tc>
        <w:tc>
          <w:tcPr>
            <w:tcW w:w="26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6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96"/>
              </w:rPr>
              <w:t>1,534,459</w:t>
            </w: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-138,111</w:t>
            </w: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92,303</w:t>
            </w: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1,626,763</w:t>
            </w:r>
          </w:p>
        </w:tc>
        <w:tc>
          <w:tcPr>
            <w:tcW w:w="260" w:type="dxa"/>
            <w:vAlign w:val="bottom"/>
            <w:shd w:val="clear" w:color="auto" w:fill="CCFFCC"/>
          </w:tcPr>
          <w:p>
            <w:pPr>
              <w:spacing w:after="0"/>
              <w:rPr>
                <w:sz w:val="12"/>
                <w:szCs w:val="12"/>
                <w:color w:val="auto"/>
              </w:rPr>
            </w:pP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1,534,459</w:t>
            </w:r>
          </w:p>
        </w:tc>
        <w:tc>
          <w:tcPr>
            <w:tcW w:w="18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92,303</w:t>
            </w: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color w:val="auto"/>
              </w:rPr>
              <w:t>Technical reserves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1,691,124</w:t>
            </w:r>
          </w:p>
        </w:tc>
        <w:tc>
          <w:tcPr>
            <w:tcW w:w="2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1,701,502</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1,484,229</w:t>
            </w: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-10,378</w:t>
            </w: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206,895</w:t>
            </w:r>
          </w:p>
        </w:tc>
        <w:tc>
          <w:tcPr>
            <w:tcW w:w="2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1,691,124</w:t>
            </w:r>
          </w:p>
        </w:tc>
        <w:tc>
          <w:tcPr>
            <w:tcW w:w="2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1,484,229</w:t>
            </w:r>
          </w:p>
        </w:tc>
        <w:tc>
          <w:tcPr>
            <w:tcW w:w="18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206,895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equity</w:t>
            </w: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484,965</w:t>
            </w: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641,968</w:t>
            </w:r>
          </w:p>
        </w:tc>
        <w:tc>
          <w:tcPr>
            <w:tcW w:w="26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6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523,180</w:t>
            </w: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-157,003</w:t>
            </w: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-38,215</w:t>
            </w: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484,965</w:t>
            </w:r>
          </w:p>
        </w:tc>
        <w:tc>
          <w:tcPr>
            <w:tcW w:w="260" w:type="dxa"/>
            <w:vAlign w:val="bottom"/>
            <w:shd w:val="clear" w:color="auto" w:fill="CCFFCC"/>
          </w:tcPr>
          <w:p>
            <w:pPr>
              <w:spacing w:after="0"/>
              <w:rPr>
                <w:sz w:val="12"/>
                <w:szCs w:val="12"/>
                <w:color w:val="auto"/>
              </w:rPr>
            </w:pP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523,180</w:t>
            </w:r>
          </w:p>
        </w:tc>
        <w:tc>
          <w:tcPr>
            <w:tcW w:w="18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-38,215</w:t>
            </w: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FFCC"/>
          </w:tcPr>
          <w:p>
            <w:pPr>
              <w:jc w:val="center"/>
              <w:ind w:right="48"/>
              <w:spacing w:after="0" w:line="149" w:lineRule="exact"/>
              <w:rPr>
                <w:sz w:val="20"/>
                <w:szCs w:val="20"/>
                <w:color w:val="auto"/>
              </w:rPr>
            </w:pPr>
            <w:r>
              <w:rPr>
                <w:rFonts w:ascii="Arial" w:cs="Arial" w:eastAsia="Arial" w:hAnsi="Arial"/>
                <w:sz w:val="14"/>
                <w:szCs w:val="14"/>
                <w:b w:val="1"/>
                <w:bCs w:val="1"/>
                <w:color w:val="auto"/>
                <w:w w:val="93"/>
              </w:rPr>
              <w:t>Ratios</w:t>
            </w:r>
          </w:p>
        </w:tc>
        <w:tc>
          <w:tcPr>
            <w:tcW w:w="7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color w:val="auto"/>
              </w:rPr>
              <w:t>Ceded</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13.3%</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15.0%</w:t>
            </w:r>
          </w:p>
        </w:tc>
        <w:tc>
          <w:tcPr>
            <w:tcW w:w="6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11.3%</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14.1%</w:t>
            </w: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10.7%</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Loss ratio</w:t>
            </w:r>
          </w:p>
        </w:tc>
        <w:tc>
          <w:tcPr>
            <w:tcW w:w="9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67.8%</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65.9%</w:t>
            </w:r>
          </w:p>
        </w:tc>
        <w:tc>
          <w:tcPr>
            <w:tcW w:w="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62.0%</w:t>
            </w: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66.9%</w:t>
            </w:r>
          </w:p>
        </w:tc>
        <w:tc>
          <w:tcPr>
            <w:tcW w:w="88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69.0%</w:t>
            </w:r>
          </w:p>
        </w:tc>
        <w:tc>
          <w:tcPr>
            <w:tcW w:w="8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20" w:type="dxa"/>
            <w:vAlign w:val="bottom"/>
          </w:tcPr>
          <w:p>
            <w:pPr>
              <w:spacing w:after="0" w:line="130" w:lineRule="exact"/>
              <w:rPr>
                <w:sz w:val="20"/>
                <w:szCs w:val="20"/>
                <w:color w:val="auto"/>
              </w:rPr>
            </w:pPr>
            <w:r>
              <w:rPr>
                <w:rFonts w:ascii="Arial" w:cs="Arial" w:eastAsia="Arial" w:hAnsi="Arial"/>
                <w:sz w:val="14"/>
                <w:szCs w:val="14"/>
                <w:color w:val="auto"/>
              </w:rPr>
              <w:t>Commissions + underwriting expenses, net / net earned</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540" w:type="dxa"/>
            <w:vAlign w:val="bottom"/>
            <w:gridSpan w:val="2"/>
          </w:tcPr>
          <w:p>
            <w:pPr>
              <w:spacing w:after="0"/>
              <w:rPr>
                <w:sz w:val="20"/>
                <w:szCs w:val="20"/>
                <w:color w:val="auto"/>
              </w:rPr>
            </w:pPr>
            <w:r>
              <w:rPr>
                <w:rFonts w:ascii="Arial" w:cs="Arial" w:eastAsia="Arial" w:hAnsi="Arial"/>
                <w:sz w:val="14"/>
                <w:szCs w:val="14"/>
                <w:color w:val="auto"/>
              </w:rPr>
              <w:t>premiums</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21.8%</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21.9%</w:t>
            </w:r>
          </w:p>
        </w:tc>
        <w:tc>
          <w:tcPr>
            <w:tcW w:w="6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21.6%</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21.8%</w:t>
            </w: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21.2%</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Underwriting results / net premiums earned</w:t>
            </w:r>
          </w:p>
        </w:tc>
        <w:tc>
          <w:tcPr>
            <w:tcW w:w="9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10.4%</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12.3%</w:t>
            </w:r>
          </w:p>
        </w:tc>
        <w:tc>
          <w:tcPr>
            <w:tcW w:w="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16.3%</w:t>
            </w: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11.3%</w:t>
            </w:r>
          </w:p>
        </w:tc>
        <w:tc>
          <w:tcPr>
            <w:tcW w:w="88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9.8%</w:t>
            </w:r>
          </w:p>
        </w:tc>
        <w:tc>
          <w:tcPr>
            <w:tcW w:w="8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color w:val="auto"/>
              </w:rPr>
              <w:t>Operating expenses / net premiums earned</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24.0%</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23.8%</w:t>
            </w:r>
          </w:p>
        </w:tc>
        <w:tc>
          <w:tcPr>
            <w:tcW w:w="6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22.8%</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23.9%</w:t>
            </w: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22.5%</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20" w:type="dxa"/>
            <w:vAlign w:val="bottom"/>
            <w:shd w:val="clear" w:color="auto" w:fill="CCFFCC"/>
          </w:tcPr>
          <w:p>
            <w:pPr>
              <w:spacing w:after="0"/>
              <w:rPr>
                <w:sz w:val="20"/>
                <w:szCs w:val="20"/>
                <w:color w:val="auto"/>
              </w:rPr>
            </w:pPr>
            <w:r>
              <w:rPr>
                <w:rFonts w:ascii="Arial" w:cs="Arial" w:eastAsia="Arial" w:hAnsi="Arial"/>
                <w:sz w:val="14"/>
                <w:szCs w:val="14"/>
                <w:color w:val="auto"/>
              </w:rPr>
              <w:t>Return on equity *** (2) (3)</w:t>
            </w: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2.7%</w:t>
            </w: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6.0%</w:t>
            </w:r>
          </w:p>
        </w:tc>
        <w:tc>
          <w:tcPr>
            <w:tcW w:w="60" w:type="dxa"/>
            <w:vAlign w:val="bottom"/>
            <w:shd w:val="clear" w:color="auto" w:fill="CCFFCC"/>
          </w:tcPr>
          <w:p>
            <w:pPr>
              <w:spacing w:after="0"/>
              <w:rPr>
                <w:sz w:val="16"/>
                <w:szCs w:val="16"/>
                <w:color w:val="auto"/>
              </w:rPr>
            </w:pP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17.6%</w:t>
            </w:r>
          </w:p>
        </w:tc>
        <w:tc>
          <w:tcPr>
            <w:tcW w:w="660" w:type="dxa"/>
            <w:vAlign w:val="bottom"/>
            <w:shd w:val="clear" w:color="auto" w:fill="CCFFCC"/>
          </w:tcPr>
          <w:p>
            <w:pPr>
              <w:spacing w:after="0"/>
              <w:rPr>
                <w:sz w:val="16"/>
                <w:szCs w:val="16"/>
                <w:color w:val="auto"/>
              </w:rPr>
            </w:pPr>
          </w:p>
        </w:tc>
        <w:tc>
          <w:tcPr>
            <w:tcW w:w="260" w:type="dxa"/>
            <w:vAlign w:val="bottom"/>
            <w:shd w:val="clear" w:color="auto" w:fill="CCFFCC"/>
          </w:tcPr>
          <w:p>
            <w:pPr>
              <w:spacing w:after="0"/>
              <w:rPr>
                <w:sz w:val="16"/>
                <w:szCs w:val="16"/>
                <w:color w:val="auto"/>
              </w:rPr>
            </w:pPr>
          </w:p>
        </w:tc>
        <w:tc>
          <w:tcPr>
            <w:tcW w:w="660" w:type="dxa"/>
            <w:vAlign w:val="bottom"/>
            <w:shd w:val="clear" w:color="auto" w:fill="CCFFCC"/>
          </w:tcPr>
          <w:p>
            <w:pPr>
              <w:spacing w:after="0"/>
              <w:rPr>
                <w:sz w:val="16"/>
                <w:szCs w:val="16"/>
                <w:color w:val="auto"/>
              </w:rPr>
            </w:pPr>
          </w:p>
        </w:tc>
        <w:tc>
          <w:tcPr>
            <w:tcW w:w="260" w:type="dxa"/>
            <w:vAlign w:val="bottom"/>
            <w:shd w:val="clear" w:color="auto" w:fill="CCFFCC"/>
          </w:tcPr>
          <w:p>
            <w:pPr>
              <w:spacing w:after="0"/>
              <w:rPr>
                <w:sz w:val="16"/>
                <w:szCs w:val="16"/>
                <w:color w:val="auto"/>
              </w:rPr>
            </w:pP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4.5%</w:t>
            </w:r>
          </w:p>
        </w:tc>
        <w:tc>
          <w:tcPr>
            <w:tcW w:w="88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10.4%</w:t>
            </w:r>
          </w:p>
        </w:tc>
        <w:tc>
          <w:tcPr>
            <w:tcW w:w="80" w:type="dxa"/>
            <w:vAlign w:val="bottom"/>
            <w:shd w:val="clear" w:color="auto" w:fill="CCFFCC"/>
          </w:tcPr>
          <w:p>
            <w:pPr>
              <w:spacing w:after="0"/>
              <w:rPr>
                <w:sz w:val="16"/>
                <w:szCs w:val="16"/>
                <w:color w:val="auto"/>
              </w:rPr>
            </w:pPr>
          </w:p>
        </w:tc>
        <w:tc>
          <w:tcPr>
            <w:tcW w:w="92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color w:val="auto"/>
              </w:rPr>
              <w:t>Return on written premiums</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w:t>
            </w:r>
          </w:p>
        </w:tc>
        <w:tc>
          <w:tcPr>
            <w:tcW w:w="6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9.5%</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w:t>
            </w: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5.5%</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5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b w:val="1"/>
                <w:bCs w:val="1"/>
                <w:color w:val="auto"/>
              </w:rPr>
              <w:t>Combined ratio of PPS + PS (4) (5)</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106.8%</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107.3%</w:t>
            </w:r>
          </w:p>
        </w:tc>
        <w:tc>
          <w:tcPr>
            <w:tcW w:w="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101.9%</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107.1%</w:t>
            </w: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rPr>
              <w:t>108.1%</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claims / net earned premiums</w:t>
            </w:r>
          </w:p>
        </w:tc>
        <w:tc>
          <w:tcPr>
            <w:tcW w:w="9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72.3%</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70.7%</w:t>
            </w:r>
          </w:p>
        </w:tc>
        <w:tc>
          <w:tcPr>
            <w:tcW w:w="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64.1%</w:t>
            </w: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71.5%</w:t>
            </w:r>
          </w:p>
        </w:tc>
        <w:tc>
          <w:tcPr>
            <w:tcW w:w="88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70.9%</w:t>
            </w:r>
          </w:p>
        </w:tc>
        <w:tc>
          <w:tcPr>
            <w:tcW w:w="8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520" w:type="dxa"/>
            <w:vAlign w:val="bottom"/>
          </w:tcPr>
          <w:p>
            <w:pPr>
              <w:spacing w:after="0"/>
              <w:rPr>
                <w:sz w:val="20"/>
                <w:szCs w:val="20"/>
                <w:color w:val="auto"/>
              </w:rPr>
            </w:pPr>
            <w:r>
              <w:rPr>
                <w:rFonts w:ascii="Arial" w:cs="Arial" w:eastAsia="Arial" w:hAnsi="Arial"/>
                <w:sz w:val="14"/>
                <w:szCs w:val="14"/>
                <w:color w:val="auto"/>
                <w:w w:val="94"/>
              </w:rPr>
              <w:t>General expenses and commissions / net earned premiums</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34.5%</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36.6%</w:t>
            </w:r>
          </w:p>
        </w:tc>
        <w:tc>
          <w:tcPr>
            <w:tcW w:w="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37.9%</w:t>
            </w: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35.5%</w:t>
            </w: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37.2%</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5288915</wp:posOffset>
            </wp:positionH>
            <wp:positionV relativeFrom="paragraph">
              <wp:posOffset>-8890</wp:posOffset>
            </wp:positionV>
            <wp:extent cx="96901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69010" cy="8890"/>
                    </a:xfrm>
                    <a:prstGeom prst="rect">
                      <a:avLst/>
                    </a:prstGeom>
                    <a:noFill/>
                  </pic:spPr>
                </pic:pic>
              </a:graphicData>
            </a:graphic>
          </wp:anchor>
        </w:drawing>
        <w:drawing>
          <wp:anchor simplePos="0" relativeHeight="251657728" behindDoc="1" locked="0" layoutInCell="0" allowOverlap="1">
            <wp:simplePos x="0" y="0"/>
            <wp:positionH relativeFrom="column">
              <wp:posOffset>2321560</wp:posOffset>
            </wp:positionH>
            <wp:positionV relativeFrom="paragraph">
              <wp:posOffset>-8890</wp:posOffset>
            </wp:positionV>
            <wp:extent cx="156908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569085" cy="88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i w:val="1"/>
          <w:iCs w:val="1"/>
          <w:color w:val="auto"/>
        </w:rPr>
        <w:t>*Change in these accounts are due to reclassifications (related to the medical services) made in 4Q12 and before.</w:t>
      </w:r>
    </w:p>
    <w:p>
      <w:pPr>
        <w:spacing w:after="0" w:line="7" w:lineRule="exact"/>
        <w:rPr>
          <w:sz w:val="20"/>
          <w:szCs w:val="20"/>
          <w:color w:val="auto"/>
        </w:rPr>
      </w:pPr>
    </w:p>
    <w:p>
      <w:pPr>
        <w:ind w:left="280" w:hanging="230"/>
        <w:spacing w:after="0"/>
        <w:tabs>
          <w:tab w:leader="none" w:pos="280"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Change in these accounts are due to reclassifications (related to Unit Link products of Vida Insurance) made in 2Q12 and before.</w:t>
      </w:r>
    </w:p>
    <w:p>
      <w:pPr>
        <w:spacing w:after="0" w:line="9" w:lineRule="exact"/>
        <w:rPr>
          <w:rFonts w:ascii="Arial" w:cs="Arial" w:eastAsia="Arial" w:hAnsi="Arial"/>
          <w:sz w:val="18"/>
          <w:szCs w:val="18"/>
          <w:i w:val="1"/>
          <w:iCs w:val="1"/>
          <w:color w:val="auto"/>
        </w:rPr>
      </w:pPr>
    </w:p>
    <w:p>
      <w:pPr>
        <w:ind w:left="360" w:hanging="310"/>
        <w:spacing w:after="0"/>
        <w:tabs>
          <w:tab w:leader="none" w:pos="360"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ROAE 2Q13 (PPS Formula) without unrealized profit Pvida =7.8%.</w:t>
      </w:r>
    </w:p>
    <w:p>
      <w:pPr>
        <w:spacing w:after="0" w:line="9" w:lineRule="exact"/>
        <w:rPr>
          <w:sz w:val="20"/>
          <w:szCs w:val="20"/>
          <w:color w:val="auto"/>
        </w:rPr>
      </w:pPr>
    </w:p>
    <w:p>
      <w:pPr>
        <w:ind w:left="300" w:hanging="250"/>
        <w:spacing w:after="0"/>
        <w:tabs>
          <w:tab w:leader="none" w:pos="30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Doesn´t include investments in real estate.</w:t>
      </w:r>
    </w:p>
    <w:p>
      <w:pPr>
        <w:spacing w:after="0" w:line="9" w:lineRule="exact"/>
        <w:rPr>
          <w:rFonts w:ascii="Arial" w:cs="Arial" w:eastAsia="Arial" w:hAnsi="Arial"/>
          <w:sz w:val="18"/>
          <w:szCs w:val="18"/>
          <w:i w:val="1"/>
          <w:iCs w:val="1"/>
          <w:color w:val="auto"/>
        </w:rPr>
      </w:pPr>
    </w:p>
    <w:p>
      <w:pPr>
        <w:ind w:left="300" w:hanging="250"/>
        <w:spacing w:after="0"/>
        <w:tabs>
          <w:tab w:leader="none" w:pos="30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Annualized.</w:t>
      </w:r>
    </w:p>
    <w:p>
      <w:pPr>
        <w:spacing w:after="0" w:line="9" w:lineRule="exact"/>
        <w:rPr>
          <w:rFonts w:ascii="Arial" w:cs="Arial" w:eastAsia="Arial" w:hAnsi="Arial"/>
          <w:sz w:val="18"/>
          <w:szCs w:val="18"/>
          <w:i w:val="1"/>
          <w:iCs w:val="1"/>
          <w:color w:val="auto"/>
        </w:rPr>
      </w:pPr>
    </w:p>
    <w:p>
      <w:pPr>
        <w:ind w:left="300" w:hanging="250"/>
        <w:spacing w:after="0"/>
        <w:tabs>
          <w:tab w:leader="none" w:pos="30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Average are determined as the average of period - beginning and period ending.</w:t>
      </w:r>
    </w:p>
    <w:p>
      <w:pPr>
        <w:spacing w:after="0" w:line="9" w:lineRule="exact"/>
        <w:rPr>
          <w:rFonts w:ascii="Arial" w:cs="Arial" w:eastAsia="Arial" w:hAnsi="Arial"/>
          <w:sz w:val="18"/>
          <w:szCs w:val="18"/>
          <w:i w:val="1"/>
          <w:iCs w:val="1"/>
          <w:color w:val="auto"/>
        </w:rPr>
      </w:pPr>
    </w:p>
    <w:p>
      <w:pPr>
        <w:ind w:left="300" w:hanging="250"/>
        <w:spacing w:after="0"/>
        <w:tabs>
          <w:tab w:leader="none" w:pos="30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Without consolidated adjustments.</w:t>
      </w:r>
    </w:p>
    <w:p>
      <w:pPr>
        <w:spacing w:after="0" w:line="9" w:lineRule="exact"/>
        <w:rPr>
          <w:rFonts w:ascii="Arial" w:cs="Arial" w:eastAsia="Arial" w:hAnsi="Arial"/>
          <w:sz w:val="18"/>
          <w:szCs w:val="18"/>
          <w:i w:val="1"/>
          <w:iCs w:val="1"/>
          <w:color w:val="auto"/>
        </w:rPr>
      </w:pPr>
    </w:p>
    <w:p>
      <w:pPr>
        <w:ind w:left="60" w:right="480" w:hanging="10"/>
        <w:spacing w:after="0" w:line="261" w:lineRule="auto"/>
        <w:tabs>
          <w:tab w:leader="none" w:pos="315"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EPS includes Médica, Doctor+, Clínica San Borja, Análisis Clínicos, Oncocare, Prosemedic, Clínica El Golf, Clínica Sanchez Ferrer and Centro Odontológico Americano.</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00"/>
      </w:cols>
      <w:pgMar w:left="36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1)"/>
      <w:numFmt w:val="decimal"/>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1)"/>
      <w:numFmt w:val="decimal"/>
      <w:start w:val="1"/>
    </w:lvl>
  </w:abstractNum>
  <w:abstractNum w:abstractNumId="4">
    <w:nsid w:val="75A2A8D4"/>
    <w:multiLevelType w:val="hybridMultilevel"/>
    <w:lvl w:ilvl="0">
      <w:lvlJc w:val="left"/>
      <w:lvlText w:val="(%1)"/>
      <w:numFmt w:val="lowerRoman"/>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1)"/>
      <w:numFmt w:val="decimal"/>
      <w:start w:val="6"/>
    </w:lvl>
  </w:abstractNum>
  <w:abstractNum w:abstractNumId="7">
    <w:nsid w:val="4353D0CD"/>
    <w:multiLevelType w:val="hybridMultilevel"/>
    <w:lvl w:ilvl="0">
      <w:lvlJc w:val="left"/>
      <w:lvlText w:val="%1)"/>
      <w:numFmt w:val="lowerRoman"/>
      <w:start w:val="1"/>
    </w:lvl>
  </w:abstractNum>
  <w:abstractNum w:abstractNumId="8">
    <w:nsid w:val="B03E0C6"/>
    <w:multiLevelType w:val="hybridMultilevel"/>
    <w:lvl w:ilvl="0">
      <w:lvlJc w:val="left"/>
      <w:lvlText w:val="%1)"/>
      <w:numFmt w:val="lowerRoman"/>
      <w:start w:val="1"/>
    </w:lvl>
  </w:abstractNum>
  <w:abstractNum w:abstractNumId="9">
    <w:nsid w:val="189A769B"/>
    <w:multiLevelType w:val="hybridMultilevel"/>
    <w:lvl w:ilvl="0">
      <w:lvlJc w:val="left"/>
      <w:lvlText w:val="(%1)"/>
      <w:numFmt w:val="decimal"/>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1)"/>
      <w:numFmt w:val="decimal"/>
      <w:start w:val="2"/>
    </w:lvl>
  </w:abstractNum>
  <w:abstractNum w:abstractNumId="12">
    <w:nsid w:val="2CA88611"/>
    <w:multiLevelType w:val="hybridMultilevel"/>
    <w:lvl w:ilvl="0">
      <w:lvlJc w:val="left"/>
      <w:lvlText w:val="%1"/>
      <w:numFmt w:val="decimal"/>
      <w:start w:val="1"/>
    </w:lvl>
    <w:lvl w:ilvl="1">
      <w:lvlJc w:val="left"/>
      <w:lvlText w:val="(%2)"/>
      <w:numFmt w:val="decimal"/>
      <w:start w:val="1"/>
    </w:lvl>
  </w:abstractNum>
  <w:abstractNum w:abstractNumId="13">
    <w:nsid w:val="836C40E"/>
    <w:multiLevelType w:val="hybridMultilevel"/>
    <w:lvl w:ilvl="0">
      <w:lvlJc w:val="left"/>
      <w:lvlText w:val="(%1)"/>
      <w:numFmt w:val="decimal"/>
      <w:start w:val="2"/>
    </w:lvl>
    <w:lvl w:ilvl="1">
      <w:lvlJc w:val="left"/>
      <w:lvlText w:val="%2"/>
      <w:numFmt w:val="decimal"/>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1)"/>
      <w:numFmt w:val="lowerRoman"/>
      <w:start w:val="1"/>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3"/>
      <w:numFmt w:val="bullet"/>
      <w:start w:val="1"/>
    </w:lvl>
  </w:abstractNum>
  <w:abstractNum w:abstractNumId="21">
    <w:nsid w:val="22221A70"/>
    <w:multiLevelType w:val="hybridMultilevel"/>
    <w:lvl w:ilvl="0">
      <w:lvlJc w:val="left"/>
      <w:lvlText w:val="%1)"/>
      <w:numFmt w:val="lowerRoman"/>
      <w:start w:val="1"/>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1)"/>
      <w:numFmt w:val="decimal"/>
      <w:start w:val="1"/>
    </w:lvl>
  </w:abstractNum>
  <w:abstractNum w:abstractNumId="24">
    <w:nsid w:val="614FD4A1"/>
    <w:multiLevelType w:val="hybridMultilevel"/>
    <w:lvl w:ilvl="0">
      <w:lvlJc w:val="left"/>
      <w:lvlText w:val="4"/>
      <w:numFmt w:val="bullet"/>
      <w:start w:val="1"/>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1)"/>
      <w:numFmt w:val="decimal"/>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lowerRoman"/>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5"/>
      <w:numFmt w:val="bullet"/>
      <w:start w:val="1"/>
    </w:lvl>
  </w:abstractNum>
  <w:abstractNum w:abstractNumId="34">
    <w:nsid w:val="5E884ADC"/>
    <w:multiLevelType w:val="hybridMultilevel"/>
    <w:lvl w:ilvl="0">
      <w:lvlJc w:val="left"/>
      <w:lvlText w:val="%1)"/>
      <w:numFmt w:val="lowerRoman"/>
      <w:start w:val="1"/>
    </w:lvl>
  </w:abstractNum>
  <w:abstractNum w:abstractNumId="35">
    <w:nsid w:val="51EAD36B"/>
    <w:multiLevelType w:val="hybridMultilevel"/>
    <w:lvl w:ilvl="0">
      <w:lvlJc w:val="left"/>
      <w:lvlText w:val="(%1)"/>
      <w:numFmt w:val="decimal"/>
      <w:start w:val="1"/>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1)"/>
      <w:numFmt w:val="decimal"/>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
      <w:numFmt w:val="bullet"/>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2019-12-06T14:58:14Z</dcterms:created>
  <dcterms:modified xsi:type="dcterms:W3CDTF">2019-12-06T14:58:14Z</dcterms:modified>
</cp:coreProperties>
</file>