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Report of Foreign Private Issuer</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Pursuant to Rule 13a-16 or 15d-16 under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November 2020</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Commission File Number: 001-14014</w:t>
      </w:r>
    </w:p>
    <w:p>
      <w:pPr>
        <w:spacing w:after="0" w:line="2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CREDICORP LTD.</w:t>
      </w:r>
    </w:p>
    <w:p>
      <w:pPr>
        <w:spacing w:after="0" w:line="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Clarendon House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Church Street</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Hamilton HM 11 Bermuda</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5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492125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53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Date: November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2020</w:t>
      </w:r>
    </w:p>
    <w:p>
      <w:pPr>
        <w:spacing w:after="0" w:line="13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CREDICORP LTD.</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(Registrant)</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Miriam Bottger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Miriam Bottger</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2739390</wp:posOffset>
            </wp:positionH>
            <wp:positionV relativeFrom="paragraph">
              <wp:posOffset>158115</wp:posOffset>
            </wp:positionV>
            <wp:extent cx="1637030" cy="3683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7030"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Lima, Peru, November 5, 2020 </w:t>
      </w:r>
      <w:r>
        <w:rPr>
          <w:rFonts w:ascii="Times New Roman" w:cs="Times New Roman" w:eastAsia="Times New Roman" w:hAnsi="Times New Roman"/>
          <w:sz w:val="18"/>
          <w:szCs w:val="18"/>
          <w:color w:val="auto"/>
        </w:rPr>
        <w:t>– Credicorp Ltd. (NYSE: BAP) announced its unaudited results for the third quarter of 2020. These results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consolidated according to IFRS in Soles.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Third Quarter 2020 results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3Q20, Credicorp reported net income of S/104.6 million, which translated into an ROAE and ROAA of 1.8% and 0.2% respectively. If we exclude non-recurring events this quarter for a total of S/184.8 million (income tax adjusted), adjusted earnings and ROE in 3Q20 is S/289.4 million and 4.9% respectively. With these results, Credicorp is on the road to recovery from the COVID-19 crisis.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Economic activity shows signs of recovery in 3Q20 and appears to have left the worst behind after having reported a drop of -30% YoY in the second quarter. In September, indicators such as electricity demand, cement dispatchments, real estate transactions and light vehicle sales have exhibited a V shaped recovery and are situated close to their pre-pandemic levels. Moreover, GDP growth forecasts for 2021 have been revised upwards.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Credicorp’s operating and financial indicators show signs of recovery, both in SMEs and Individuals. In the first case, SMEs that have benefited from government program facilities show better payment performance than those who have not. In the second case, Individuals who are payroll clients show better payment performance than non-payroll clients. Personal loans are up this quarter and the month of September marked a turning point on the road to recovering normal origination levels and the reprogramming portfolio has stabilized. Finally, we are seeing on-going acceleration in our clients’ adoption of digital channels.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in 3Q20 show:</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QoQ expansion in average daily loans balances was driven by Government Programs (GP) loans rather than structural loans. The latter posted a contraction, mainly driven by BCP Wholesale Banking, where clients repaid liquidity facilities disbursed at the beginning of the crisis. In the YoY analysis, total loans grew 19.6% measured in average daily balances and 21.3% measured in quarter-end-balances, while structural loans (excluding GP loans) grew +1.9% measured in average daily balances but fell -0.3% measured in quarter-end-balances.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NII began to recover 3Q20 and posted expansion of +10.2% QoQ. Interest income grew +8.3% QoQ, after having reported non-recurring charges for impairment due to frozen loans in 2Q20. Adjusted Interest Income fell -6,2%, driven mainly by a drop in interest rates and a contraction in the structural portfolio. Interest Expenses grew 3.3% QoQ but if we exclude a non-recurring expense for bonds exchange at BCP, adjusted interest expenses contracted -10.8% QoQ due to effective management of the funding mix and cost. In this context, recurring NII fell -4.6% this QoQ. In terms of Margins, NIM and Structural NIM situated at 4.05% and 4.46% respectively this quarter.</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terms of client payment performance at BCP and Mibanco, we have seen a slight improvement and the reprogrammed portfolio has stabilized. Provisions this quarter have been significantly lower than those registered in 2Q20, driven by an improvement in macroeconomic expectations and adjustments to the expected loss model, which include new variables to generate a better overview of our clients’ status. In this scenario, the Cost of Risk (CofR) at Credicorp was situated at 3.84% in 3Q20 and 5.08% YTD. If we adjust provisions and loans for GP disbursements, the Structural Cost of Risk was situated at 4.37% in 3Q20 and 5.89% YTD. Given that growth in provisions outpaced the expansion reported for the NPL portfolio, the coverage ratio for the NPL portfolio rose from 108.9% in 3Q19 to 169.9% in 3Q20.</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Non-financial income reflected expansion of 8.8% QoQ, which was mainly attributable to an increase in transactions after an uptick in economic activity. This, coupled with the reactivation of fee exceptions offered to clients as facilities to overcome the crisis during 2Q20, led Fee income to grow 54% this quarter, mainly though BCP Stand-alone. YoY and YTD, non-financial income fell -12.4% and -15.3% respectively due to a decrease in transactional activity in 2Q20.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underwriting result for insurance was negative QoQ, YoY and YTD, situating at -103.2%, -103.5% and -22.5% respectively. This was driven mainly by an increase in claims due to an increase in provisions (COVID-19 IBNR) and growth in claims in the life insurance business during the pandemic. The aforementioned was attenuated by a drop in claims and a partial recovery in net earned premiums in Property &amp; Casual business.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efficiency ratio stood at 45.0%, while adjusted Efficiency (excluding non-recurring events from Operating income) stood at 44.8% this quarter. In the YoY analysis, the adjusted efficiency ratio deteriorated 170 pbs, which was mainly due to a decrease in both margins and fees. The aforementioned was attenuated by the measures Credicorp is taking to control operating expenses in the adverse context generated by COVID-19.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1717675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123190</wp:posOffset>
            </wp:positionV>
            <wp:extent cx="6978015" cy="11398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78015" cy="113982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40" w:type="dxa"/>
            <w:vAlign w:val="bottom"/>
          </w:tcPr>
          <w:p>
            <w:pPr>
              <w:spacing w:after="0"/>
              <w:rPr>
                <w:sz w:val="20"/>
                <w:szCs w:val="20"/>
                <w:color w:val="auto"/>
              </w:rPr>
            </w:pPr>
          </w:p>
        </w:tc>
      </w:tr>
      <w:tr>
        <w:trPr>
          <w:trHeight w:val="414"/>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Credicorp Ltd. (NYSE: BAP): Third Quarter Results 2020</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Financial Overview</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Credicorp and subsidiaries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Interest-earning assets (IEA)</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Evolution of IEA</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Credicorp Loans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1.2.1. Loan evolution by business segment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1.2.2. Evolution of the level of dollarization by segment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1.2.3. Market share in loans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Funding Sources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Structure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Deposits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2.2.1. Deposits: dollarization level</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2.2.2. Market share in Deposits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funding sources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Loan / Deposit (L/D)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Funding Cost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  Portfolio quality and Provisions for loan losses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Provisions for loan losses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Portfolio Quality: Delinquency ratios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3.2.1. Delinquency indicators by business line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4.  Net Interest Income (NII)</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Interest Margin (NIM) and Risk-Adjusted NIM</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Non-Financial Income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5.1.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Fee Income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5.1.1. By subsidiary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5.1.2. Fee income in the Banking Business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Insurance Underwriting Result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Life Insurance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Casualty Insurance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6.3.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Cost</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6.4 Underwriting Result by Business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  Operating Expenses and Efficiency</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Credicorp’s Administrative, General and Tax Expenses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7.2.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Efficiency Ratio</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Regulatory Capital</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Capital – BAP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Capital – BCP Stand-alone based on Peru GAAP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8.3.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Capital at Mibanco based on Peru GAAP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7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Distribution channels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Universal Banking</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9.1.1. Points of contact by geographic area – BCP Stand-alone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9.1.2. Transactions per channel – BCP Stand-alone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9.1.3. Points of Contact – BCP Bolivia</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0" w:type="dxa"/>
            <w:vAlign w:val="bottom"/>
          </w:tcPr>
          <w:p>
            <w:pPr>
              <w:spacing w:after="0"/>
              <w:rPr>
                <w:sz w:val="18"/>
                <w:szCs w:val="18"/>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9.2.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Microfinance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9.2.1. Points of Contact – Mibanco</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  Economic Perspectives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 Peru Economic Forecasts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10.2. Main Economic Variables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8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11.  Appendix</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 Credicorp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11.2. Credicorp Stand-alone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11.3. BCP Consolidated</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11.4. BCP Stand-alone</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11.5. Mibanco</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11.6. BCP Bolivia</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11.7. Credicorp Capital</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11.8. Atlantic Security Bank</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11.9. Grupo Pacifico</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11.10. Prima AFP</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11.11. Table of calculations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80" w:type="dxa"/>
            <w:vAlign w:val="bottom"/>
          </w:tcPr>
          <w:p>
            <w:pPr>
              <w:spacing w:after="0"/>
              <w:rPr>
                <w:sz w:val="18"/>
                <w:szCs w:val="18"/>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11.12. Non-recurring events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80" w:type="dxa"/>
            <w:vAlign w:val="bottom"/>
          </w:tcPr>
          <w:p>
            <w:pPr>
              <w:spacing w:after="0"/>
              <w:rPr>
                <w:sz w:val="20"/>
                <w:szCs w:val="20"/>
                <w:color w:val="auto"/>
              </w:rPr>
            </w:pPr>
          </w:p>
        </w:tc>
        <w:tc>
          <w:tcPr>
            <w:tcW w:w="78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11.13. Glossary of terms</w:t>
            </w:r>
          </w:p>
        </w:tc>
        <w:tc>
          <w:tcPr>
            <w:tcW w:w="3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675"/>
        </w:trPr>
        <w:tc>
          <w:tcPr>
            <w:tcW w:w="1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8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87" w:right="339" w:bottom="204"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Credicorp Ltd. (NYSE: BAP): Third Quarter Results 2020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Credicorp Ltd.</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3"/>
                <w:szCs w:val="13"/>
                <w:color w:val="auto"/>
              </w:rPr>
              <w:t>Quarter</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3"/>
          </w:tcPr>
          <w:p>
            <w:pPr>
              <w:ind w:left="6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3"/>
          </w:tcPr>
          <w:p>
            <w:pPr>
              <w:ind w:left="740"/>
              <w:spacing w:after="0"/>
              <w:rPr>
                <w:sz w:val="20"/>
                <w:szCs w:val="20"/>
                <w:color w:val="auto"/>
              </w:rPr>
            </w:pPr>
            <w:r>
              <w:rPr>
                <w:rFonts w:ascii="Times New Roman" w:cs="Times New Roman" w:eastAsia="Times New Roman" w:hAnsi="Times New Roman"/>
                <w:sz w:val="13"/>
                <w:szCs w:val="13"/>
                <w:b w:val="1"/>
                <w:bCs w:val="1"/>
                <w:color w:val="auto"/>
              </w:rPr>
              <w:t>YTD</w:t>
            </w: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42"/>
        </w:trPr>
        <w:tc>
          <w:tcPr>
            <w:tcW w:w="294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2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2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Sep 19</w:t>
            </w: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Sep 20</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Sep 20 / Sep 19</w:t>
            </w:r>
          </w:p>
        </w:tc>
        <w:tc>
          <w:tcPr>
            <w:tcW w:w="140" w:type="dxa"/>
            <w:vAlign w:val="bottom"/>
            <w:tcBorders>
              <w:bottom w:val="single" w:sz="8" w:color="CCEEFF"/>
            </w:tcBorders>
          </w:tcPr>
          <w:p>
            <w:pPr>
              <w:spacing w:after="0"/>
              <w:rPr>
                <w:sz w:val="12"/>
                <w:szCs w:val="12"/>
                <w:color w:val="auto"/>
              </w:rPr>
            </w:pPr>
          </w:p>
        </w:tc>
      </w:tr>
      <w:tr>
        <w:trPr>
          <w:trHeight w:val="169"/>
        </w:trPr>
        <w:tc>
          <w:tcPr>
            <w:tcW w:w="29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2"/>
                <w:szCs w:val="12"/>
                <w:color w:val="auto"/>
              </w:rPr>
              <w:t xml:space="preserve">Net interest income </w:t>
            </w:r>
            <w:r>
              <w:rPr>
                <w:rFonts w:ascii="Times New Roman" w:cs="Times New Roman" w:eastAsia="Times New Roman" w:hAnsi="Times New Roman"/>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2,276,400</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1,961,128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2,161,695</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10.2%</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6,725,971</w:t>
            </w:r>
          </w:p>
        </w:tc>
        <w:tc>
          <w:tcPr>
            <w:tcW w:w="8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6,502,122</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-3.3%</w:t>
            </w:r>
          </w:p>
        </w:tc>
      </w:tr>
      <w:tr>
        <w:trPr>
          <w:trHeight w:val="117"/>
        </w:trPr>
        <w:tc>
          <w:tcPr>
            <w:tcW w:w="3060" w:type="dxa"/>
            <w:vAlign w:val="bottom"/>
            <w:gridSpan w:val="2"/>
          </w:tcPr>
          <w:p>
            <w:pPr>
              <w:spacing w:after="0" w:line="117" w:lineRule="exact"/>
              <w:rPr>
                <w:sz w:val="20"/>
                <w:szCs w:val="20"/>
                <w:color w:val="auto"/>
              </w:rPr>
            </w:pPr>
            <w:r>
              <w:rPr>
                <w:rFonts w:ascii="Times New Roman" w:cs="Times New Roman" w:eastAsia="Times New Roman" w:hAnsi="Times New Roman"/>
                <w:sz w:val="13"/>
                <w:szCs w:val="13"/>
                <w:color w:val="auto"/>
              </w:rPr>
              <w:t>Provision for credit losses on loan portfolio, net of</w:t>
            </w: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40" w:type="dxa"/>
            <w:vAlign w:val="bottom"/>
          </w:tcPr>
          <w:p>
            <w:pPr>
              <w:spacing w:after="0"/>
              <w:rPr>
                <w:sz w:val="10"/>
                <w:szCs w:val="10"/>
                <w:color w:val="auto"/>
              </w:rPr>
            </w:pPr>
          </w:p>
        </w:tc>
      </w:tr>
      <w:tr>
        <w:trPr>
          <w:trHeight w:val="153"/>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recoveries</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(502,772)</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(2,540,457)</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(1,305,905)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-48.6%</w:t>
            </w:r>
          </w:p>
        </w:tc>
        <w:tc>
          <w:tcPr>
            <w:tcW w:w="200" w:type="dxa"/>
            <w:vAlign w:val="bottom"/>
          </w:tcPr>
          <w:p>
            <w:pPr>
              <w:spacing w:after="0"/>
              <w:rPr>
                <w:sz w:val="13"/>
                <w:szCs w:val="13"/>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159.7%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(1,334,277)</w:t>
            </w:r>
          </w:p>
        </w:tc>
        <w:tc>
          <w:tcPr>
            <w:tcW w:w="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(5,187,843)</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288.8%</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Risk-adjusted net interest income </w:t>
            </w:r>
            <w:r>
              <w:rPr>
                <w:rFonts w:ascii="Times New Roman" w:cs="Times New Roman" w:eastAsia="Times New Roman" w:hAnsi="Times New Roman"/>
                <w:sz w:val="20"/>
                <w:szCs w:val="20"/>
                <w:b w:val="1"/>
                <w:bCs w:val="1"/>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1,773,628</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(579,329)</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855,790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n.a.</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5,391,694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1,314,279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-75.6%</w:t>
            </w: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Non-financial income </w:t>
            </w:r>
            <w:r>
              <w:rPr>
                <w:rFonts w:ascii="Times New Roman" w:cs="Times New Roman" w:eastAsia="Times New Roman" w:hAnsi="Times New Roman"/>
                <w:sz w:val="20"/>
                <w:szCs w:val="20"/>
                <w:color w:val="auto"/>
                <w:vertAlign w:val="superscript"/>
              </w:rPr>
              <w:t>(1)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1,299,256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1,015,349</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1,102,597</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8.6%</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3,687,029</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3,075,811</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-16.6%</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Insurance underwriting result </w:t>
            </w:r>
            <w:r>
              <w:rPr>
                <w:rFonts w:ascii="Times New Roman" w:cs="Times New Roman" w:eastAsia="Times New Roman" w:hAnsi="Times New Roman"/>
                <w:sz w:val="20"/>
                <w:szCs w:val="20"/>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125,151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135,680</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(4,340)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352,487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273,267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-22.5%</w:t>
            </w: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Total expenses </w:t>
            </w:r>
            <w:r>
              <w:rPr>
                <w:rFonts w:ascii="Times New Roman" w:cs="Times New Roman" w:eastAsia="Times New Roman" w:hAnsi="Times New Roman"/>
                <w:sz w:val="20"/>
                <w:szCs w:val="20"/>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(1,679,234)</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(1,627,912)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(1,801,920)</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w:t>
            </w:r>
          </w:p>
        </w:tc>
        <w:tc>
          <w:tcPr>
            <w:tcW w:w="20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7.3%</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(4,831,983)</w:t>
            </w:r>
          </w:p>
        </w:tc>
        <w:tc>
          <w:tcPr>
            <w:tcW w:w="8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(5,208,467)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7.8%</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Profit before income tax </w:t>
            </w:r>
            <w:r>
              <w:rPr>
                <w:rFonts w:ascii="Times New Roman" w:cs="Times New Roman" w:eastAsia="Times New Roman" w:hAnsi="Times New Roman"/>
                <w:sz w:val="20"/>
                <w:szCs w:val="20"/>
                <w:b w:val="1"/>
                <w:bCs w:val="1"/>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1,518,801</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(1,056,212)</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152,127</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n.a.</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-90.0%</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4,599,227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(545,110)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n.a.</w:t>
            </w:r>
          </w:p>
        </w:tc>
      </w:tr>
      <w:tr>
        <w:trPr>
          <w:trHeight w:val="176"/>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Income taxes </w:t>
            </w:r>
            <w:r>
              <w:rPr>
                <w:rFonts w:ascii="Times New Roman" w:cs="Times New Roman" w:eastAsia="Times New Roman" w:hAnsi="Times New Roman"/>
                <w:sz w:val="20"/>
                <w:szCs w:val="20"/>
                <w:color w:val="auto"/>
                <w:vertAlign w:val="superscript"/>
              </w:rPr>
              <w:t>(1)</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(403,221)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414,775</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(55,539)</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(1,239,852)</w:t>
            </w:r>
          </w:p>
        </w:tc>
        <w:tc>
          <w:tcPr>
            <w:tcW w:w="8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213,437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profit</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1,115,580</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(641,437)</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96,588</w:t>
            </w:r>
          </w:p>
        </w:tc>
        <w:tc>
          <w:tcPr>
            <w:tcW w:w="1180" w:type="dxa"/>
            <w:vAlign w:val="bottom"/>
            <w:gridSpan w:val="3"/>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n.a.</w:t>
            </w: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-91.3%</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3,359,375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(331,673)</w:t>
            </w:r>
          </w:p>
        </w:tc>
        <w:tc>
          <w:tcPr>
            <w:tcW w:w="11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n.a.</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Non-controlling interest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22,545</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(21,046)</w:t>
            </w:r>
          </w:p>
        </w:tc>
        <w:tc>
          <w:tcPr>
            <w:tcW w:w="10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(8,018)</w:t>
            </w: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-61.9%</w:t>
            </w:r>
          </w:p>
        </w:tc>
        <w:tc>
          <w:tcPr>
            <w:tcW w:w="2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66,900</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(25,163)</w:t>
            </w:r>
          </w:p>
        </w:tc>
        <w:tc>
          <w:tcPr>
            <w:tcW w:w="11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n.a.</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Net profit attributable to Credicorp</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1,093,035</w:t>
            </w:r>
          </w:p>
        </w:tc>
        <w:tc>
          <w:tcPr>
            <w:tcW w:w="104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(620,391)</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104,606</w:t>
            </w:r>
          </w:p>
        </w:tc>
        <w:tc>
          <w:tcPr>
            <w:tcW w:w="1180" w:type="dxa"/>
            <w:vAlign w:val="bottom"/>
            <w:gridSpan w:val="3"/>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b w:val="1"/>
                <w:bCs w:val="1"/>
                <w:color w:val="auto"/>
              </w:rPr>
              <w:t>n.a.</w:t>
            </w:r>
          </w:p>
        </w:tc>
        <w:tc>
          <w:tcPr>
            <w:tcW w:w="82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-90.4%</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3,292,475</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Times New Roman" w:cs="Times New Roman" w:eastAsia="Times New Roman" w:hAnsi="Times New Roman"/>
                <w:sz w:val="13"/>
                <w:szCs w:val="13"/>
                <w:b w:val="1"/>
                <w:bCs w:val="1"/>
                <w:color w:val="auto"/>
              </w:rPr>
              <w:t>(306,510)</w:t>
            </w:r>
          </w:p>
        </w:tc>
        <w:tc>
          <w:tcPr>
            <w:tcW w:w="11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n.a.</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Net income / share (S/)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13.75</w:t>
            </w:r>
          </w:p>
        </w:tc>
        <w:tc>
          <w:tcPr>
            <w:tcW w:w="104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(7.81)</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1.32</w:t>
            </w:r>
          </w:p>
        </w:tc>
        <w:tc>
          <w:tcPr>
            <w:tcW w:w="118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-90.4%</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41.41</w:t>
            </w:r>
          </w:p>
        </w:tc>
        <w:tc>
          <w:tcPr>
            <w:tcW w:w="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(3.86)</w:t>
            </w:r>
          </w:p>
        </w:tc>
        <w:tc>
          <w:tcPr>
            <w:tcW w:w="11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n.a.</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Loans</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112,209,990</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132,741,720</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136,148,711</w:t>
            </w:r>
          </w:p>
        </w:tc>
        <w:tc>
          <w:tcPr>
            <w:tcW w:w="9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2.6%</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21.3%</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112,209,990</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136,148,711</w:t>
            </w:r>
          </w:p>
        </w:tc>
        <w:tc>
          <w:tcPr>
            <w:tcW w:w="1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21.3%</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Deposits and obligations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107,391,720</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129,664,332</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137,202,674</w:t>
            </w: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5.8%</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27.8%</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107,391,720</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137,201,587</w:t>
            </w:r>
          </w:p>
        </w:tc>
        <w:tc>
          <w:tcPr>
            <w:tcW w:w="1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27.8%</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Net equity</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26,000,638</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23,396,028</w:t>
            </w:r>
          </w:p>
        </w:tc>
        <w:tc>
          <w:tcPr>
            <w:tcW w:w="100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23,594,683</w:t>
            </w:r>
          </w:p>
        </w:tc>
        <w:tc>
          <w:tcPr>
            <w:tcW w:w="98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2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26,000,638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23,594,683</w:t>
            </w:r>
          </w:p>
        </w:tc>
        <w:tc>
          <w:tcPr>
            <w:tcW w:w="114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-9.3%</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Profitability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Net interest margin </w:t>
            </w:r>
            <w:r>
              <w:rPr>
                <w:rFonts w:ascii="Times New Roman" w:cs="Times New Roman" w:eastAsia="Times New Roman" w:hAnsi="Times New Roman"/>
                <w:sz w:val="20"/>
                <w:szCs w:val="20"/>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5.40%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4.03%</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4.05%</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-135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5.37%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4.41%</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-96 bps</w:t>
            </w:r>
          </w:p>
        </w:tc>
      </w:tr>
      <w:tr>
        <w:trPr>
          <w:trHeight w:val="176"/>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Risk-adjusted Net interest margin </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4.21%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-1.19%</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1.60%</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-261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0.89%</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-342 bps</w:t>
            </w: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Funding cost </w:t>
            </w:r>
            <w:r>
              <w:rPr>
                <w:rFonts w:ascii="Times New Roman" w:cs="Times New Roman" w:eastAsia="Times New Roman" w:hAnsi="Times New Roman"/>
                <w:sz w:val="20"/>
                <w:szCs w:val="20"/>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1.86%</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1.74%</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-12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-72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2.40%</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1.90%</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 bps</w:t>
            </w:r>
          </w:p>
        </w:tc>
      </w:tr>
      <w:tr>
        <w:trPr>
          <w:trHeight w:val="176"/>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ROAE </w:t>
            </w:r>
            <w:r>
              <w:rPr>
                <w:rFonts w:ascii="Times New Roman" w:cs="Times New Roman" w:eastAsia="Times New Roman" w:hAnsi="Times New Roman"/>
                <w:sz w:val="20"/>
                <w:szCs w:val="20"/>
                <w:color w:val="auto"/>
                <w:vertAlign w:val="superscript"/>
              </w:rPr>
              <w:t>(2)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17.1%</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-1530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17.62%</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-1.60%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ROAA </w:t>
            </w:r>
            <w:r>
              <w:rPr>
                <w:rFonts w:ascii="Times New Roman" w:cs="Times New Roman" w:eastAsia="Times New Roman" w:hAnsi="Times New Roman"/>
                <w:sz w:val="20"/>
                <w:szCs w:val="20"/>
                <w:color w:val="auto"/>
                <w:vertAlign w:val="superscript"/>
              </w:rPr>
              <w:t>(2)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n.a.</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-220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-0.2%</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n.a.</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Loan portfolio quality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IOL ratio </w:t>
            </w:r>
            <w:r>
              <w:rPr>
                <w:rFonts w:ascii="Times New Roman" w:cs="Times New Roman" w:eastAsia="Times New Roman" w:hAnsi="Times New Roman"/>
                <w:sz w:val="20"/>
                <w:szCs w:val="20"/>
                <w:color w:val="auto"/>
                <w:vertAlign w:val="superscript"/>
              </w:rPr>
              <w:t>(3)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2.98%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2.89%</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3.04%</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15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2.98%</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3.04%</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 bps</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IOL over 90 days ratio</w:t>
            </w: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1.50%</w:t>
            </w: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118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22 bps</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-54 bps</w:t>
            </w: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2.26%</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1.72%</w:t>
            </w:r>
          </w:p>
        </w:tc>
        <w:tc>
          <w:tcPr>
            <w:tcW w:w="11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-54 bps</w:t>
            </w: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NPL ratio </w:t>
            </w:r>
            <w:r>
              <w:rPr>
                <w:rFonts w:ascii="Times New Roman" w:cs="Times New Roman" w:eastAsia="Times New Roman" w:hAnsi="Times New Roman"/>
                <w:sz w:val="20"/>
                <w:szCs w:val="20"/>
                <w:color w:val="auto"/>
                <w:vertAlign w:val="superscript"/>
              </w:rPr>
              <w:t>(4)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4.07%</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3.78%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4.17%</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39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10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4.07%</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4.17%</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 bps</w:t>
            </w:r>
          </w:p>
        </w:tc>
      </w:tr>
      <w:tr>
        <w:trPr>
          <w:trHeight w:val="176"/>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Cost of risk </w:t>
            </w:r>
            <w:r>
              <w:rPr>
                <w:rFonts w:ascii="Times New Roman" w:cs="Times New Roman" w:eastAsia="Times New Roman" w:hAnsi="Times New Roman"/>
                <w:sz w:val="20"/>
                <w:szCs w:val="20"/>
                <w:color w:val="auto"/>
                <w:vertAlign w:val="superscript"/>
              </w:rPr>
              <w:t>(2)(5)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1.79%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7.66%</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3.84%</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-382 bps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205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1.59%</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5.08%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349 bps</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Coverage ratio of IOLs</w:t>
            </w: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148.8%</w:t>
            </w: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218.9%</w:t>
            </w:r>
          </w:p>
        </w:tc>
        <w:tc>
          <w:tcPr>
            <w:tcW w:w="10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233.1%</w:t>
            </w:r>
          </w:p>
        </w:tc>
        <w:tc>
          <w:tcPr>
            <w:tcW w:w="1180" w:type="dxa"/>
            <w:vAlign w:val="bottom"/>
            <w:gridSpan w:val="3"/>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1420 bps</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8430 bps</w:t>
            </w:r>
          </w:p>
        </w:tc>
        <w:tc>
          <w:tcPr>
            <w:tcW w:w="9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148.8%</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233.1%</w:t>
            </w:r>
          </w:p>
        </w:tc>
        <w:tc>
          <w:tcPr>
            <w:tcW w:w="11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8430 bps</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Coverage ratio of IOL 90-days</w:t>
            </w: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196.0%</w:t>
            </w:r>
          </w:p>
        </w:tc>
        <w:tc>
          <w:tcPr>
            <w:tcW w:w="10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423.2%</w:t>
            </w: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413.4%</w:t>
            </w:r>
          </w:p>
        </w:tc>
        <w:tc>
          <w:tcPr>
            <w:tcW w:w="1180" w:type="dxa"/>
            <w:vAlign w:val="bottom"/>
            <w:gridSpan w:val="3"/>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-980 bps</w:t>
            </w: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21740 bps</w:t>
            </w:r>
          </w:p>
        </w:tc>
        <w:tc>
          <w:tcPr>
            <w:tcW w:w="9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196.0%</w:t>
            </w:r>
          </w:p>
        </w:tc>
        <w:tc>
          <w:tcPr>
            <w:tcW w:w="80" w:type="dxa"/>
            <w:vAlign w:val="bottom"/>
          </w:tcPr>
          <w:p>
            <w:pPr>
              <w:spacing w:after="0"/>
              <w:rPr>
                <w:sz w:val="11"/>
                <w:szCs w:val="11"/>
                <w:color w:val="auto"/>
              </w:rPr>
            </w:pPr>
          </w:p>
        </w:tc>
        <w:tc>
          <w:tcPr>
            <w:tcW w:w="90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413.4%</w:t>
            </w:r>
          </w:p>
        </w:tc>
        <w:tc>
          <w:tcPr>
            <w:tcW w:w="11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21740 bps</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Coverage ratio of NPLs</w:t>
            </w: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10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167.5%</w:t>
            </w:r>
          </w:p>
        </w:tc>
        <w:tc>
          <w:tcPr>
            <w:tcW w:w="100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169.9%</w:t>
            </w:r>
          </w:p>
        </w:tc>
        <w:tc>
          <w:tcPr>
            <w:tcW w:w="1180" w:type="dxa"/>
            <w:vAlign w:val="bottom"/>
            <w:gridSpan w:val="3"/>
            <w:shd w:val="clear" w:color="auto" w:fill="CCEEFF"/>
          </w:tcPr>
          <w:p>
            <w:pPr>
              <w:jc w:val="right"/>
              <w:ind w:right="420"/>
              <w:spacing w:after="0" w:line="135" w:lineRule="exact"/>
              <w:rPr>
                <w:sz w:val="20"/>
                <w:szCs w:val="20"/>
                <w:color w:val="auto"/>
              </w:rPr>
            </w:pPr>
            <w:r>
              <w:rPr>
                <w:rFonts w:ascii="Times New Roman" w:cs="Times New Roman" w:eastAsia="Times New Roman" w:hAnsi="Times New Roman"/>
                <w:sz w:val="13"/>
                <w:szCs w:val="13"/>
                <w:color w:val="auto"/>
              </w:rPr>
              <w:t>240 bps</w:t>
            </w:r>
          </w:p>
        </w:tc>
        <w:tc>
          <w:tcPr>
            <w:tcW w:w="82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6100 bps</w:t>
            </w:r>
          </w:p>
        </w:tc>
        <w:tc>
          <w:tcPr>
            <w:tcW w:w="9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108.9%</w:t>
            </w:r>
          </w:p>
        </w:tc>
        <w:tc>
          <w:tcPr>
            <w:tcW w:w="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169.9%</w:t>
            </w:r>
          </w:p>
        </w:tc>
        <w:tc>
          <w:tcPr>
            <w:tcW w:w="11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6100 bps</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Operating efficiency</w:t>
            </w: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Efficiency ratio </w:t>
            </w:r>
            <w:r>
              <w:rPr>
                <w:rFonts w:ascii="Times New Roman" w:cs="Times New Roman" w:eastAsia="Times New Roman" w:hAnsi="Times New Roman"/>
                <w:sz w:val="20"/>
                <w:szCs w:val="20"/>
                <w:color w:val="auto"/>
                <w:vertAlign w:val="superscript"/>
              </w:rPr>
              <w:t>(1) (6)</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43.1%</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50.1%</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45.0%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-510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190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42.9%</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45.9%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300 bps</w:t>
            </w: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Operating expenses/Total average assets </w:t>
            </w:r>
            <w:r>
              <w:rPr>
                <w:rFonts w:ascii="Times New Roman" w:cs="Times New Roman" w:eastAsia="Times New Roman" w:hAnsi="Times New Roman"/>
                <w:sz w:val="20"/>
                <w:szCs w:val="20"/>
                <w:color w:val="auto"/>
                <w:vertAlign w:val="superscript"/>
              </w:rPr>
              <w:t>(1) (7)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3.67%</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3.07%</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2.93%</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-14 bps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-74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3.62%</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3.17%</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-45 bps</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Insurance ratios</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Combined ratio of P&amp;C </w:t>
            </w:r>
            <w:r>
              <w:rPr>
                <w:rFonts w:ascii="Times New Roman" w:cs="Times New Roman" w:eastAsia="Times New Roman" w:hAnsi="Times New Roman"/>
                <w:sz w:val="20"/>
                <w:szCs w:val="20"/>
                <w:color w:val="auto"/>
                <w:vertAlign w:val="superscript"/>
              </w:rPr>
              <w:t>(8)(9)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97.9%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79.8%</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84.8%</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500 bps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-1310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99.8%</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84.8%</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-1500 bps</w:t>
            </w:r>
          </w:p>
        </w:tc>
      </w:tr>
      <w:tr>
        <w:trPr>
          <w:trHeight w:val="176"/>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Loss ratio </w:t>
            </w:r>
            <w:r>
              <w:rPr>
                <w:rFonts w:ascii="Times New Roman" w:cs="Times New Roman" w:eastAsia="Times New Roman" w:hAnsi="Times New Roman"/>
                <w:sz w:val="20"/>
                <w:szCs w:val="20"/>
                <w:color w:val="auto"/>
                <w:vertAlign w:val="superscript"/>
              </w:rPr>
              <w:t>(9)(10)</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63.8%</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59.8%</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86.0%</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2620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2220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64.5%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68.5%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400 bps</w:t>
            </w: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b w:val="1"/>
                <w:bCs w:val="1"/>
                <w:color w:val="auto"/>
              </w:rPr>
              <w:t xml:space="preserve">Capital adequacy </w:t>
            </w:r>
            <w:r>
              <w:rPr>
                <w:rFonts w:ascii="Times New Roman" w:cs="Times New Roman" w:eastAsia="Times New Roman" w:hAnsi="Times New Roman"/>
                <w:sz w:val="20"/>
                <w:szCs w:val="20"/>
                <w:b w:val="1"/>
                <w:bCs w:val="1"/>
                <w:color w:val="auto"/>
                <w:vertAlign w:val="superscript"/>
              </w:rPr>
              <w:t>(11)</w:t>
            </w: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BIS ratio </w:t>
            </w:r>
            <w:r>
              <w:rPr>
                <w:rFonts w:ascii="Times New Roman" w:cs="Times New Roman" w:eastAsia="Times New Roman" w:hAnsi="Times New Roman"/>
                <w:sz w:val="20"/>
                <w:szCs w:val="20"/>
                <w:color w:val="auto"/>
                <w:vertAlign w:val="superscript"/>
              </w:rPr>
              <w:t>(12)</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15.45%</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14.80%</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15.39%</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59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-6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15.45%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15.39%</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 bps</w:t>
            </w:r>
          </w:p>
        </w:tc>
      </w:tr>
      <w:tr>
        <w:trPr>
          <w:trHeight w:val="175"/>
        </w:trPr>
        <w:tc>
          <w:tcPr>
            <w:tcW w:w="3060" w:type="dxa"/>
            <w:vAlign w:val="bottom"/>
            <w:gridSpan w:val="2"/>
          </w:tcPr>
          <w:p>
            <w:pPr>
              <w:spacing w:after="0" w:line="176" w:lineRule="exact"/>
              <w:rPr>
                <w:sz w:val="20"/>
                <w:szCs w:val="20"/>
                <w:color w:val="auto"/>
              </w:rPr>
            </w:pPr>
            <w:r>
              <w:rPr>
                <w:rFonts w:ascii="Times New Roman" w:cs="Times New Roman" w:eastAsia="Times New Roman" w:hAnsi="Times New Roman"/>
                <w:sz w:val="13"/>
                <w:szCs w:val="13"/>
                <w:color w:val="auto"/>
              </w:rPr>
              <w:t xml:space="preserve">Tier 1 ratio </w:t>
            </w:r>
            <w:r>
              <w:rPr>
                <w:rFonts w:ascii="Times New Roman" w:cs="Times New Roman" w:eastAsia="Times New Roman" w:hAnsi="Times New Roman"/>
                <w:sz w:val="20"/>
                <w:szCs w:val="20"/>
                <w:color w:val="auto"/>
                <w:vertAlign w:val="superscript"/>
              </w:rPr>
              <w:t>(13)</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11.79%</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10.54%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10.70%</w:t>
            </w:r>
          </w:p>
        </w:tc>
        <w:tc>
          <w:tcPr>
            <w:tcW w:w="118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16 bps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-109 bps</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11.79%</w:t>
            </w:r>
          </w:p>
        </w:tc>
        <w:tc>
          <w:tcPr>
            <w:tcW w:w="8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10.70%</w:t>
            </w: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-109 bps</w:t>
            </w: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Common equity tier 1 ratio </w:t>
            </w:r>
            <w:r>
              <w:rPr>
                <w:rFonts w:ascii="Times New Roman" w:cs="Times New Roman" w:eastAsia="Times New Roman" w:hAnsi="Times New Roman"/>
                <w:sz w:val="20"/>
                <w:szCs w:val="20"/>
                <w:color w:val="auto"/>
                <w:vertAlign w:val="superscript"/>
              </w:rPr>
              <w:t>(14)</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11.95%</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11.22%</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11.45%</w:t>
            </w:r>
          </w:p>
        </w:tc>
        <w:tc>
          <w:tcPr>
            <w:tcW w:w="118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3"/>
                <w:szCs w:val="13"/>
                <w:color w:val="auto"/>
              </w:rPr>
              <w:t>23 bps</w:t>
            </w: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-50 bps</w:t>
            </w: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11.95%</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11.45%</w:t>
            </w:r>
          </w:p>
        </w:tc>
        <w:tc>
          <w:tcPr>
            <w:tcW w:w="11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-50 bps</w:t>
            </w: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Employees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35,174</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38,219</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37,572</w:t>
            </w: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35,119</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37,572</w:t>
            </w:r>
          </w:p>
        </w:tc>
        <w:tc>
          <w:tcPr>
            <w:tcW w:w="1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7.0%</w:t>
            </w:r>
          </w:p>
        </w:tc>
      </w:tr>
      <w:tr>
        <w:trPr>
          <w:trHeight w:val="135"/>
        </w:trPr>
        <w:tc>
          <w:tcPr>
            <w:tcW w:w="30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Share Information</w:t>
            </w: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r>
      <w:tr>
        <w:trPr>
          <w:trHeight w:val="135"/>
        </w:trPr>
        <w:tc>
          <w:tcPr>
            <w:tcW w:w="30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Outstanding Shares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94,382</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94,382</w:t>
            </w:r>
          </w:p>
        </w:tc>
        <w:tc>
          <w:tcPr>
            <w:tcW w:w="10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94,382</w:t>
            </w: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2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0.0%</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94,382</w:t>
            </w:r>
          </w:p>
        </w:tc>
        <w:tc>
          <w:tcPr>
            <w:tcW w:w="8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94,382</w:t>
            </w:r>
          </w:p>
        </w:tc>
        <w:tc>
          <w:tcPr>
            <w:tcW w:w="114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0.0%</w:t>
            </w:r>
          </w:p>
        </w:tc>
      </w:tr>
      <w:tr>
        <w:trPr>
          <w:trHeight w:val="175"/>
        </w:trPr>
        <w:tc>
          <w:tcPr>
            <w:tcW w:w="306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3"/>
                <w:szCs w:val="13"/>
                <w:color w:val="auto"/>
              </w:rPr>
              <w:t xml:space="preserve">Treasury Shares </w:t>
            </w:r>
            <w:r>
              <w:rPr>
                <w:rFonts w:ascii="Times New Roman" w:cs="Times New Roman" w:eastAsia="Times New Roman" w:hAnsi="Times New Roman"/>
                <w:sz w:val="20"/>
                <w:szCs w:val="20"/>
                <w:color w:val="auto"/>
                <w:vertAlign w:val="superscript"/>
              </w:rPr>
              <w:t>(15)</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14,872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14,977</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14,977</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20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14,872</w:t>
            </w:r>
          </w:p>
        </w:tc>
        <w:tc>
          <w:tcPr>
            <w:tcW w:w="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14,977</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0.7%</w:t>
            </w:r>
          </w:p>
        </w:tc>
      </w:tr>
      <w:tr>
        <w:trPr>
          <w:trHeight w:val="278"/>
        </w:trPr>
        <w:tc>
          <w:tcPr>
            <w:tcW w:w="30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 xml:space="preserve">Floating Shares </w:t>
            </w:r>
            <w:r>
              <w:rPr>
                <w:rFonts w:ascii="Times New Roman" w:cs="Times New Roman" w:eastAsia="Times New Roman" w:hAnsi="Times New Roman"/>
                <w:sz w:val="20"/>
                <w:szCs w:val="20"/>
                <w:color w:val="auto"/>
                <w:vertAlign w:val="superscript"/>
              </w:rPr>
              <w:t>(1)</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79,510</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79,405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79,405</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0.0%</w:t>
            </w:r>
          </w:p>
        </w:tc>
        <w:tc>
          <w:tcPr>
            <w:tcW w:w="2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-0.1%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79,510</w:t>
            </w:r>
          </w:p>
        </w:tc>
        <w:tc>
          <w:tcPr>
            <w:tcW w:w="8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79,405</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r>
    </w:tbl>
    <w:p>
      <w:pPr>
        <w:spacing w:after="0" w:line="95" w:lineRule="exact"/>
        <w:rPr>
          <w:sz w:val="20"/>
          <w:szCs w:val="20"/>
          <w:color w:val="auto"/>
        </w:rPr>
      </w:pPr>
    </w:p>
    <w:p>
      <w:pPr>
        <w:ind w:left="180" w:hanging="172"/>
        <w:spacing w:after="0"/>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Figures differ from previously reported, please consider the data presented on this report.</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Annualized.</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Internal overdue loans include overdue loans and loans under legal collection, according to our internal policy for overdue loans. Internal Overdue ratio: Internal overdue loans / Total loans.</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Non-performing loans (NPL): Internal overdue loans + Refinanced loans. NPL ratio: NPL / Total loans.</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 of risk: Annualized Provision for credit losses on loan portfolio, net of recoveries / Total loans.</w:t>
      </w:r>
    </w:p>
    <w:p>
      <w:pPr>
        <w:ind w:firstLine="8"/>
        <w:spacing w:after="0" w:line="216" w:lineRule="auto"/>
        <w:tabs>
          <w:tab w:leader="none" w:pos="191"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Efficiency ratio = (Salaries and employee benefits + Administrative expenses + Depreciation and amortization + Association in participation + Acquisition cost) / (Net interest income + Fee Income + Net gain on foreign exchange transactions + Net Gain from associates + Net gain on derivatives held for trading + Result on exchange differences + Net Premiums Earned).</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Operating expenses / Average of Total Assets. Average is calculated with period-beginning and period-ending balances. "</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Combined ratio = (Net claims / Net earned premiums) + [(Acquisition cost + Operating expenses) / Net earned premiums]. Does not include Life insurance business.</w:t>
      </w:r>
    </w:p>
    <w:p>
      <w:pPr>
        <w:ind w:left="180" w:hanging="172"/>
        <w:spacing w:after="0" w:line="216" w:lineRule="auto"/>
        <w:tabs>
          <w:tab w:leader="none" w:pos="18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Considers Grupo Pacifico's figures before eliminations for consolidation to Credicorp.</w:t>
      </w:r>
    </w:p>
    <w:p>
      <w:pPr>
        <w:ind w:left="240" w:hanging="232"/>
        <w:spacing w:after="0" w:line="216" w:lineRule="auto"/>
        <w:tabs>
          <w:tab w:leader="none" w:pos="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claims / Net earned premiums.</w:t>
      </w:r>
    </w:p>
    <w:p>
      <w:pPr>
        <w:ind w:left="240" w:hanging="232"/>
        <w:spacing w:after="0" w:line="216" w:lineRule="auto"/>
        <w:tabs>
          <w:tab w:leader="none" w:pos="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Capital ratios are for BCP Stand-alone and based on Peru GAAP.</w:t>
      </w:r>
    </w:p>
    <w:p>
      <w:pPr>
        <w:ind w:left="240" w:hanging="232"/>
        <w:spacing w:after="0" w:line="216" w:lineRule="auto"/>
        <w:tabs>
          <w:tab w:leader="none" w:pos="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Regulatory Capital / Risk-weighted assets (legal minimum = 10% since July 2011).</w:t>
      </w:r>
    </w:p>
    <w:p>
      <w:pPr>
        <w:ind w:firstLine="8"/>
        <w:spacing w:after="0" w:line="234" w:lineRule="auto"/>
        <w:tabs>
          <w:tab w:leader="none" w:pos="247" w:val="left"/>
        </w:tabs>
        <w:numPr>
          <w:ilvl w:val="0"/>
          <w:numId w:val="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ind w:right="20" w:firstLine="8"/>
        <w:spacing w:after="0" w:line="216" w:lineRule="auto"/>
        <w:tabs>
          <w:tab w:leader="none" w:pos="246"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Common Equity Tier I = Capital + Reserves – 100% of applicable deductions (investment in subsidiaries, goodwill, intangibles and net deferred taxes that rely on future profitability) + retained earnings + unrealized gains.</w:t>
      </w:r>
    </w:p>
    <w:p>
      <w:pPr>
        <w:spacing w:after="0" w:line="216"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40" w:hanging="232"/>
        <w:spacing w:after="0"/>
        <w:tabs>
          <w:tab w:leader="none" w:pos="24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 shares held by Atlantic Security Holding Corporation (ASHC) and share-based payments.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Credicorp and subsidiaries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 contribution *</w:t>
            </w: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Year</w:t>
            </w: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39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 000</w:t>
            </w:r>
          </w:p>
        </w:tc>
        <w:tc>
          <w:tcPr>
            <w:tcW w:w="92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880" w:type="dxa"/>
            <w:vAlign w:val="bottom"/>
            <w:tcBorders>
              <w:top w:val="single" w:sz="8" w:color="auto"/>
            </w:tcBorders>
            <w:gridSpan w:val="2"/>
          </w:tcPr>
          <w:p>
            <w:pPr>
              <w:jc w:val="right"/>
              <w:ind w:right="400"/>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66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00" w:type="dxa"/>
            <w:vAlign w:val="bottom"/>
          </w:tcPr>
          <w:p>
            <w:pPr>
              <w:spacing w:after="0"/>
              <w:rPr>
                <w:sz w:val="13"/>
                <w:szCs w:val="13"/>
                <w:color w:val="auto"/>
              </w:rPr>
            </w:pPr>
          </w:p>
        </w:tc>
        <w:tc>
          <w:tcPr>
            <w:tcW w:w="1100" w:type="dxa"/>
            <w:vAlign w:val="bottom"/>
            <w:tcBorders>
              <w:top w:val="single" w:sz="8" w:color="auto"/>
            </w:tcBorders>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4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3"/>
                <w:szCs w:val="13"/>
                <w:color w:val="auto"/>
              </w:rPr>
            </w:pPr>
          </w:p>
        </w:tc>
        <w:tc>
          <w:tcPr>
            <w:tcW w:w="980" w:type="dxa"/>
            <w:vAlign w:val="bottom"/>
            <w:tcBorders>
              <w:top w:val="single" w:sz="8" w:color="auto"/>
            </w:tcBorders>
            <w:gridSpan w:val="3"/>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580" w:type="dxa"/>
            <w:vAlign w:val="bottom"/>
            <w:tcBorders>
              <w:top w:val="single" w:sz="8" w:color="auto"/>
            </w:tcBorders>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20" w:type="dxa"/>
            <w:vAlign w:val="bottom"/>
          </w:tcPr>
          <w:p>
            <w:pPr>
              <w:spacing w:after="0"/>
              <w:rPr>
                <w:sz w:val="13"/>
                <w:szCs w:val="13"/>
                <w:color w:val="auto"/>
              </w:rPr>
            </w:pPr>
          </w:p>
        </w:tc>
      </w:tr>
      <w:tr>
        <w:trPr>
          <w:trHeight w:val="142"/>
        </w:trPr>
        <w:tc>
          <w:tcPr>
            <w:tcW w:w="38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Universal Banking</w:t>
            </w:r>
          </w:p>
        </w:tc>
        <w:tc>
          <w:tcPr>
            <w:tcW w:w="100" w:type="dxa"/>
            <w:vAlign w:val="bottom"/>
            <w:tcBorders>
              <w:top w:val="single" w:sz="8" w:color="CCEEFF"/>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3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BCP Stand-alone</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831,423</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(528,404)</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421,770</w:t>
            </w:r>
          </w:p>
        </w:tc>
        <w:tc>
          <w:tcPr>
            <w:tcW w:w="1100" w:type="dxa"/>
            <w:vAlign w:val="bottom"/>
            <w:gridSpan w:val="3"/>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2,437,771</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35,569</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-98.5%</w:t>
            </w:r>
          </w:p>
        </w:tc>
      </w:tr>
      <w:tr>
        <w:trPr>
          <w:trHeight w:val="148"/>
        </w:trPr>
        <w:tc>
          <w:tcPr>
            <w:tcW w:w="39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BCP Bolivia</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25,575</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(39,583)</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(20,753)</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-47.6%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65,021</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(53,507)</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8"/>
        </w:trPr>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Microfinance</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394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Mibanco </w:t>
            </w:r>
            <w:r>
              <w:rPr>
                <w:rFonts w:ascii="Times New Roman" w:cs="Times New Roman" w:eastAsia="Times New Roman" w:hAnsi="Times New Roman"/>
                <w:sz w:val="21"/>
                <w:szCs w:val="21"/>
                <w:color w:val="auto"/>
                <w:vertAlign w:val="superscript"/>
              </w:rPr>
              <w:t>(1)</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95,137</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(271,439)</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(154,812)</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-43.0%</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291,654</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(392,925)</w:t>
            </w:r>
          </w:p>
        </w:tc>
        <w:tc>
          <w:tcPr>
            <w:tcW w:w="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n.a.</w:t>
            </w:r>
          </w:p>
        </w:tc>
      </w:tr>
      <w:tr>
        <w:trPr>
          <w:trHeight w:val="148"/>
        </w:trPr>
        <w:tc>
          <w:tcPr>
            <w:tcW w:w="3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Bancompartir S.A</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(12,932)</w:t>
            </w:r>
          </w:p>
        </w:tc>
        <w:tc>
          <w:tcPr>
            <w:tcW w:w="8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(66,814)</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416.7%</w:t>
            </w:r>
          </w:p>
        </w:tc>
        <w:tc>
          <w:tcPr>
            <w:tcW w:w="20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(83,158)</w:t>
            </w:r>
          </w:p>
        </w:tc>
        <w:tc>
          <w:tcPr>
            <w:tcW w:w="80" w:type="dxa"/>
            <w:vAlign w:val="bottom"/>
          </w:tcPr>
          <w:p>
            <w:pPr>
              <w:spacing w:after="0"/>
              <w:rPr>
                <w:sz w:val="12"/>
                <w:szCs w:val="12"/>
                <w:color w:val="auto"/>
              </w:rPr>
            </w:pP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8"/>
        </w:trPr>
        <w:tc>
          <w:tcPr>
            <w:tcW w:w="39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Encumbra</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(1,164)</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(1,569)</w:t>
            </w:r>
          </w:p>
        </w:tc>
        <w:tc>
          <w:tcPr>
            <w:tcW w:w="9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34.8%</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3,940</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(1,686)</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9"/>
        </w:trPr>
        <w:tc>
          <w:tcPr>
            <w:tcW w:w="3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Insurance and Pensions</w:t>
            </w: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9"/>
        </w:trPr>
        <w:tc>
          <w:tcPr>
            <w:tcW w:w="3940" w:type="dxa"/>
            <w:vAlign w:val="bottom"/>
            <w:gridSpan w:val="2"/>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Grupo Pacifico </w:t>
            </w:r>
            <w:r>
              <w:rPr>
                <w:rFonts w:ascii="Times New Roman" w:cs="Times New Roman" w:eastAsia="Times New Roman" w:hAnsi="Times New Roman"/>
                <w:sz w:val="21"/>
                <w:szCs w:val="21"/>
                <w:color w:val="auto"/>
                <w:vertAlign w:val="superscript"/>
              </w:rPr>
              <w:t>(2)</w:t>
            </w: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88,949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99,686</w:t>
            </w: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(14,545)</w:t>
            </w:r>
          </w:p>
        </w:tc>
        <w:tc>
          <w:tcPr>
            <w:tcW w:w="110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263,239</w:t>
            </w:r>
          </w:p>
        </w:tc>
        <w:tc>
          <w:tcPr>
            <w:tcW w:w="8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183,802</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w:t>
            </w:r>
          </w:p>
        </w:tc>
      </w:tr>
      <w:tr>
        <w:trPr>
          <w:trHeight w:val="149"/>
        </w:trPr>
        <w:tc>
          <w:tcPr>
            <w:tcW w:w="3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Prima AFP</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42,394</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51,232</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38,037</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25.8%</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149,761</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85,190</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Investment Banking and Wealth Management</w:t>
            </w: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94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Credicorp Capital</w:t>
            </w: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13,010</w:t>
            </w:r>
          </w:p>
        </w:tc>
        <w:tc>
          <w:tcPr>
            <w:tcW w:w="8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15,616</w:t>
            </w: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26,782</w:t>
            </w:r>
          </w:p>
        </w:tc>
        <w:tc>
          <w:tcPr>
            <w:tcW w:w="9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9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39,252</w:t>
            </w:r>
          </w:p>
        </w:tc>
        <w:tc>
          <w:tcPr>
            <w:tcW w:w="8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42,757</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8.9%</w:t>
            </w:r>
          </w:p>
        </w:tc>
      </w:tr>
      <w:tr>
        <w:trPr>
          <w:trHeight w:val="148"/>
        </w:trPr>
        <w:tc>
          <w:tcPr>
            <w:tcW w:w="394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Atlantic Security Bank</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43,376</w:t>
            </w:r>
          </w:p>
        </w:tc>
        <w:tc>
          <w:tcPr>
            <w:tcW w:w="8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127,105</w:t>
            </w:r>
          </w:p>
        </w:tc>
        <w:tc>
          <w:tcPr>
            <w:tcW w:w="8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(60,949)</w:t>
            </w:r>
          </w:p>
        </w:tc>
        <w:tc>
          <w:tcPr>
            <w:tcW w:w="1100" w:type="dxa"/>
            <w:vAlign w:val="bottom"/>
            <w:gridSpan w:val="3"/>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143,716</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65,644</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r>
      <w:tr>
        <w:trPr>
          <w:trHeight w:val="189"/>
        </w:trPr>
        <w:tc>
          <w:tcPr>
            <w:tcW w:w="39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Others </w:t>
            </w:r>
            <w:r>
              <w:rPr>
                <w:rFonts w:ascii="Times New Roman" w:cs="Times New Roman" w:eastAsia="Times New Roman" w:hAnsi="Times New Roman"/>
                <w:sz w:val="21"/>
                <w:szCs w:val="21"/>
                <w:b w:val="1"/>
                <w:bCs w:val="1"/>
                <w:color w:val="auto"/>
                <w:vertAlign w:val="superscript"/>
              </w:rPr>
              <w:t>(3)</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(47,682)</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(60,507)</w:t>
            </w: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(62,541)</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-3.4%</w:t>
            </w:r>
          </w:p>
        </w:tc>
        <w:tc>
          <w:tcPr>
            <w:tcW w:w="200" w:type="dxa"/>
            <w:vAlign w:val="bottom"/>
          </w:tcPr>
          <w:p>
            <w:pPr>
              <w:spacing w:after="0"/>
              <w:rPr>
                <w:sz w:val="16"/>
                <w:szCs w:val="16"/>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-31.2%</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(101,880)</w:t>
            </w:r>
          </w:p>
        </w:tc>
        <w:tc>
          <w:tcPr>
            <w:tcW w:w="80" w:type="dxa"/>
            <w:vAlign w:val="bottom"/>
          </w:tcPr>
          <w:p>
            <w:pPr>
              <w:spacing w:after="0"/>
              <w:rPr>
                <w:sz w:val="16"/>
                <w:szCs w:val="16"/>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(188,196)</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84.7%</w:t>
            </w:r>
          </w:p>
        </w:tc>
      </w:tr>
      <w:tr>
        <w:trPr>
          <w:trHeight w:val="148"/>
        </w:trPr>
        <w:tc>
          <w:tcPr>
            <w:tcW w:w="3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attributed to Credicorp</w:t>
            </w:r>
          </w:p>
        </w:tc>
        <w:tc>
          <w:tcPr>
            <w:tcW w:w="9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1,093,034</w:t>
            </w:r>
          </w:p>
        </w:tc>
        <w:tc>
          <w:tcPr>
            <w:tcW w:w="8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(620,390)</w:t>
            </w: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104,606</w:t>
            </w:r>
          </w:p>
        </w:tc>
        <w:tc>
          <w:tcPr>
            <w:tcW w:w="1100" w:type="dxa"/>
            <w:vAlign w:val="bottom"/>
            <w:gridSpan w:val="3"/>
            <w:shd w:val="clear" w:color="auto" w:fill="CCEEFF"/>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-90.4%</w:t>
            </w: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3,292,474</w:t>
            </w: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(306,510)</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*Contributions to Credicorp reflect the eliminations for consolidation purposes (e.g. eliminations for transactions among Credicorp’s subsidiaries or between Credicorp and its subsidiaries).</w:t>
      </w:r>
    </w:p>
    <w:p>
      <w:pPr>
        <w:ind w:left="200" w:hanging="192"/>
        <w:spacing w:after="0" w:line="226"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figure is lower than the net income of Mibanco because Credicorp owns 99.921% of Mibanco (directly and indirectly).</w:t>
      </w:r>
    </w:p>
    <w:p>
      <w:pPr>
        <w:ind w:left="200" w:hanging="192"/>
        <w:spacing w:after="0" w:line="221" w:lineRule="auto"/>
        <w:tabs>
          <w:tab w:leader="none" w:pos="20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contribution is higher than Grupo Pacifico’s net income because Credicorp owns 65.20% directly, and 33.59% through Grupo Credito.</w:t>
      </w:r>
    </w:p>
    <w:p>
      <w:pPr>
        <w:ind w:left="220" w:hanging="212"/>
        <w:spacing w:after="0"/>
        <w:tabs>
          <w:tab w:leader="none" w:pos="2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Grupo Credito excluding Prima (Servicorp and Emisiones BCP Latam), others of Atlantic Security Holding Corporation and others of Credicorp Ltd.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0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8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ROAE</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3Q19</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2Q20</w:t>
            </w:r>
          </w:p>
        </w:tc>
        <w:tc>
          <w:tcPr>
            <w:tcW w:w="12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3Q20</w:t>
            </w:r>
          </w:p>
        </w:tc>
        <w:tc>
          <w:tcPr>
            <w:tcW w:w="300" w:type="dxa"/>
            <w:vAlign w:val="bottom"/>
          </w:tcPr>
          <w:p>
            <w:pPr>
              <w:spacing w:after="0"/>
              <w:rPr>
                <w:sz w:val="19"/>
                <w:szCs w:val="19"/>
                <w:color w:val="auto"/>
              </w:rPr>
            </w:pPr>
          </w:p>
        </w:tc>
        <w:tc>
          <w:tcPr>
            <w:tcW w:w="16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0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180" w:type="dxa"/>
            <w:vAlign w:val="bottom"/>
          </w:tcPr>
          <w:p>
            <w:pPr>
              <w:spacing w:after="0"/>
              <w:rPr>
                <w:sz w:val="19"/>
                <w:szCs w:val="19"/>
                <w:color w:val="auto"/>
              </w:rPr>
            </w:pPr>
          </w:p>
        </w:tc>
      </w:tr>
      <w:tr>
        <w:trPr>
          <w:trHeight w:val="210"/>
        </w:trPr>
        <w:tc>
          <w:tcPr>
            <w:tcW w:w="37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Universal Banking</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BCP Stand-alone</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BCP Bolivia</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-12.0%</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Microfinance</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7"/>
        </w:trPr>
        <w:tc>
          <w:tcPr>
            <w:tcW w:w="38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Mibanco </w:t>
            </w:r>
            <w:r>
              <w:rPr>
                <w:rFonts w:ascii="Times New Roman" w:cs="Times New Roman" w:eastAsia="Times New Roman" w:hAnsi="Times New Roman"/>
                <w:sz w:val="29"/>
                <w:szCs w:val="29"/>
                <w:color w:val="auto"/>
                <w:vertAlign w:val="superscript"/>
              </w:rPr>
              <w:t>(1)</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18.7%</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Bancompartir</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-319.9%</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-112.2%</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Encumbra</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-11.2%</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Insurance and Pensions</w:t>
            </w: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56"/>
        </w:trPr>
        <w:tc>
          <w:tcPr>
            <w:tcW w:w="3860" w:type="dxa"/>
            <w:vAlign w:val="bottom"/>
            <w:gridSpan w:val="2"/>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Grupo Pacifico </w:t>
            </w:r>
            <w:r>
              <w:rPr>
                <w:rFonts w:ascii="Times New Roman" w:cs="Times New Roman" w:eastAsia="Times New Roman" w:hAnsi="Times New Roman"/>
                <w:sz w:val="29"/>
                <w:szCs w:val="29"/>
                <w:color w:val="auto"/>
                <w:vertAlign w:val="superscript"/>
              </w:rPr>
              <w:t>(2)</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11.7%</w:t>
            </w:r>
          </w:p>
        </w:tc>
        <w:tc>
          <w:tcPr>
            <w:tcW w:w="20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w:t>
            </w: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Prima</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35.8%</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 Banking and Wealth Management</w:t>
            </w: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38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Credicorp Capital</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38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Atlantic Security Bank</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73.5%</w:t>
            </w: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w:t>
            </w: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Credicorp</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w:t>
            </w:r>
          </w:p>
        </w:tc>
        <w:tc>
          <w:tcPr>
            <w:tcW w:w="20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r>
    </w:tbl>
    <w:p>
      <w:pPr>
        <w:spacing w:after="0" w:line="175" w:lineRule="exact"/>
        <w:rPr>
          <w:sz w:val="20"/>
          <w:szCs w:val="20"/>
          <w:color w:val="auto"/>
        </w:rPr>
      </w:pPr>
    </w:p>
    <w:p>
      <w:pPr>
        <w:ind w:firstLine="8"/>
        <w:spacing w:after="0" w:line="261" w:lineRule="auto"/>
        <w:tabs>
          <w:tab w:leader="none" w:pos="27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ROAE including goodwill of BCP from the acquisition of Edyficar (Approximately US$ 50.7 million) was 17.49% in 3Q19, -52.24% in 2Q20 and -33.18% in 3Q20. YTD was 18.43% for September 2019 and -26.43% for September 2020.</w:t>
      </w:r>
    </w:p>
    <w:p>
      <w:pPr>
        <w:jc w:val="both"/>
        <w:ind w:firstLine="8"/>
        <w:spacing w:after="0" w:line="255" w:lineRule="auto"/>
        <w:tabs>
          <w:tab w:leader="none" w:pos="25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Figures include unrealized gains or losses that are considered in Pacifico’s Net Equity from the investment portfolio of Pacifico Vida. ROAE excluding such unrealized gains was 16.28% in 3Q19, 16.74% in 2Q20 and -2.5% in 3Q20."" YTD was 15.73% for September 2019 and 10.25% for September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3Q20, Credicorp registered a net income of S/ 104.6 million, which translated into a ROAE of 1.8%.</w:t>
      </w:r>
    </w:p>
    <w:p>
      <w:pPr>
        <w:spacing w:after="0" w:line="225"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This quarter, Credicorp recorded multiple non-recurring events, which are detailed in this report and Annex 11.12. These non-recurring events impacted Credicorp’s 3Q20 results by S/ 184.8 million, after taxes. If we exclude non-recurring events, Credicorp’s adjusted 3Q20 net income was S/ 289.4 million, which represented an improvement compared to the adjusted loss of S/ -447.3 million registered in 2Q20. In this context, Credicorp’s adjusted 3Q20 ROAE was situated at 4.9%, which topped the –7.7% registered in 2Q20.</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ind w:left="460" w:hanging="452"/>
        <w:spacing w:after="0"/>
        <w:tabs>
          <w:tab w:leader="none" w:pos="4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Interest-earning assets (IEA)</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At the end of September 2020, IEAs registered growth of +5.9% QoQ and +28.4% YoY. This expansion was mainly attributable to growth in the loan and investment portfolios. Loans reported expansion of +4.5% QoQ and +19.6% YoY in average daily balances. This was attributable to an increase in the share of loans contributed by Retail banking via the SME-Business and SME segments, which received an influx of loan disbursements through the government program “Reactiva Peru”. If we exclude the effect generated by government programs (Reactiva Perú y FAE-Mype), loans in the Structural Portfolio fell -5.4% QoQ and increased +1.9% YoY measured in average daily balances.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20,004,002</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29,425,115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28,219,512</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Interbank funds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254,175</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2,031</w:t>
            </w:r>
          </w:p>
        </w:tc>
        <w:tc>
          <w:tcPr>
            <w:tcW w:w="8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w:t>
            </w:r>
          </w:p>
        </w:tc>
        <w:tc>
          <w:tcPr>
            <w:tcW w:w="3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33,956,227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41,637,044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51,648,986</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52.1%</w:t>
            </w: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Cash collateral, reverse repurchase agreements and</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borrowing</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3,903,051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2,920,789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2,821,116</w:t>
            </w:r>
          </w:p>
        </w:tc>
        <w:tc>
          <w:tcPr>
            <w:tcW w:w="820" w:type="dxa"/>
            <w:vAlign w:val="bottom"/>
          </w:tcPr>
          <w:p>
            <w:pPr>
              <w:spacing w:after="0"/>
              <w:rPr>
                <w:sz w:val="20"/>
                <w:szCs w:val="20"/>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w:t>
            </w:r>
          </w:p>
        </w:tc>
      </w:tr>
      <w:tr>
        <w:trPr>
          <w:trHeight w:val="198"/>
        </w:trPr>
        <w:tc>
          <w:tcPr>
            <w:tcW w:w="396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Financial assets designated at fair value through</w:t>
            </w:r>
          </w:p>
        </w:tc>
        <w:tc>
          <w:tcPr>
            <w:tcW w:w="1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34"/>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profit or loss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617,387</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662,634</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729,059</w:t>
            </w:r>
          </w:p>
        </w:tc>
        <w:tc>
          <w:tcPr>
            <w:tcW w:w="8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18.1%</w:t>
            </w:r>
          </w:p>
        </w:tc>
      </w:tr>
      <w:tr>
        <w:trPr>
          <w:trHeight w:val="257"/>
        </w:trPr>
        <w:tc>
          <w:tcPr>
            <w:tcW w:w="39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Total loans </w:t>
            </w:r>
            <w:r>
              <w:rPr>
                <w:rFonts w:ascii="Times New Roman" w:cs="Times New Roman" w:eastAsia="Times New Roman" w:hAnsi="Times New Roman"/>
                <w:sz w:val="29"/>
                <w:szCs w:val="29"/>
                <w:color w:val="auto"/>
                <w:vertAlign w:val="superscript"/>
              </w:rPr>
              <w:t>(1)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112,209,990</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132,741,720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136,148,711</w:t>
            </w:r>
          </w:p>
        </w:tc>
        <w:tc>
          <w:tcPr>
            <w:tcW w:w="820" w:type="dxa"/>
            <w:vAlign w:val="bottom"/>
          </w:tcPr>
          <w:p>
            <w:pPr>
              <w:spacing w:after="0"/>
              <w:rPr>
                <w:sz w:val="22"/>
                <w:szCs w:val="22"/>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170,944,832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207,392,705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219,569,415</w:t>
            </w:r>
          </w:p>
        </w:tc>
        <w:tc>
          <w:tcPr>
            <w:tcW w:w="8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differ from previously reported, please consider the data presented on this report.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2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0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r>
      <w:tr>
        <w:trPr>
          <w:trHeight w:val="223"/>
        </w:trPr>
        <w:tc>
          <w:tcPr>
            <w:tcW w:w="3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2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through profit or loss investments</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3,808,137</w:t>
            </w: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5,118,994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6,658,680</w:t>
            </w: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30.1%</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74.9%</w:t>
            </w:r>
          </w:p>
        </w:tc>
      </w:tr>
      <w:tr>
        <w:trPr>
          <w:trHeight w:val="198"/>
        </w:trPr>
        <w:tc>
          <w:tcPr>
            <w:tcW w:w="39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Fair value through other comprehensive income</w:t>
            </w: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26,794,192</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32,213,665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40,712,831</w:t>
            </w:r>
          </w:p>
        </w:tc>
        <w:tc>
          <w:tcPr>
            <w:tcW w:w="86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w:t>
            </w:r>
          </w:p>
        </w:tc>
        <w:tc>
          <w:tcPr>
            <w:tcW w:w="34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51.9%</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Amortized cost investments</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3,353,898</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4,304,385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4,277,475</w:t>
            </w:r>
          </w:p>
        </w:tc>
        <w:tc>
          <w:tcPr>
            <w:tcW w:w="8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27.5%</w:t>
            </w:r>
          </w:p>
        </w:tc>
      </w:tr>
      <w:tr>
        <w:trPr>
          <w:trHeight w:val="238"/>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33,956,227</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41,637,044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51,648,986</w:t>
            </w:r>
          </w:p>
        </w:tc>
        <w:tc>
          <w:tcPr>
            <w:tcW w:w="86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24.0%</w:t>
            </w:r>
          </w:p>
        </w:tc>
        <w:tc>
          <w:tcPr>
            <w:tcW w:w="340" w:type="dxa"/>
            <w:vAlign w:val="bottom"/>
          </w:tcPr>
          <w:p>
            <w:pPr>
              <w:spacing w:after="0"/>
              <w:rPr>
                <w:sz w:val="20"/>
                <w:szCs w:val="20"/>
                <w:color w:val="auto"/>
              </w:rPr>
            </w:pPr>
          </w:p>
        </w:tc>
        <w:tc>
          <w:tcPr>
            <w:tcW w:w="1080" w:type="dxa"/>
            <w:vAlign w:val="bottom"/>
            <w:gridSpan w:val="2"/>
          </w:tcPr>
          <w:p>
            <w:pPr>
              <w:ind w:left="580"/>
              <w:spacing w:after="0"/>
              <w:rPr>
                <w:sz w:val="20"/>
                <w:szCs w:val="20"/>
                <w:color w:val="auto"/>
              </w:rPr>
            </w:pPr>
            <w:r>
              <w:rPr>
                <w:rFonts w:ascii="Times New Roman" w:cs="Times New Roman" w:eastAsia="Times New Roman" w:hAnsi="Times New Roman"/>
                <w:sz w:val="18"/>
                <w:szCs w:val="18"/>
                <w:b w:val="1"/>
                <w:bCs w:val="1"/>
                <w:color w:val="auto"/>
                <w:w w:val="96"/>
              </w:rPr>
              <w:t>52.1%</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Evolution of IEA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loans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loans, measured in quarter-end balances, grew +2.6% QoQ, driven primarily by Reactiva loans through BCP Stand-alone and Mibanco. If we exclude loans disbursed through government programs (Reactiva Perú and FAE-Mype), loans in the “Structural Portfolio” fell -5.0% QoQ.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quarterly evolution of the portfolio was primarily driven by variations in loan balances at BCP Stand-alone (+1.4% QoQ) and Mibanco (+12.8% QoQ):</w:t>
      </w:r>
    </w:p>
    <w:p>
      <w:pPr>
        <w:spacing w:after="0" w:line="225" w:lineRule="exact"/>
        <w:rPr>
          <w:sz w:val="20"/>
          <w:szCs w:val="20"/>
          <w:color w:val="auto"/>
        </w:rPr>
      </w:pPr>
    </w:p>
    <w:p>
      <w:pPr>
        <w:jc w:val="both"/>
        <w:ind w:left="880" w:hanging="494"/>
        <w:spacing w:after="0" w:line="266" w:lineRule="auto"/>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growth registered in the loan portfolio was attributable to Retail Banking at BCP Stand-alone. This increase was driven mainly by loans disbursed through the Reactiva Peru program in the SME segment and, to a lesser extent, through the SME-Business segment. BCP was awarded with an important share of total loans granted through Reactiva Peru.</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Mibanco’s portfolio also reported a significant increase in loan disbursements after increasing its participation in phase 2 of the Reactiva Program, whose design facilitated outreach to microbusinesses and the informal sector. Mibanco also participated in the FAE-Mype program, and was awarded a large share of the total loans granted. The quarterly evolution is also attributable to the exchange rate effect on the FC loan portfolio after the US dollar appreciated 1.7% YoY. If we exclude the exchange rate effect, total loans grew 2.0% QoQ in real terms for the total portfolio but fell -5.6% for the structural portfolio.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YoY, loans measured in quarter-end balances increased +21.3%, driven mainly by the participation of BCP Stand-alone and Mibanco in Reactiva Peru. If we exclude the loans disbursed through the Governments’ program (Reactiva Perú and FAE-Mype), loans in the “Structural Portfolio” fell -0.3% YoY measured in quarter-end balances. YoY expansion was attributable to growth in loan balances at BCP Individual (+21.9% YoY) and Mibanco (+17.4% YoY):</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ind w:left="880" w:right="20" w:hanging="494"/>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the Retail Banking portfolio at BCP Stand-alone was led, in order, by the SME and SME-Business segments, which reported an increase in disbursements for working capital in LC through the Reactiva Peru program.</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1"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expansion in the Wholesale Banking portfolio at BCP Stand-alone was led, in order of contribution to total growth by Middle Market Banking loans, in line with an increase in disbursements in LC through Reactiva Peru, followed by Corporate Banking loans, which balances increased due to an uptick in the demand for working capital and medium-term, fixed rate financings in LC and FC at the end of 2019 (period of low interest rates); and lastly, by an increase in companies’ use of credit lines to protect liquidity during the pandemic.</w:t>
      </w:r>
    </w:p>
    <w:p>
      <w:pPr>
        <w:spacing w:after="0" w:line="179"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Mibanco’s portfolio (+17.4% YoY), where growth in quarter-end balances was driven mainly by the Reactiva Peru and FAE-Mype programs.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YoY growth in loans was also attributable to the impact of the exchange rate effect on the FC portfolio, which was driven by a 6.3% YoY increase in the value of the dollar. If we exclude the exchange rate effect, total loans grew 19.0% YoY in real terms for the total portfolio but fell -2.7% YoY for the structural portfolio. At the end of September 2020, FC loans represented 32.7% of total loans, versus 38.7% in 3Q19. This decrease was attributable to an increase in disbursements in LC through government programs and to a drop in FC loans in the Wholesale Portfolio.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investments increased +24.0% QoQ and +52.1% YoY, which was attributable to growth in the fair value through other comprehensive income portfolio at BCP Stand-alone. This expansion was driven by an uptick in purchases of low-risk profitable assets in a context of higher liquidity. Credicorp is currently optimizing its mix of earning assets to increase the profitability of liquid assets and is seeking investment opportunities through the sovereign curve to boost our portfolio returns.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IEA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Available funds increased 41.1% YoY due to excess liquidity, which was generated by Government loans. Most of this fresh capital was deposited in bank accounts, primarily at BCP, and subsequently used to cover payments to suppliers, payroll and other working capital needs. Available funds fell -4.1% QoQ, spurred by an increase in purchases of low-risk profitable assets as explained in the Investment section.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Non-Interest-Earning Assets</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Regarding Non-interest-earning Assets, there was an adjustment to Bancompartir´s Goodwill this quarter for S/ 64MM. It is important that note that we acquired this business prior to crisis and as such, the current estimated value has varied from our initial projections. Nonetheless, we still see significant potential value down the road, which can be leveraged through credit risk management, and an improvement in efficiency and productivity.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Credicorp Loans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1.2.1. Loan evolution by business segment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Next, we will discuss the composition of loans by subsidiary and business segment measured in average daily balances. These balances provide the most complete picture of how loan interest, which constitutes Credicorp’s primary source of income, has evolved. Additionally, average daily balances reflect trends or variations to a different degree than quarter-end balances which may include pre-payments or loans made at the end of the quarter. In comparative terms, these payments, affect average daily balances less than quarter-end balances and as such, the former provide a more balanced picture of loan evolution.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Average daily loan balances increased +4.5% QoQ and +19.6% YoY, which was mainly attributable to an increase in balances in the SME-Business and SME segment in Retail Banking at BCP Stand-alone after BCP took on a vast portion of the loans offered through the Reactiva Peru program. If we exclude loans linked to the Government’s financial relief programs, loans in the “Structural Portfolio” fell -5.4% QoQ but grew 1.9% YoY. QoQ and YoY growth in loan balances was concentrated in local currency given that loans through government programs are made in Soles.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Loan evolution measured in average daily balances by segment </w:t>
      </w:r>
      <w:r>
        <w:rPr>
          <w:rFonts w:ascii="Times New Roman" w:cs="Times New Roman" w:eastAsia="Times New Roman" w:hAnsi="Times New Roman"/>
          <w:sz w:val="29"/>
          <w:szCs w:val="29"/>
          <w:b w:val="1"/>
          <w:bCs w:val="1"/>
          <w:color w:val="auto"/>
          <w:vertAlign w:val="superscript"/>
        </w:rPr>
        <w:t>(1)(2)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2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w w:val="98"/>
              </w:rPr>
              <w:t>TOTAL LOANS</w:t>
            </w: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42"/>
        </w:trPr>
        <w:tc>
          <w:tcPr>
            <w:tcW w:w="2240" w:type="dxa"/>
            <w:vAlign w:val="bottom"/>
          </w:tcPr>
          <w:p>
            <w:pPr>
              <w:spacing w:after="0"/>
              <w:rPr>
                <w:sz w:val="12"/>
                <w:szCs w:val="12"/>
                <w:color w:val="auto"/>
              </w:rPr>
            </w:pPr>
          </w:p>
        </w:tc>
        <w:tc>
          <w:tcPr>
            <w:tcW w:w="2180" w:type="dxa"/>
            <w:vAlign w:val="bottom"/>
            <w:gridSpan w:val="7"/>
          </w:tcPr>
          <w:p>
            <w:pPr>
              <w:ind w:left="360"/>
              <w:spacing w:after="0" w:line="142" w:lineRule="exact"/>
              <w:rPr>
                <w:sz w:val="20"/>
                <w:szCs w:val="20"/>
                <w:color w:val="auto"/>
              </w:rPr>
            </w:pPr>
            <w:r>
              <w:rPr>
                <w:rFonts w:ascii="Times New Roman" w:cs="Times New Roman" w:eastAsia="Times New Roman" w:hAnsi="Times New Roman"/>
                <w:sz w:val="13"/>
                <w:szCs w:val="13"/>
                <w:b w:val="1"/>
                <w:bCs w:val="1"/>
                <w:i w:val="1"/>
                <w:iCs w:val="1"/>
                <w:color w:val="auto"/>
              </w:rPr>
              <w:t>Expressed in million S/</w:t>
            </w:r>
          </w:p>
        </w:tc>
        <w:tc>
          <w:tcPr>
            <w:tcW w:w="1200" w:type="dxa"/>
            <w:vAlign w:val="bottom"/>
            <w:gridSpan w:val="3"/>
          </w:tcPr>
          <w:p>
            <w:pPr>
              <w:jc w:val="right"/>
              <w:ind w:right="297"/>
              <w:spacing w:after="0" w:line="142" w:lineRule="exact"/>
              <w:rPr>
                <w:sz w:val="20"/>
                <w:szCs w:val="20"/>
                <w:color w:val="auto"/>
              </w:rPr>
            </w:pPr>
            <w:r>
              <w:rPr>
                <w:rFonts w:ascii="Times New Roman" w:cs="Times New Roman" w:eastAsia="Times New Roman" w:hAnsi="Times New Roman"/>
                <w:sz w:val="13"/>
                <w:szCs w:val="13"/>
                <w:b w:val="1"/>
                <w:bCs w:val="1"/>
                <w:color w:val="auto"/>
              </w:rPr>
              <w:t>Structural</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6"/>
          </w:tcPr>
          <w:p>
            <w:pPr>
              <w:ind w:left="180"/>
              <w:spacing w:after="0" w:line="142" w:lineRule="exact"/>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2"/>
                <w:szCs w:val="12"/>
                <w:color w:val="auto"/>
              </w:rPr>
            </w:pPr>
          </w:p>
        </w:tc>
        <w:tc>
          <w:tcPr>
            <w:tcW w:w="1140" w:type="dxa"/>
            <w:vAlign w:val="bottom"/>
            <w:gridSpan w:val="4"/>
          </w:tcPr>
          <w:p>
            <w:pPr>
              <w:jc w:val="right"/>
              <w:ind w:right="400"/>
              <w:spacing w:after="0" w:line="142" w:lineRule="exact"/>
              <w:rPr>
                <w:sz w:val="20"/>
                <w:szCs w:val="20"/>
                <w:color w:val="auto"/>
              </w:rPr>
            </w:pPr>
            <w:r>
              <w:rPr>
                <w:rFonts w:ascii="Times New Roman" w:cs="Times New Roman" w:eastAsia="Times New Roman" w:hAnsi="Times New Roman"/>
                <w:sz w:val="13"/>
                <w:szCs w:val="13"/>
                <w:b w:val="1"/>
                <w:bCs w:val="1"/>
                <w:color w:val="auto"/>
              </w:rPr>
              <w:t>Structural</w:t>
            </w:r>
          </w:p>
        </w:tc>
        <w:tc>
          <w:tcPr>
            <w:tcW w:w="100" w:type="dxa"/>
            <w:vAlign w:val="bottom"/>
          </w:tcPr>
          <w:p>
            <w:pPr>
              <w:spacing w:after="0"/>
              <w:rPr>
                <w:sz w:val="12"/>
                <w:szCs w:val="12"/>
                <w:color w:val="auto"/>
              </w:rPr>
            </w:pPr>
          </w:p>
        </w:tc>
        <w:tc>
          <w:tcPr>
            <w:tcW w:w="1980" w:type="dxa"/>
            <w:vAlign w:val="bottom"/>
            <w:gridSpan w:val="6"/>
          </w:tcPr>
          <w:p>
            <w:pPr>
              <w:jc w:val="center"/>
              <w:ind w:right="1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 Part. in total loans</w:t>
            </w:r>
          </w:p>
        </w:tc>
        <w:tc>
          <w:tcPr>
            <w:tcW w:w="740" w:type="dxa"/>
            <w:vAlign w:val="bottom"/>
            <w:gridSpan w:val="3"/>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Structural</w:t>
            </w:r>
          </w:p>
        </w:tc>
      </w:tr>
      <w:tr>
        <w:trPr>
          <w:trHeight w:val="142"/>
        </w:trPr>
        <w:tc>
          <w:tcPr>
            <w:tcW w:w="224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20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18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2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2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2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gridSpan w:val="2"/>
          </w:tcPr>
          <w:p>
            <w:pPr>
              <w:spacing w:after="0"/>
              <w:rPr>
                <w:sz w:val="12"/>
                <w:szCs w:val="12"/>
                <w:color w:val="auto"/>
              </w:rPr>
            </w:pPr>
          </w:p>
        </w:tc>
        <w:tc>
          <w:tcPr>
            <w:tcW w:w="420" w:type="dxa"/>
            <w:vAlign w:val="bottom"/>
            <w:tcBorders>
              <w:top w:val="single" w:sz="8" w:color="auto"/>
              <w:bottom w:val="single" w:sz="8" w:color="auto"/>
            </w:tcBorders>
            <w:gridSpan w:val="2"/>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26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ind w:left="80"/>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4"/>
              </w:rPr>
              <w:t>2Q20</w:t>
            </w:r>
          </w:p>
        </w:tc>
        <w:tc>
          <w:tcPr>
            <w:tcW w:w="240" w:type="dxa"/>
            <w:vAlign w:val="bottom"/>
            <w:tcBorders>
              <w:top w:val="single" w:sz="8" w:color="auto"/>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20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140" w:type="dxa"/>
            <w:vAlign w:val="bottom"/>
            <w:tcBorders>
              <w:bottom w:val="single" w:sz="8" w:color="CCEEFF"/>
            </w:tcBorders>
          </w:tcPr>
          <w:p>
            <w:pPr>
              <w:spacing w:after="0"/>
              <w:rPr>
                <w:sz w:val="12"/>
                <w:szCs w:val="12"/>
                <w:color w:val="auto"/>
              </w:rPr>
            </w:pPr>
          </w:p>
        </w:tc>
      </w:tr>
      <w:tr>
        <w:trPr>
          <w:trHeight w:val="128"/>
        </w:trPr>
        <w:tc>
          <w:tcPr>
            <w:tcW w:w="224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BCP Stand-alone</w:t>
            </w: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91,700</w:t>
            </w: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106,610</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111,385</w:t>
            </w: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99,218</w:t>
            </w: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93,444</w:t>
            </w:r>
          </w:p>
        </w:tc>
        <w:tc>
          <w:tcPr>
            <w:tcW w:w="20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4.5%</w:t>
            </w:r>
          </w:p>
        </w:tc>
        <w:tc>
          <w:tcPr>
            <w:tcW w:w="560" w:type="dxa"/>
            <w:vAlign w:val="bottom"/>
            <w:gridSpan w:val="3"/>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21.5%</w:t>
            </w: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-5.8%</w:t>
            </w:r>
          </w:p>
        </w:tc>
        <w:tc>
          <w:tcPr>
            <w:tcW w:w="56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b w:val="1"/>
                <w:bCs w:val="1"/>
                <w:color w:val="auto"/>
              </w:rPr>
              <w:t>1.9%</w:t>
            </w:r>
          </w:p>
        </w:tc>
        <w:tc>
          <w:tcPr>
            <w:tcW w:w="10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82.1%</w:t>
            </w:r>
          </w:p>
        </w:tc>
        <w:tc>
          <w:tcPr>
            <w:tcW w:w="6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83.4%</w:t>
            </w:r>
          </w:p>
        </w:tc>
        <w:tc>
          <w:tcPr>
            <w:tcW w:w="620" w:type="dxa"/>
            <w:vAlign w:val="bottom"/>
            <w:gridSpan w:val="2"/>
            <w:shd w:val="clear" w:color="auto" w:fill="CCEEFF"/>
          </w:tcPr>
          <w:p>
            <w:pPr>
              <w:jc w:val="right"/>
              <w:ind w:right="60"/>
              <w:spacing w:after="0" w:line="129" w:lineRule="exact"/>
              <w:rPr>
                <w:sz w:val="20"/>
                <w:szCs w:val="20"/>
                <w:color w:val="auto"/>
              </w:rPr>
            </w:pPr>
            <w:r>
              <w:rPr>
                <w:rFonts w:ascii="Times New Roman" w:cs="Times New Roman" w:eastAsia="Times New Roman" w:hAnsi="Times New Roman"/>
                <w:sz w:val="13"/>
                <w:szCs w:val="13"/>
                <w:b w:val="1"/>
                <w:bCs w:val="1"/>
                <w:color w:val="auto"/>
              </w:rPr>
              <w:t>83.4%</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82.1%</w:t>
            </w:r>
          </w:p>
        </w:tc>
      </w:tr>
      <w:tr>
        <w:trPr>
          <w:trHeight w:val="135"/>
        </w:trPr>
        <w:tc>
          <w:tcPr>
            <w:tcW w:w="2240" w:type="dxa"/>
            <w:vAlign w:val="bottom"/>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Wholesale Banking</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46,434</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55,940</w:t>
            </w:r>
          </w:p>
        </w:tc>
        <w:tc>
          <w:tcPr>
            <w:tcW w:w="9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54,838</w:t>
            </w:r>
          </w:p>
        </w:tc>
        <w:tc>
          <w:tcPr>
            <w:tcW w:w="6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52,628</w:t>
            </w: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48,330</w:t>
            </w:r>
          </w:p>
        </w:tc>
        <w:tc>
          <w:tcPr>
            <w:tcW w:w="6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-2.0%</w:t>
            </w:r>
          </w:p>
        </w:tc>
        <w:tc>
          <w:tcPr>
            <w:tcW w:w="56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18.1%</w:t>
            </w:r>
          </w:p>
        </w:tc>
        <w:tc>
          <w:tcPr>
            <w:tcW w:w="120" w:type="dxa"/>
            <w:vAlign w:val="bottom"/>
          </w:tcPr>
          <w:p>
            <w:pPr>
              <w:spacing w:after="0"/>
              <w:rPr>
                <w:sz w:val="11"/>
                <w:szCs w:val="11"/>
                <w:color w:val="auto"/>
              </w:rPr>
            </w:pPr>
          </w:p>
        </w:tc>
        <w:tc>
          <w:tcPr>
            <w:tcW w:w="6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-8.2%</w:t>
            </w:r>
          </w:p>
        </w:tc>
        <w:tc>
          <w:tcPr>
            <w:tcW w:w="56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4.1%</w:t>
            </w: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41.6%</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43.8%</w:t>
            </w: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41.1%</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42.5%</w:t>
            </w:r>
          </w:p>
        </w:tc>
      </w:tr>
      <w:tr>
        <w:trPr>
          <w:trHeight w:val="135"/>
        </w:trPr>
        <w:tc>
          <w:tcPr>
            <w:tcW w:w="224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Corporate</w:t>
            </w:r>
          </w:p>
        </w:tc>
        <w:tc>
          <w:tcPr>
            <w:tcW w:w="70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28,024</w:t>
            </w:r>
          </w:p>
        </w:tc>
        <w:tc>
          <w:tcPr>
            <w:tcW w:w="520" w:type="dxa"/>
            <w:vAlign w:val="bottom"/>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34,028</w:t>
            </w:r>
          </w:p>
        </w:tc>
        <w:tc>
          <w:tcPr>
            <w:tcW w:w="900" w:type="dxa"/>
            <w:vAlign w:val="bottom"/>
            <w:gridSpan w:val="3"/>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31,448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33,572</w:t>
            </w:r>
          </w:p>
        </w:tc>
        <w:tc>
          <w:tcPr>
            <w:tcW w:w="720" w:type="dxa"/>
            <w:vAlign w:val="bottom"/>
            <w:gridSpan w:val="2"/>
            <w:shd w:val="clear" w:color="auto" w:fill="CCEEFF"/>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30,626</w:t>
            </w:r>
          </w:p>
        </w:tc>
        <w:tc>
          <w:tcPr>
            <w:tcW w:w="680" w:type="dxa"/>
            <w:vAlign w:val="bottom"/>
            <w:gridSpan w:val="3"/>
            <w:shd w:val="clear" w:color="auto" w:fill="FFA279"/>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66E0DA"/>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12.2%</w:t>
            </w:r>
          </w:p>
        </w:tc>
        <w:tc>
          <w:tcPr>
            <w:tcW w:w="120" w:type="dxa"/>
            <w:vAlign w:val="bottom"/>
            <w:shd w:val="clear" w:color="auto" w:fill="66E0DA"/>
          </w:tcPr>
          <w:p>
            <w:pPr>
              <w:spacing w:after="0"/>
              <w:rPr>
                <w:sz w:val="11"/>
                <w:szCs w:val="11"/>
                <w:color w:val="auto"/>
              </w:rPr>
            </w:pPr>
          </w:p>
        </w:tc>
        <w:tc>
          <w:tcPr>
            <w:tcW w:w="100" w:type="dxa"/>
            <w:vAlign w:val="bottom"/>
            <w:shd w:val="clear" w:color="auto" w:fill="FFA279"/>
          </w:tcPr>
          <w:p>
            <w:pPr>
              <w:spacing w:after="0"/>
              <w:rPr>
                <w:sz w:val="11"/>
                <w:szCs w:val="11"/>
                <w:color w:val="auto"/>
              </w:rPr>
            </w:pPr>
          </w:p>
        </w:tc>
        <w:tc>
          <w:tcPr>
            <w:tcW w:w="580" w:type="dxa"/>
            <w:vAlign w:val="bottom"/>
            <w:gridSpan w:val="2"/>
            <w:shd w:val="clear" w:color="auto" w:fill="FFA279"/>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-8.8%</w:t>
            </w:r>
          </w:p>
        </w:tc>
        <w:tc>
          <w:tcPr>
            <w:tcW w:w="560" w:type="dxa"/>
            <w:vAlign w:val="bottom"/>
            <w:gridSpan w:val="2"/>
            <w:shd w:val="clear" w:color="auto" w:fill="66E0DA"/>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9.3%</w:t>
            </w:r>
          </w:p>
        </w:tc>
        <w:tc>
          <w:tcPr>
            <w:tcW w:w="780" w:type="dxa"/>
            <w:vAlign w:val="bottom"/>
            <w:gridSpan w:val="3"/>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25.1%</w:t>
            </w: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26.6%</w:t>
            </w:r>
          </w:p>
        </w:tc>
        <w:tc>
          <w:tcPr>
            <w:tcW w:w="620" w:type="dxa"/>
            <w:vAlign w:val="bottom"/>
            <w:gridSpan w:val="2"/>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23.5%</w:t>
            </w:r>
          </w:p>
        </w:tc>
        <w:tc>
          <w:tcPr>
            <w:tcW w:w="740" w:type="dxa"/>
            <w:vAlign w:val="bottom"/>
            <w:gridSpan w:val="3"/>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26.9%</w:t>
            </w:r>
          </w:p>
        </w:tc>
      </w:tr>
      <w:tr>
        <w:trPr>
          <w:trHeight w:val="135"/>
        </w:trPr>
        <w:tc>
          <w:tcPr>
            <w:tcW w:w="224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Middle - Market</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18,410</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21,912</w:t>
            </w:r>
          </w:p>
        </w:tc>
        <w:tc>
          <w:tcPr>
            <w:tcW w:w="9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23,389</w:t>
            </w:r>
          </w:p>
        </w:tc>
        <w:tc>
          <w:tcPr>
            <w:tcW w:w="6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19,056</w:t>
            </w: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17,704</w:t>
            </w:r>
          </w:p>
        </w:tc>
        <w:tc>
          <w:tcPr>
            <w:tcW w:w="680" w:type="dxa"/>
            <w:vAlign w:val="bottom"/>
            <w:gridSpan w:val="3"/>
            <w:shd w:val="clear" w:color="auto" w:fill="66E0DA"/>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66E0DA"/>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27.0%</w:t>
            </w:r>
          </w:p>
        </w:tc>
        <w:tc>
          <w:tcPr>
            <w:tcW w:w="120" w:type="dxa"/>
            <w:vAlign w:val="bottom"/>
            <w:shd w:val="clear" w:color="auto" w:fill="66E0DA"/>
          </w:tcPr>
          <w:p>
            <w:pPr>
              <w:spacing w:after="0"/>
              <w:rPr>
                <w:sz w:val="11"/>
                <w:szCs w:val="11"/>
                <w:color w:val="auto"/>
              </w:rPr>
            </w:pPr>
          </w:p>
        </w:tc>
        <w:tc>
          <w:tcPr>
            <w:tcW w:w="100" w:type="dxa"/>
            <w:vAlign w:val="bottom"/>
            <w:shd w:val="clear" w:color="auto" w:fill="FFA279"/>
          </w:tcPr>
          <w:p>
            <w:pPr>
              <w:spacing w:after="0"/>
              <w:rPr>
                <w:sz w:val="11"/>
                <w:szCs w:val="11"/>
                <w:color w:val="auto"/>
              </w:rPr>
            </w:pPr>
          </w:p>
        </w:tc>
        <w:tc>
          <w:tcPr>
            <w:tcW w:w="580" w:type="dxa"/>
            <w:vAlign w:val="bottom"/>
            <w:gridSpan w:val="2"/>
            <w:shd w:val="clear" w:color="auto" w:fill="FFA279"/>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-7.1%</w:t>
            </w:r>
          </w:p>
        </w:tc>
        <w:tc>
          <w:tcPr>
            <w:tcW w:w="560" w:type="dxa"/>
            <w:vAlign w:val="bottom"/>
            <w:gridSpan w:val="2"/>
            <w:shd w:val="clear" w:color="auto" w:fill="FFA279"/>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-3.8%</w:t>
            </w:r>
          </w:p>
        </w:tc>
        <w:tc>
          <w:tcPr>
            <w:tcW w:w="780" w:type="dxa"/>
            <w:vAlign w:val="bottom"/>
            <w:gridSpan w:val="3"/>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16.5%</w:t>
            </w: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17.1%</w:t>
            </w:r>
          </w:p>
        </w:tc>
        <w:tc>
          <w:tcPr>
            <w:tcW w:w="6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17.5%</w:t>
            </w:r>
          </w:p>
        </w:tc>
        <w:tc>
          <w:tcPr>
            <w:tcW w:w="740" w:type="dxa"/>
            <w:vAlign w:val="bottom"/>
            <w:gridSpan w:val="3"/>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15.6%</w:t>
            </w:r>
          </w:p>
        </w:tc>
      </w:tr>
      <w:tr>
        <w:trPr>
          <w:trHeight w:val="135"/>
        </w:trPr>
        <w:tc>
          <w:tcPr>
            <w:tcW w:w="224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Retail Banking</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45,266</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50,670</w:t>
            </w:r>
          </w:p>
        </w:tc>
        <w:tc>
          <w:tcPr>
            <w:tcW w:w="9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56,547</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46,590</w:t>
            </w: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45,113</w:t>
            </w:r>
          </w:p>
        </w:tc>
        <w:tc>
          <w:tcPr>
            <w:tcW w:w="6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11.6%</w:t>
            </w:r>
          </w:p>
        </w:tc>
        <w:tc>
          <w:tcPr>
            <w:tcW w:w="100" w:type="dxa"/>
            <w:vAlign w:val="bottom"/>
            <w:shd w:val="clear" w:color="auto" w:fill="CCEEFF"/>
          </w:tcPr>
          <w:p>
            <w:pPr>
              <w:spacing w:after="0"/>
              <w:rPr>
                <w:sz w:val="11"/>
                <w:szCs w:val="11"/>
                <w:color w:val="auto"/>
              </w:rPr>
            </w:pPr>
          </w:p>
        </w:tc>
        <w:tc>
          <w:tcPr>
            <w:tcW w:w="46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24.9%</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-3.2%</w:t>
            </w:r>
          </w:p>
        </w:tc>
        <w:tc>
          <w:tcPr>
            <w:tcW w:w="5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-0.3%</w:t>
            </w: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40.5%</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39.7%</w:t>
            </w: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42.3%</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39.7%</w:t>
            </w:r>
          </w:p>
        </w:tc>
      </w:tr>
      <w:tr>
        <w:trPr>
          <w:trHeight w:val="135"/>
        </w:trPr>
        <w:tc>
          <w:tcPr>
            <w:tcW w:w="224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SME - Business</w:t>
            </w:r>
          </w:p>
        </w:tc>
        <w:tc>
          <w:tcPr>
            <w:tcW w:w="7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5,544</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7,532</w:t>
            </w:r>
          </w:p>
        </w:tc>
        <w:tc>
          <w:tcPr>
            <w:tcW w:w="900" w:type="dxa"/>
            <w:vAlign w:val="bottom"/>
            <w:gridSpan w:val="3"/>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10,014</w:t>
            </w:r>
          </w:p>
        </w:tc>
        <w:tc>
          <w:tcPr>
            <w:tcW w:w="60" w:type="dxa"/>
            <w:vAlign w:val="bottom"/>
          </w:tcPr>
          <w:p>
            <w:pPr>
              <w:spacing w:after="0"/>
              <w:rPr>
                <w:sz w:val="11"/>
                <w:szCs w:val="11"/>
                <w:color w:val="auto"/>
              </w:rPr>
            </w:pPr>
          </w:p>
        </w:tc>
        <w:tc>
          <w:tcPr>
            <w:tcW w:w="6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5,262</w:t>
            </w:r>
          </w:p>
        </w:tc>
        <w:tc>
          <w:tcPr>
            <w:tcW w:w="7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4,574</w:t>
            </w:r>
          </w:p>
        </w:tc>
        <w:tc>
          <w:tcPr>
            <w:tcW w:w="120" w:type="dxa"/>
            <w:vAlign w:val="bottom"/>
            <w:shd w:val="clear" w:color="auto" w:fill="66E0DA"/>
          </w:tcPr>
          <w:p>
            <w:pPr>
              <w:spacing w:after="0"/>
              <w:rPr>
                <w:sz w:val="11"/>
                <w:szCs w:val="11"/>
                <w:color w:val="auto"/>
              </w:rPr>
            </w:pPr>
          </w:p>
        </w:tc>
        <w:tc>
          <w:tcPr>
            <w:tcW w:w="560" w:type="dxa"/>
            <w:vAlign w:val="bottom"/>
            <w:gridSpan w:val="2"/>
            <w:shd w:val="clear" w:color="auto" w:fill="66E0DA"/>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33.0%</w:t>
            </w:r>
          </w:p>
        </w:tc>
        <w:tc>
          <w:tcPr>
            <w:tcW w:w="560" w:type="dxa"/>
            <w:vAlign w:val="bottom"/>
            <w:gridSpan w:val="3"/>
            <w:shd w:val="clear" w:color="auto" w:fill="66E0DA"/>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80.6%</w:t>
            </w:r>
          </w:p>
        </w:tc>
        <w:tc>
          <w:tcPr>
            <w:tcW w:w="120" w:type="dxa"/>
            <w:vAlign w:val="bottom"/>
            <w:shd w:val="clear" w:color="auto" w:fill="66E0DA"/>
          </w:tcPr>
          <w:p>
            <w:pPr>
              <w:spacing w:after="0"/>
              <w:rPr>
                <w:sz w:val="11"/>
                <w:szCs w:val="11"/>
                <w:color w:val="auto"/>
              </w:rPr>
            </w:pPr>
          </w:p>
        </w:tc>
        <w:tc>
          <w:tcPr>
            <w:tcW w:w="680" w:type="dxa"/>
            <w:vAlign w:val="bottom"/>
            <w:gridSpan w:val="3"/>
            <w:shd w:val="clear" w:color="auto" w:fill="FFA279"/>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-13.1%</w:t>
            </w:r>
          </w:p>
        </w:tc>
        <w:tc>
          <w:tcPr>
            <w:tcW w:w="560" w:type="dxa"/>
            <w:vAlign w:val="bottom"/>
            <w:gridSpan w:val="2"/>
            <w:shd w:val="clear" w:color="auto" w:fill="FFA279"/>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-17.5%</w:t>
            </w:r>
          </w:p>
        </w:tc>
        <w:tc>
          <w:tcPr>
            <w:tcW w:w="7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5.0%</w:t>
            </w: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5.9%</w:t>
            </w:r>
          </w:p>
        </w:tc>
        <w:tc>
          <w:tcPr>
            <w:tcW w:w="62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7.5%</w:t>
            </w:r>
          </w:p>
        </w:tc>
        <w:tc>
          <w:tcPr>
            <w:tcW w:w="7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4.0%</w:t>
            </w:r>
          </w:p>
        </w:tc>
      </w:tr>
      <w:tr>
        <w:trPr>
          <w:trHeight w:val="135"/>
        </w:trPr>
        <w:tc>
          <w:tcPr>
            <w:tcW w:w="224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SME - Pyme</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9,851</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11,928</w:t>
            </w:r>
          </w:p>
        </w:tc>
        <w:tc>
          <w:tcPr>
            <w:tcW w:w="9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16,062</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10,118</w:t>
            </w: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10,068</w:t>
            </w:r>
          </w:p>
        </w:tc>
        <w:tc>
          <w:tcPr>
            <w:tcW w:w="120" w:type="dxa"/>
            <w:vAlign w:val="bottom"/>
            <w:shd w:val="clear" w:color="auto" w:fill="66E0DA"/>
          </w:tcPr>
          <w:p>
            <w:pPr>
              <w:spacing w:after="0"/>
              <w:rPr>
                <w:sz w:val="11"/>
                <w:szCs w:val="11"/>
                <w:color w:val="auto"/>
              </w:rPr>
            </w:pPr>
          </w:p>
        </w:tc>
        <w:tc>
          <w:tcPr>
            <w:tcW w:w="560" w:type="dxa"/>
            <w:vAlign w:val="bottom"/>
            <w:gridSpan w:val="2"/>
            <w:shd w:val="clear" w:color="auto" w:fill="66E0DA"/>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560" w:type="dxa"/>
            <w:vAlign w:val="bottom"/>
            <w:gridSpan w:val="3"/>
            <w:shd w:val="clear" w:color="auto" w:fill="66E0DA"/>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63.1%</w:t>
            </w: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-0.5%</w:t>
            </w:r>
          </w:p>
        </w:tc>
        <w:tc>
          <w:tcPr>
            <w:tcW w:w="560" w:type="dxa"/>
            <w:vAlign w:val="bottom"/>
            <w:gridSpan w:val="2"/>
            <w:shd w:val="clear" w:color="auto" w:fill="CCEEFF"/>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rPr>
              <w:t>2.2%</w:t>
            </w:r>
          </w:p>
        </w:tc>
        <w:tc>
          <w:tcPr>
            <w:tcW w:w="780" w:type="dxa"/>
            <w:vAlign w:val="bottom"/>
            <w:gridSpan w:val="3"/>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8.8%</w:t>
            </w: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9.3%</w:t>
            </w:r>
          </w:p>
        </w:tc>
        <w:tc>
          <w:tcPr>
            <w:tcW w:w="6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12.0%</w:t>
            </w:r>
          </w:p>
        </w:tc>
        <w:tc>
          <w:tcPr>
            <w:tcW w:w="740" w:type="dxa"/>
            <w:vAlign w:val="bottom"/>
            <w:gridSpan w:val="3"/>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8.9%</w:t>
            </w:r>
          </w:p>
        </w:tc>
      </w:tr>
      <w:tr>
        <w:trPr>
          <w:trHeight w:val="117"/>
        </w:trPr>
        <w:tc>
          <w:tcPr>
            <w:tcW w:w="224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Mortgage</w:t>
            </w:r>
          </w:p>
        </w:tc>
        <w:tc>
          <w:tcPr>
            <w:tcW w:w="70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16,095</w:t>
            </w:r>
          </w:p>
        </w:tc>
        <w:tc>
          <w:tcPr>
            <w:tcW w:w="52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16,939</w:t>
            </w:r>
          </w:p>
        </w:tc>
        <w:tc>
          <w:tcPr>
            <w:tcW w:w="900" w:type="dxa"/>
            <w:vAlign w:val="bottom"/>
            <w:gridSpan w:val="3"/>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16,816</w:t>
            </w:r>
          </w:p>
        </w:tc>
        <w:tc>
          <w:tcPr>
            <w:tcW w:w="60" w:type="dxa"/>
            <w:vAlign w:val="bottom"/>
          </w:tcPr>
          <w:p>
            <w:pPr>
              <w:spacing w:after="0"/>
              <w:rPr>
                <w:sz w:val="10"/>
                <w:szCs w:val="10"/>
                <w:color w:val="auto"/>
              </w:rPr>
            </w:pPr>
          </w:p>
        </w:tc>
        <w:tc>
          <w:tcPr>
            <w:tcW w:w="680" w:type="dxa"/>
            <w:vAlign w:val="bottom"/>
            <w:gridSpan w:val="2"/>
          </w:tcPr>
          <w:p>
            <w:pPr>
              <w:jc w:val="right"/>
              <w:ind w:right="220"/>
              <w:spacing w:after="0" w:line="117" w:lineRule="exact"/>
              <w:rPr>
                <w:sz w:val="20"/>
                <w:szCs w:val="20"/>
                <w:color w:val="auto"/>
              </w:rPr>
            </w:pPr>
            <w:r>
              <w:rPr>
                <w:rFonts w:ascii="Times New Roman" w:cs="Times New Roman" w:eastAsia="Times New Roman" w:hAnsi="Times New Roman"/>
                <w:sz w:val="13"/>
                <w:szCs w:val="13"/>
                <w:color w:val="auto"/>
              </w:rPr>
              <w:t>16,939</w:t>
            </w:r>
          </w:p>
        </w:tc>
        <w:tc>
          <w:tcPr>
            <w:tcW w:w="720" w:type="dxa"/>
            <w:vAlign w:val="bottom"/>
            <w:gridSpan w:val="2"/>
          </w:tcPr>
          <w:p>
            <w:pPr>
              <w:jc w:val="right"/>
              <w:ind w:right="200"/>
              <w:spacing w:after="0" w:line="117" w:lineRule="exact"/>
              <w:rPr>
                <w:sz w:val="20"/>
                <w:szCs w:val="20"/>
                <w:color w:val="auto"/>
              </w:rPr>
            </w:pPr>
            <w:r>
              <w:rPr>
                <w:rFonts w:ascii="Times New Roman" w:cs="Times New Roman" w:eastAsia="Times New Roman" w:hAnsi="Times New Roman"/>
                <w:sz w:val="13"/>
                <w:szCs w:val="13"/>
                <w:color w:val="auto"/>
              </w:rPr>
              <w:t>16,816</w:t>
            </w:r>
          </w:p>
        </w:tc>
        <w:tc>
          <w:tcPr>
            <w:tcW w:w="6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-0.7%</w:t>
            </w:r>
          </w:p>
        </w:tc>
        <w:tc>
          <w:tcPr>
            <w:tcW w:w="56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0"/>
                <w:szCs w:val="10"/>
                <w:color w:val="auto"/>
              </w:rPr>
            </w:pPr>
          </w:p>
        </w:tc>
        <w:tc>
          <w:tcPr>
            <w:tcW w:w="6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-0.7%</w:t>
            </w:r>
          </w:p>
        </w:tc>
        <w:tc>
          <w:tcPr>
            <w:tcW w:w="560" w:type="dxa"/>
            <w:vAlign w:val="bottom"/>
            <w:gridSpan w:val="2"/>
            <w:shd w:val="clear" w:color="auto" w:fill="66E0DA"/>
          </w:tcPr>
          <w:p>
            <w:pPr>
              <w:jc w:val="right"/>
              <w:ind w:right="40"/>
              <w:spacing w:after="0" w:line="117" w:lineRule="exact"/>
              <w:rPr>
                <w:sz w:val="20"/>
                <w:szCs w:val="20"/>
                <w:color w:val="auto"/>
              </w:rPr>
            </w:pPr>
            <w:r>
              <w:rPr>
                <w:rFonts w:ascii="Times New Roman" w:cs="Times New Roman" w:eastAsia="Times New Roman" w:hAnsi="Times New Roman"/>
                <w:sz w:val="13"/>
                <w:szCs w:val="13"/>
                <w:color w:val="auto"/>
              </w:rPr>
              <w:t>4.5%</w:t>
            </w:r>
          </w:p>
        </w:tc>
        <w:tc>
          <w:tcPr>
            <w:tcW w:w="780" w:type="dxa"/>
            <w:vAlign w:val="bottom"/>
            <w:gridSpan w:val="3"/>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14.4%</w:t>
            </w: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13.3%</w:t>
            </w:r>
          </w:p>
        </w:tc>
        <w:tc>
          <w:tcPr>
            <w:tcW w:w="62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12.6%</w:t>
            </w:r>
          </w:p>
        </w:tc>
        <w:tc>
          <w:tcPr>
            <w:tcW w:w="740" w:type="dxa"/>
            <w:vAlign w:val="bottom"/>
            <w:gridSpan w:val="3"/>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14.8%</w:t>
            </w:r>
          </w:p>
        </w:tc>
      </w:tr>
      <w:tr>
        <w:trPr>
          <w:trHeight w:val="153"/>
        </w:trPr>
        <w:tc>
          <w:tcPr>
            <w:tcW w:w="22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Consumer</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8,239</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9,118</w:t>
            </w:r>
          </w:p>
        </w:tc>
        <w:tc>
          <w:tcPr>
            <w:tcW w:w="9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9,018</w:t>
            </w:r>
          </w:p>
        </w:tc>
        <w:tc>
          <w:tcPr>
            <w:tcW w:w="6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9,118</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9,018</w:t>
            </w: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9.5%</w:t>
            </w:r>
          </w:p>
        </w:tc>
        <w:tc>
          <w:tcPr>
            <w:tcW w:w="120" w:type="dxa"/>
            <w:vAlign w:val="bottom"/>
            <w:shd w:val="clear" w:color="auto" w:fill="CCEEFF"/>
          </w:tcPr>
          <w:p>
            <w:pPr>
              <w:spacing w:after="0"/>
              <w:rPr>
                <w:sz w:val="13"/>
                <w:szCs w:val="13"/>
                <w:color w:val="auto"/>
              </w:rPr>
            </w:pPr>
          </w:p>
        </w:tc>
        <w:tc>
          <w:tcPr>
            <w:tcW w:w="6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w:t>
            </w:r>
          </w:p>
        </w:tc>
        <w:tc>
          <w:tcPr>
            <w:tcW w:w="560" w:type="dxa"/>
            <w:vAlign w:val="bottom"/>
            <w:gridSpan w:val="2"/>
            <w:shd w:val="clear" w:color="auto" w:fill="66E0DA"/>
          </w:tcPr>
          <w:p>
            <w:pPr>
              <w:jc w:val="right"/>
              <w:ind w:right="40"/>
              <w:spacing w:after="0"/>
              <w:rPr>
                <w:sz w:val="20"/>
                <w:szCs w:val="20"/>
                <w:color w:val="auto"/>
              </w:rPr>
            </w:pPr>
            <w:r>
              <w:rPr>
                <w:rFonts w:ascii="Times New Roman" w:cs="Times New Roman" w:eastAsia="Times New Roman" w:hAnsi="Times New Roman"/>
                <w:sz w:val="13"/>
                <w:szCs w:val="13"/>
                <w:color w:val="auto"/>
              </w:rPr>
              <w:t>9.5%</w:t>
            </w: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7.1%</w:t>
            </w:r>
          </w:p>
        </w:tc>
        <w:tc>
          <w:tcPr>
            <w:tcW w:w="6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6.8%</w:t>
            </w:r>
          </w:p>
        </w:tc>
        <w:tc>
          <w:tcPr>
            <w:tcW w:w="7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7.9%</w:t>
            </w:r>
          </w:p>
        </w:tc>
      </w:tr>
      <w:tr>
        <w:trPr>
          <w:trHeight w:val="115"/>
        </w:trPr>
        <w:tc>
          <w:tcPr>
            <w:tcW w:w="2240" w:type="dxa"/>
            <w:vAlign w:val="bottom"/>
          </w:tcPr>
          <w:p>
            <w:pPr>
              <w:ind w:left="340"/>
              <w:spacing w:after="0" w:line="115" w:lineRule="exact"/>
              <w:rPr>
                <w:sz w:val="20"/>
                <w:szCs w:val="20"/>
                <w:color w:val="auto"/>
              </w:rPr>
            </w:pPr>
            <w:r>
              <w:rPr>
                <w:rFonts w:ascii="Times New Roman" w:cs="Times New Roman" w:eastAsia="Times New Roman" w:hAnsi="Times New Roman"/>
                <w:sz w:val="13"/>
                <w:szCs w:val="13"/>
                <w:color w:val="auto"/>
              </w:rPr>
              <w:t>Credit Card</w:t>
            </w:r>
          </w:p>
        </w:tc>
        <w:tc>
          <w:tcPr>
            <w:tcW w:w="700" w:type="dxa"/>
            <w:vAlign w:val="bottom"/>
            <w:gridSpan w:val="2"/>
          </w:tcPr>
          <w:p>
            <w:pPr>
              <w:jc w:val="right"/>
              <w:ind w:right="200"/>
              <w:spacing w:after="0" w:line="115" w:lineRule="exact"/>
              <w:rPr>
                <w:sz w:val="20"/>
                <w:szCs w:val="20"/>
                <w:color w:val="auto"/>
              </w:rPr>
            </w:pPr>
            <w:r>
              <w:rPr>
                <w:rFonts w:ascii="Times New Roman" w:cs="Times New Roman" w:eastAsia="Times New Roman" w:hAnsi="Times New Roman"/>
                <w:sz w:val="13"/>
                <w:szCs w:val="13"/>
                <w:color w:val="auto"/>
              </w:rPr>
              <w:t>5,538</w:t>
            </w:r>
          </w:p>
        </w:tc>
        <w:tc>
          <w:tcPr>
            <w:tcW w:w="5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5,153</w:t>
            </w:r>
          </w:p>
        </w:tc>
        <w:tc>
          <w:tcPr>
            <w:tcW w:w="900" w:type="dxa"/>
            <w:vAlign w:val="bottom"/>
            <w:gridSpan w:val="3"/>
          </w:tcPr>
          <w:p>
            <w:pPr>
              <w:jc w:val="right"/>
              <w:ind w:right="200"/>
              <w:spacing w:after="0" w:line="115" w:lineRule="exact"/>
              <w:rPr>
                <w:sz w:val="20"/>
                <w:szCs w:val="20"/>
                <w:color w:val="auto"/>
              </w:rPr>
            </w:pPr>
            <w:r>
              <w:rPr>
                <w:rFonts w:ascii="Times New Roman" w:cs="Times New Roman" w:eastAsia="Times New Roman" w:hAnsi="Times New Roman"/>
                <w:sz w:val="13"/>
                <w:szCs w:val="13"/>
                <w:color w:val="auto"/>
              </w:rPr>
              <w:t>4,637</w:t>
            </w:r>
          </w:p>
        </w:tc>
        <w:tc>
          <w:tcPr>
            <w:tcW w:w="60" w:type="dxa"/>
            <w:vAlign w:val="bottom"/>
          </w:tcPr>
          <w:p>
            <w:pPr>
              <w:spacing w:after="0"/>
              <w:rPr>
                <w:sz w:val="10"/>
                <w:szCs w:val="10"/>
                <w:color w:val="auto"/>
              </w:rPr>
            </w:pPr>
          </w:p>
        </w:tc>
        <w:tc>
          <w:tcPr>
            <w:tcW w:w="680" w:type="dxa"/>
            <w:vAlign w:val="bottom"/>
            <w:gridSpan w:val="2"/>
          </w:tcPr>
          <w:p>
            <w:pPr>
              <w:jc w:val="right"/>
              <w:ind w:right="220"/>
              <w:spacing w:after="0" w:line="115" w:lineRule="exact"/>
              <w:rPr>
                <w:sz w:val="20"/>
                <w:szCs w:val="20"/>
                <w:color w:val="auto"/>
              </w:rPr>
            </w:pPr>
            <w:r>
              <w:rPr>
                <w:rFonts w:ascii="Times New Roman" w:cs="Times New Roman" w:eastAsia="Times New Roman" w:hAnsi="Times New Roman"/>
                <w:sz w:val="13"/>
                <w:szCs w:val="13"/>
                <w:color w:val="auto"/>
              </w:rPr>
              <w:t>5,153</w:t>
            </w:r>
          </w:p>
        </w:tc>
        <w:tc>
          <w:tcPr>
            <w:tcW w:w="720" w:type="dxa"/>
            <w:vAlign w:val="bottom"/>
            <w:gridSpan w:val="2"/>
          </w:tcPr>
          <w:p>
            <w:pPr>
              <w:jc w:val="right"/>
              <w:ind w:right="200"/>
              <w:spacing w:after="0" w:line="115" w:lineRule="exact"/>
              <w:rPr>
                <w:sz w:val="20"/>
                <w:szCs w:val="20"/>
                <w:color w:val="auto"/>
              </w:rPr>
            </w:pPr>
            <w:r>
              <w:rPr>
                <w:rFonts w:ascii="Times New Roman" w:cs="Times New Roman" w:eastAsia="Times New Roman" w:hAnsi="Times New Roman"/>
                <w:sz w:val="13"/>
                <w:szCs w:val="13"/>
                <w:color w:val="auto"/>
              </w:rPr>
              <w:t>4,637</w:t>
            </w:r>
          </w:p>
        </w:tc>
        <w:tc>
          <w:tcPr>
            <w:tcW w:w="680" w:type="dxa"/>
            <w:vAlign w:val="bottom"/>
            <w:tcBorders>
              <w:bottom w:val="single" w:sz="8" w:color="FFA279"/>
            </w:tcBorders>
            <w:gridSpan w:val="3"/>
            <w:shd w:val="clear" w:color="auto" w:fill="FFA279"/>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-10.0%</w:t>
            </w:r>
          </w:p>
        </w:tc>
        <w:tc>
          <w:tcPr>
            <w:tcW w:w="560" w:type="dxa"/>
            <w:vAlign w:val="bottom"/>
            <w:tcBorders>
              <w:bottom w:val="single" w:sz="8" w:color="FFA279"/>
            </w:tcBorders>
            <w:gridSpan w:val="3"/>
            <w:shd w:val="clear" w:color="auto" w:fill="FFA279"/>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-16.3%</w:t>
            </w:r>
          </w:p>
        </w:tc>
        <w:tc>
          <w:tcPr>
            <w:tcW w:w="120" w:type="dxa"/>
            <w:vAlign w:val="bottom"/>
            <w:tcBorders>
              <w:bottom w:val="single" w:sz="8" w:color="FFA279"/>
            </w:tcBorders>
            <w:shd w:val="clear" w:color="auto" w:fill="FFA279"/>
          </w:tcPr>
          <w:p>
            <w:pPr>
              <w:spacing w:after="0"/>
              <w:rPr>
                <w:sz w:val="10"/>
                <w:szCs w:val="10"/>
                <w:color w:val="auto"/>
              </w:rPr>
            </w:pPr>
          </w:p>
        </w:tc>
        <w:tc>
          <w:tcPr>
            <w:tcW w:w="680" w:type="dxa"/>
            <w:vAlign w:val="bottom"/>
            <w:tcBorders>
              <w:bottom w:val="single" w:sz="8" w:color="FFA279"/>
            </w:tcBorders>
            <w:gridSpan w:val="3"/>
            <w:shd w:val="clear" w:color="auto" w:fill="FFA279"/>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-10.0%</w:t>
            </w:r>
          </w:p>
        </w:tc>
        <w:tc>
          <w:tcPr>
            <w:tcW w:w="560" w:type="dxa"/>
            <w:vAlign w:val="bottom"/>
            <w:tcBorders>
              <w:bottom w:val="single" w:sz="8" w:color="FFA279"/>
            </w:tcBorders>
            <w:gridSpan w:val="2"/>
            <w:shd w:val="clear" w:color="auto" w:fill="FFA279"/>
          </w:tcPr>
          <w:p>
            <w:pPr>
              <w:jc w:val="right"/>
              <w:ind w:right="40"/>
              <w:spacing w:after="0" w:line="115" w:lineRule="exact"/>
              <w:rPr>
                <w:sz w:val="20"/>
                <w:szCs w:val="20"/>
                <w:color w:val="auto"/>
              </w:rPr>
            </w:pPr>
            <w:r>
              <w:rPr>
                <w:rFonts w:ascii="Times New Roman" w:cs="Times New Roman" w:eastAsia="Times New Roman" w:hAnsi="Times New Roman"/>
                <w:sz w:val="13"/>
                <w:szCs w:val="13"/>
                <w:color w:val="auto"/>
              </w:rPr>
              <w:t>-16.3%</w:t>
            </w:r>
          </w:p>
        </w:tc>
        <w:tc>
          <w:tcPr>
            <w:tcW w:w="780" w:type="dxa"/>
            <w:vAlign w:val="bottom"/>
            <w:gridSpan w:val="3"/>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5.0%</w:t>
            </w:r>
          </w:p>
        </w:tc>
        <w:tc>
          <w:tcPr>
            <w:tcW w:w="68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4.0%</w:t>
            </w:r>
          </w:p>
        </w:tc>
        <w:tc>
          <w:tcPr>
            <w:tcW w:w="6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3.5%</w:t>
            </w:r>
          </w:p>
        </w:tc>
        <w:tc>
          <w:tcPr>
            <w:tcW w:w="740" w:type="dxa"/>
            <w:vAlign w:val="bottom"/>
            <w:gridSpan w:val="3"/>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4.1%</w:t>
            </w:r>
          </w:p>
        </w:tc>
      </w:tr>
      <w:tr>
        <w:trPr>
          <w:trHeight w:val="115"/>
        </w:trPr>
        <w:tc>
          <w:tcPr>
            <w:tcW w:w="2240" w:type="dxa"/>
            <w:vAlign w:val="bottom"/>
            <w:tcBorders>
              <w:bottom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Mibanco</w:t>
            </w:r>
          </w:p>
        </w:tc>
        <w:tc>
          <w:tcPr>
            <w:tcW w:w="700" w:type="dxa"/>
            <w:vAlign w:val="bottom"/>
            <w:tcBorders>
              <w:bottom w:val="single" w:sz="8" w:color="CCEEFF"/>
            </w:tcBorders>
            <w:gridSpan w:val="2"/>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10,068</w:t>
            </w:r>
          </w:p>
        </w:tc>
        <w:tc>
          <w:tcPr>
            <w:tcW w:w="520" w:type="dxa"/>
            <w:vAlign w:val="bottom"/>
            <w:tcBorders>
              <w:bottom w:val="single" w:sz="8" w:color="CCEEFF"/>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10,823</w:t>
            </w:r>
          </w:p>
        </w:tc>
        <w:tc>
          <w:tcPr>
            <w:tcW w:w="900" w:type="dxa"/>
            <w:vAlign w:val="bottom"/>
            <w:tcBorders>
              <w:bottom w:val="single" w:sz="8" w:color="CCEEFF"/>
            </w:tcBorders>
            <w:gridSpan w:val="3"/>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11,593</w:t>
            </w:r>
          </w:p>
        </w:tc>
        <w:tc>
          <w:tcPr>
            <w:tcW w:w="6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shd w:val="clear" w:color="auto" w:fill="CCEEFF"/>
          </w:tcPr>
          <w:p>
            <w:pPr>
              <w:jc w:val="right"/>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10,635</w:t>
            </w:r>
          </w:p>
        </w:tc>
        <w:tc>
          <w:tcPr>
            <w:tcW w:w="720" w:type="dxa"/>
            <w:vAlign w:val="bottom"/>
            <w:tcBorders>
              <w:bottom w:val="single" w:sz="8" w:color="CCEEFF"/>
            </w:tcBorders>
            <w:gridSpan w:val="2"/>
            <w:shd w:val="clear" w:color="auto" w:fill="CCEEFF"/>
          </w:tcPr>
          <w:p>
            <w:pPr>
              <w:jc w:val="right"/>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9,729</w:t>
            </w:r>
          </w:p>
        </w:tc>
        <w:tc>
          <w:tcPr>
            <w:tcW w:w="680" w:type="dxa"/>
            <w:vAlign w:val="bottom"/>
            <w:tcBorders>
              <w:bottom w:val="single" w:sz="8" w:color="CCEEFF"/>
            </w:tcBorders>
            <w:gridSpan w:val="3"/>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7.1%</w:t>
            </w:r>
          </w:p>
        </w:tc>
        <w:tc>
          <w:tcPr>
            <w:tcW w:w="100" w:type="dxa"/>
            <w:vAlign w:val="bottom"/>
            <w:tcBorders>
              <w:bottom w:val="single" w:sz="8" w:color="66E0DA"/>
            </w:tcBorders>
            <w:shd w:val="clear" w:color="auto" w:fill="66E0DA"/>
          </w:tcPr>
          <w:p>
            <w:pPr>
              <w:spacing w:after="0"/>
              <w:rPr>
                <w:sz w:val="10"/>
                <w:szCs w:val="10"/>
                <w:color w:val="auto"/>
              </w:rPr>
            </w:pPr>
          </w:p>
        </w:tc>
        <w:tc>
          <w:tcPr>
            <w:tcW w:w="460" w:type="dxa"/>
            <w:vAlign w:val="bottom"/>
            <w:tcBorders>
              <w:bottom w:val="single" w:sz="8" w:color="66E0DA"/>
            </w:tcBorders>
            <w:gridSpan w:val="2"/>
            <w:shd w:val="clear" w:color="auto" w:fill="66E0DA"/>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15.1%</w:t>
            </w:r>
          </w:p>
        </w:tc>
        <w:tc>
          <w:tcPr>
            <w:tcW w:w="120" w:type="dxa"/>
            <w:vAlign w:val="bottom"/>
            <w:tcBorders>
              <w:bottom w:val="single" w:sz="8" w:color="66E0DA"/>
            </w:tcBorders>
            <w:shd w:val="clear" w:color="auto" w:fill="66E0DA"/>
          </w:tcPr>
          <w:p>
            <w:pPr>
              <w:spacing w:after="0"/>
              <w:rPr>
                <w:sz w:val="10"/>
                <w:szCs w:val="10"/>
                <w:color w:val="auto"/>
              </w:rPr>
            </w:pPr>
          </w:p>
        </w:tc>
        <w:tc>
          <w:tcPr>
            <w:tcW w:w="680" w:type="dxa"/>
            <w:vAlign w:val="bottom"/>
            <w:tcBorders>
              <w:bottom w:val="single" w:sz="8" w:color="FFA279"/>
            </w:tcBorders>
            <w:gridSpan w:val="3"/>
            <w:shd w:val="clear" w:color="auto" w:fill="FFA279"/>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-8.5%</w:t>
            </w:r>
          </w:p>
        </w:tc>
        <w:tc>
          <w:tcPr>
            <w:tcW w:w="560" w:type="dxa"/>
            <w:vAlign w:val="bottom"/>
            <w:tcBorders>
              <w:bottom w:val="single" w:sz="8" w:color="FFA279"/>
            </w:tcBorders>
            <w:gridSpan w:val="2"/>
            <w:shd w:val="clear" w:color="auto" w:fill="FFA279"/>
          </w:tcPr>
          <w:p>
            <w:pPr>
              <w:jc w:val="right"/>
              <w:ind w:right="20"/>
              <w:spacing w:after="0" w:line="115" w:lineRule="exact"/>
              <w:rPr>
                <w:sz w:val="20"/>
                <w:szCs w:val="20"/>
                <w:color w:val="auto"/>
              </w:rPr>
            </w:pPr>
            <w:r>
              <w:rPr>
                <w:rFonts w:ascii="Times New Roman" w:cs="Times New Roman" w:eastAsia="Times New Roman" w:hAnsi="Times New Roman"/>
                <w:sz w:val="13"/>
                <w:szCs w:val="13"/>
                <w:b w:val="1"/>
                <w:bCs w:val="1"/>
                <w:color w:val="auto"/>
              </w:rPr>
              <w:t>-3.4%</w:t>
            </w:r>
          </w:p>
        </w:tc>
        <w:tc>
          <w:tcPr>
            <w:tcW w:w="780" w:type="dxa"/>
            <w:vAlign w:val="bottom"/>
            <w:tcBorders>
              <w:bottom w:val="single" w:sz="8" w:color="CCEEFF"/>
            </w:tcBorders>
            <w:gridSpan w:val="3"/>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9.0%</w:t>
            </w:r>
          </w:p>
        </w:tc>
        <w:tc>
          <w:tcPr>
            <w:tcW w:w="680" w:type="dxa"/>
            <w:vAlign w:val="bottom"/>
            <w:tcBorders>
              <w:bottom w:val="single" w:sz="8" w:color="CCEEFF"/>
            </w:tcBorders>
            <w:gridSpan w:val="2"/>
            <w:shd w:val="clear" w:color="auto" w:fill="CCEEFF"/>
          </w:tcPr>
          <w:p>
            <w:pPr>
              <w:jc w:val="right"/>
              <w:ind w:right="120"/>
              <w:spacing w:after="0" w:line="115" w:lineRule="exact"/>
              <w:rPr>
                <w:sz w:val="20"/>
                <w:szCs w:val="20"/>
                <w:color w:val="auto"/>
              </w:rPr>
            </w:pPr>
            <w:r>
              <w:rPr>
                <w:rFonts w:ascii="Times New Roman" w:cs="Times New Roman" w:eastAsia="Times New Roman" w:hAnsi="Times New Roman"/>
                <w:sz w:val="13"/>
                <w:szCs w:val="13"/>
                <w:b w:val="1"/>
                <w:bCs w:val="1"/>
                <w:color w:val="auto"/>
              </w:rPr>
              <w:t>8.5%</w:t>
            </w:r>
          </w:p>
        </w:tc>
        <w:tc>
          <w:tcPr>
            <w:tcW w:w="620" w:type="dxa"/>
            <w:vAlign w:val="bottom"/>
            <w:tcBorders>
              <w:bottom w:val="single" w:sz="8" w:color="CCEEFF"/>
            </w:tcBorders>
            <w:gridSpan w:val="2"/>
            <w:shd w:val="clear" w:color="auto" w:fill="CCEEFF"/>
          </w:tcPr>
          <w:p>
            <w:pPr>
              <w:jc w:val="right"/>
              <w:ind w:right="60"/>
              <w:spacing w:after="0" w:line="115" w:lineRule="exact"/>
              <w:rPr>
                <w:sz w:val="20"/>
                <w:szCs w:val="20"/>
                <w:color w:val="auto"/>
              </w:rPr>
            </w:pPr>
            <w:r>
              <w:rPr>
                <w:rFonts w:ascii="Times New Roman" w:cs="Times New Roman" w:eastAsia="Times New Roman" w:hAnsi="Times New Roman"/>
                <w:sz w:val="13"/>
                <w:szCs w:val="13"/>
                <w:b w:val="1"/>
                <w:bCs w:val="1"/>
                <w:color w:val="auto"/>
              </w:rPr>
              <w:t>8.7%</w:t>
            </w:r>
          </w:p>
        </w:tc>
        <w:tc>
          <w:tcPr>
            <w:tcW w:w="740" w:type="dxa"/>
            <w:vAlign w:val="bottom"/>
            <w:tcBorders>
              <w:bottom w:val="single" w:sz="8" w:color="CCEEFF"/>
            </w:tcBorders>
            <w:gridSpan w:val="3"/>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b w:val="1"/>
                <w:bCs w:val="1"/>
                <w:color w:val="auto"/>
              </w:rPr>
              <w:t>8.6%</w:t>
            </w:r>
          </w:p>
        </w:tc>
      </w:tr>
      <w:tr>
        <w:trPr>
          <w:trHeight w:val="135"/>
        </w:trPr>
        <w:tc>
          <w:tcPr>
            <w:tcW w:w="224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Bolivia</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7,431</w:t>
            </w:r>
          </w:p>
        </w:tc>
        <w:tc>
          <w:tcPr>
            <w:tcW w:w="5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7,902</w:t>
            </w:r>
          </w:p>
        </w:tc>
        <w:tc>
          <w:tcPr>
            <w:tcW w:w="90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8,149</w:t>
            </w:r>
          </w:p>
        </w:tc>
        <w:tc>
          <w:tcPr>
            <w:tcW w:w="60" w:type="dxa"/>
            <w:vAlign w:val="bottom"/>
          </w:tcPr>
          <w:p>
            <w:pPr>
              <w:spacing w:after="0"/>
              <w:rPr>
                <w:sz w:val="11"/>
                <w:szCs w:val="11"/>
                <w:color w:val="auto"/>
              </w:rPr>
            </w:pPr>
          </w:p>
        </w:tc>
        <w:tc>
          <w:tcPr>
            <w:tcW w:w="6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7,902</w:t>
            </w:r>
          </w:p>
        </w:tc>
        <w:tc>
          <w:tcPr>
            <w:tcW w:w="72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8,149</w:t>
            </w:r>
          </w:p>
        </w:tc>
        <w:tc>
          <w:tcPr>
            <w:tcW w:w="6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100" w:type="dxa"/>
            <w:vAlign w:val="bottom"/>
            <w:shd w:val="clear" w:color="auto" w:fill="66E0DA"/>
          </w:tcPr>
          <w:p>
            <w:pPr>
              <w:spacing w:after="0"/>
              <w:rPr>
                <w:sz w:val="11"/>
                <w:szCs w:val="11"/>
                <w:color w:val="auto"/>
              </w:rPr>
            </w:pPr>
          </w:p>
        </w:tc>
        <w:tc>
          <w:tcPr>
            <w:tcW w:w="460" w:type="dxa"/>
            <w:vAlign w:val="bottom"/>
            <w:gridSpan w:val="2"/>
            <w:shd w:val="clear" w:color="auto" w:fill="66E0DA"/>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9.7%</w:t>
            </w:r>
          </w:p>
        </w:tc>
        <w:tc>
          <w:tcPr>
            <w:tcW w:w="120" w:type="dxa"/>
            <w:vAlign w:val="bottom"/>
          </w:tcPr>
          <w:p>
            <w:pPr>
              <w:spacing w:after="0"/>
              <w:rPr>
                <w:sz w:val="11"/>
                <w:szCs w:val="11"/>
                <w:color w:val="auto"/>
              </w:rPr>
            </w:pPr>
          </w:p>
        </w:tc>
        <w:tc>
          <w:tcPr>
            <w:tcW w:w="6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3.1%</w:t>
            </w:r>
          </w:p>
        </w:tc>
        <w:tc>
          <w:tcPr>
            <w:tcW w:w="560" w:type="dxa"/>
            <w:vAlign w:val="bottom"/>
            <w:gridSpan w:val="2"/>
            <w:shd w:val="clear" w:color="auto" w:fill="66E0DA"/>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9.7%</w:t>
            </w:r>
          </w:p>
        </w:tc>
        <w:tc>
          <w:tcPr>
            <w:tcW w:w="780" w:type="dxa"/>
            <w:vAlign w:val="bottom"/>
            <w:gridSpan w:val="3"/>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6.7%</w:t>
            </w:r>
          </w:p>
        </w:tc>
        <w:tc>
          <w:tcPr>
            <w:tcW w:w="68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6.2%</w:t>
            </w:r>
          </w:p>
        </w:tc>
        <w:tc>
          <w:tcPr>
            <w:tcW w:w="620" w:type="dxa"/>
            <w:vAlign w:val="bottom"/>
            <w:gridSpan w:val="2"/>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6.1%</w:t>
            </w:r>
          </w:p>
        </w:tc>
        <w:tc>
          <w:tcPr>
            <w:tcW w:w="740" w:type="dxa"/>
            <w:vAlign w:val="bottom"/>
            <w:gridSpan w:val="3"/>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7.2%</w:t>
            </w:r>
          </w:p>
        </w:tc>
      </w:tr>
      <w:tr>
        <w:trPr>
          <w:trHeight w:val="135"/>
        </w:trPr>
        <w:tc>
          <w:tcPr>
            <w:tcW w:w="224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ASB</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2,467</w:t>
            </w:r>
          </w:p>
        </w:tc>
        <w:tc>
          <w:tcPr>
            <w:tcW w:w="52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2,443</w:t>
            </w:r>
          </w:p>
        </w:tc>
        <w:tc>
          <w:tcPr>
            <w:tcW w:w="900" w:type="dxa"/>
            <w:vAlign w:val="bottom"/>
            <w:gridSpan w:val="3"/>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2,438</w:t>
            </w: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2,443</w:t>
            </w:r>
          </w:p>
        </w:tc>
        <w:tc>
          <w:tcPr>
            <w:tcW w:w="72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b w:val="1"/>
                <w:bCs w:val="1"/>
                <w:color w:val="auto"/>
              </w:rPr>
              <w:t>2,438</w:t>
            </w:r>
          </w:p>
        </w:tc>
        <w:tc>
          <w:tcPr>
            <w:tcW w:w="6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-0.2%</w:t>
            </w:r>
          </w:p>
        </w:tc>
        <w:tc>
          <w:tcPr>
            <w:tcW w:w="56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12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-0.2%</w:t>
            </w:r>
          </w:p>
        </w:tc>
        <w:tc>
          <w:tcPr>
            <w:tcW w:w="56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78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2.2%</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1.9%</w:t>
            </w:r>
          </w:p>
        </w:tc>
        <w:tc>
          <w:tcPr>
            <w:tcW w:w="62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1.8%</w:t>
            </w:r>
          </w:p>
        </w:tc>
        <w:tc>
          <w:tcPr>
            <w:tcW w:w="740" w:type="dxa"/>
            <w:vAlign w:val="bottom"/>
            <w:gridSpan w:val="3"/>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2.1%</w:t>
            </w:r>
          </w:p>
        </w:tc>
      </w:tr>
      <w:tr>
        <w:trPr>
          <w:trHeight w:val="166"/>
        </w:trPr>
        <w:tc>
          <w:tcPr>
            <w:tcW w:w="224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BAP's total loans</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111,666</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127,779</w:t>
            </w:r>
          </w:p>
        </w:tc>
        <w:tc>
          <w:tcPr>
            <w:tcW w:w="90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133,565</w:t>
            </w:r>
          </w:p>
        </w:tc>
        <w:tc>
          <w:tcPr>
            <w:tcW w:w="6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120,199</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113,760</w:t>
            </w: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4.5%</w:t>
            </w: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19.6%</w:t>
            </w:r>
          </w:p>
        </w:tc>
        <w:tc>
          <w:tcPr>
            <w:tcW w:w="120" w:type="dxa"/>
            <w:vAlign w:val="bottom"/>
          </w:tcPr>
          <w:p>
            <w:pPr>
              <w:spacing w:after="0"/>
              <w:rPr>
                <w:sz w:val="14"/>
                <w:szCs w:val="14"/>
                <w:color w:val="auto"/>
              </w:rPr>
            </w:pPr>
          </w:p>
        </w:tc>
        <w:tc>
          <w:tcPr>
            <w:tcW w:w="6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-5.4%</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1.9%</w:t>
            </w:r>
          </w:p>
        </w:tc>
        <w:tc>
          <w:tcPr>
            <w:tcW w:w="78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100.0%</w:t>
            </w: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100.0%</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100.0%</w:t>
            </w:r>
          </w:p>
        </w:tc>
      </w:tr>
    </w:tbl>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color w:val="auto"/>
        </w:rPr>
        <w:t>Highest growth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257175" cy="685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ind w:left="580"/>
        <w:spacing w:after="0"/>
        <w:rPr>
          <w:sz w:val="20"/>
          <w:szCs w:val="20"/>
          <w:color w:val="auto"/>
        </w:rPr>
      </w:pPr>
      <w:r>
        <w:rPr>
          <w:rFonts w:ascii="Times New Roman" w:cs="Times New Roman" w:eastAsia="Times New Roman" w:hAnsi="Times New Roman"/>
          <w:sz w:val="13"/>
          <w:szCs w:val="13"/>
          <w:color w:val="auto"/>
        </w:rPr>
        <w:t>Largest contraction in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257175" cy="857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 cy="8572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consolidation purposes, loans generated in FC are converted to LC.</w:t>
      </w:r>
    </w:p>
    <w:p>
      <w:pPr>
        <w:ind w:left="220" w:hanging="212"/>
        <w:spacing w:after="0" w:line="216" w:lineRule="auto"/>
        <w:tabs>
          <w:tab w:leader="none" w:pos="2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Work out unit, and other banking.</w:t>
      </w:r>
    </w:p>
    <w:p>
      <w:pPr>
        <w:ind w:left="220" w:hanging="212"/>
        <w:spacing w:after="0"/>
        <w:tabs>
          <w:tab w:leader="none" w:pos="2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Structural Portfolio excludes the average daily balances from loans offered through de Reactiva Peru y FAE-Mype Government Programs.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Growth QoQ in Average Daily Balances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+4.5% (-5.4%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156845</wp:posOffset>
            </wp:positionV>
            <wp:extent cx="6669405" cy="2708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6940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-85090</wp:posOffset>
            </wp:positionV>
            <wp:extent cx="257175" cy="685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257175" cy="857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7175" cy="85725"/>
                    </a:xfrm>
                    <a:prstGeom prst="rect">
                      <a:avLst/>
                    </a:prstGeom>
                    <a:noFill/>
                  </pic:spPr>
                </pic:pic>
              </a:graphicData>
            </a:graphic>
          </wp:anchor>
        </w:drawing>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analysis by segment, it is evident that growth in average daily balances QoQ was driven by portfolios that received loan injections through Government programs rather than by growth in structural loans.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largest share of loan expansion in this scenario was driven by Retail Banking, which experienced an uptick after loan balances for the SME-Pyme segment (+S/4,135 million, +34.7% QoQ) and SME-Business (+S/2,482 million, +33.0% QoQ) were bolstered by disbursements for working capital through the Reactiva Peru Program. Other retail segments, including Mortgage, Consumer and Credit Cards, registered a decrease in their average daily balances that was attributable to a drop in household consumption because of the pandemic. If we exclude Government programs, the balance for SME-Pyme fell –0.5% QoQ and SME-Business, -13.1%.</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Growth in total loans was also boosted, albeit to a lesser degree, by the +7.1% QoQ uptick in average daily loan balances in the Mibanco portfolio. This expansion was primarily attributable to an influx of loans from the Reactiva 2 program, which prioritized outreach to micro and small business by increasing maximum loan amounts and offering more flexible conditions to improve access for smaller-scale businesses. If we exclude the Government’s program, Mibanco’s structural portfolio contracted –8.5% QoQ.</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8"/>
          <w:szCs w:val="18"/>
          <w:color w:val="auto"/>
        </w:rPr>
        <w:t>The Wholesale Banking portfolio reported a drop in average daily balances of -2.0% QoQ, driven by a significant decrease in the structural balances for the Middle Market and Corporate Banking segments. In this case, the effect of a considerable influx of Reactiva loans was insufficient to offset the decline in structural loans. The drop in Wholesale Banking is attributable by a higher balance base in 2Q20 due to an uptick in Wholesale clients’ use of credit lines to prevent liquidity shortages during the pandemic.</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BCP Bolivia, the loan portfolio grew +3.1% QoQ after growth in Corporate Banking offset the drop in Retail balances, which was primarily registered by individual products and the SME-Pyme segment.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Growth YoY in Average Daily Balances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+ 19.6% (1.9%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156845</wp:posOffset>
            </wp:positionV>
            <wp:extent cx="6660515" cy="28632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60515" cy="2863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-85090</wp:posOffset>
            </wp:positionV>
            <wp:extent cx="257175" cy="685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257175" cy="857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7175" cy="8572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we analyze YoY growth by segment measured in average daily balances, we see:</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Growth in Retail Banking, where the business segments of SME-Pyme (+S/6,211 million, +63.1% YoY) and SME-Business (+S/4,470 million, +80.6% YoY) led expansion through Reactiva Peru loans. Average daily balances were also boosted, although to a lesser degree, by the Consumer segment (+S/780 million, +9.5% YoY) and Mortgage (+S/721 million, +4.5% YoY), which were highly dynamic in 1Q20 before the pandemic hit. Balances in the Credit Card segment fell after household consumption dropped during the pandemic. If we exclude the Government programs, SME-PYME grew +2.2% YoY while SME-Business contracted -17.5%.</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Growth in Wholesale Banking, where the Middle Market segment posted significant growth (+S/4,979 million, +27.0% YoY) due to disbursements under the Reactiva Peru program, and, to a lesser extent, to growth in Corporate Banking (+S/3,424 million, +12.2% YoY). Growth in the latter was attributable to an uptick in disbursements in LC and FC for working capital and medium-term, fixed-rate financing that was requested by clients prior to the end of 1Q20 in a context of attractive rates. It is important to note that growth in these segments was also driven, albeit to a lesser extent, by the exchange rate effect generated by the appreciation of the US Dollar. 40.2% of the loans in the Middle Market segment and 54.8% in the Corporate Banking segment are made in FC. If we exclude the exchange rate effect, the Middle Market and Corporate Banking segments register growth of 24.6% and 9.2% respectively. If we exclude Government programs, Middle Market Banking fell –3.8% YoY while Corporate Banking grew 9.3% YoY.</w:t>
      </w:r>
    </w:p>
    <w:p>
      <w:pPr>
        <w:spacing w:after="0" w:line="200" w:lineRule="exact"/>
        <w:rPr>
          <w:sz w:val="20"/>
          <w:szCs w:val="20"/>
          <w:color w:val="auto"/>
        </w:rPr>
      </w:pPr>
    </w:p>
    <w:p>
      <w:pPr>
        <w:spacing w:after="0" w:line="205" w:lineRule="exact"/>
        <w:rPr>
          <w:sz w:val="20"/>
          <w:szCs w:val="20"/>
          <w:color w:val="auto"/>
        </w:rPr>
      </w:pPr>
    </w:p>
    <w:p>
      <w:pPr>
        <w:ind w:left="1116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jc w:val="both"/>
        <w:spacing w:after="0" w:line="261" w:lineRule="auto"/>
        <w:rPr>
          <w:sz w:val="20"/>
          <w:szCs w:val="20"/>
          <w:color w:val="auto"/>
        </w:rPr>
      </w:pPr>
      <w:r>
        <w:rPr>
          <w:rFonts w:ascii="Times New Roman" w:cs="Times New Roman" w:eastAsia="Times New Roman" w:hAnsi="Times New Roman"/>
          <w:sz w:val="18"/>
          <w:szCs w:val="18"/>
          <w:color w:val="auto"/>
        </w:rPr>
        <w:t>Loan growth at Mibanco (+15.1% AaA), which was attributable to loans disbursed through Reactiva Perú and FAE-Mype. Reactiva and FAE loans represent approximately 16% of Mibanco’s portfolio in average daily balances. Mibanco increased its participation in phase 2 of Reactiva Peru versus its role in phase 1. In this second phase, the Government made the conditions that smaller businesses must meet to qualify for loans more flexible, which opened the door to many of Mibanco’s clients. If we exclude Government programs, Mibanco’s structural portfolio fell –3.4% YoY.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9.7% YoY growth at BCP Bolivia. BCP’s Bolivia’s microbusiness loans fell considerably (more than ~30% in average daily balances). This was, nonetheless, offset by loan growth in the Wholesale Banking portfolio and the Mortgage and SME-Pyme loans. In this scenario, the subsidiary’s loan book evolved positively.</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Accumulated growth in average daily loan balances by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Expressed in millions of 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+14.8% (+6.5% Structural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156845</wp:posOffset>
            </wp:positionV>
            <wp:extent cx="6677660" cy="27343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677660"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Structural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-85090</wp:posOffset>
            </wp:positionV>
            <wp:extent cx="257175" cy="685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57175" cy="68580"/>
                    </a:xfrm>
                    <a:prstGeom prst="rect">
                      <a:avLst/>
                    </a:prstGeom>
                    <a:noFill/>
                  </pic:spPr>
                </pic:pic>
              </a:graphicData>
            </a:graphic>
          </wp:anchor>
        </w:drawing>
      </w:r>
    </w:p>
    <w:p>
      <w:pPr>
        <w:spacing w:after="0" w:line="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Government programs (Reactiva and FAE-Mype)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257175" cy="857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7175" cy="85725"/>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YTD analysis by segment, measured in average daily balances, shows:</w:t>
      </w:r>
    </w:p>
    <w:p>
      <w:pPr>
        <w:spacing w:after="0" w:line="225" w:lineRule="exact"/>
        <w:rPr>
          <w:sz w:val="20"/>
          <w:szCs w:val="20"/>
          <w:color w:val="auto"/>
        </w:rPr>
      </w:pPr>
    </w:p>
    <w:p>
      <w:pPr>
        <w:jc w:val="both"/>
        <w:ind w:left="880" w:hanging="494"/>
        <w:spacing w:after="0" w:line="256"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Retail Banking was responsible for the bulk of the increase in total loans and was led by the SME-Pyme segments (+S/3,166 million, +33.0% YTD) and SME-Business (+S/2,287 million, +42.5% YTD), where expansion was driven by Reactiva Peru disbursements. Other segments that contributed to expansion were Mortgage (+S/1,309 million, +8.4% YTD), which was boosted by a dynamic loan market in early 2020 and Consumer (+S/1,120 million, +14.1% YTD), whose evolution mirrored that of the Mortgage segment in 1Q20. On the contrary, Credit Card Balances fell, after use declined due to a drop in household consumption during the pandemic. If we exclude Government programs, the SME-Pyme segment grew +5.9% YTD while SME-Business fell -5.3%.</w:t>
      </w:r>
    </w:p>
    <w:p>
      <w:pPr>
        <w:spacing w:after="0" w:line="187" w:lineRule="exact"/>
        <w:rPr>
          <w:rFonts w:ascii="Times New Roman" w:cs="Times New Roman" w:eastAsia="Times New Roman" w:hAnsi="Times New Roman"/>
          <w:sz w:val="18"/>
          <w:szCs w:val="18"/>
          <w:color w:val="auto"/>
        </w:rPr>
      </w:pPr>
    </w:p>
    <w:p>
      <w:pPr>
        <w:jc w:val="both"/>
        <w:ind w:left="880" w:hanging="494"/>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Wholesale Banking, which was led by Corporate Banking (+S/3,621 million, +13.0% YTD). This increase was driven by growth in disbursements in LC and FC for working capital and medium-term, fixed-rate financing in the period prior to the pandemic. Middle Market Banking also posted significant growth (+S/3,319 million, +18.5% YTD), which was bolstered by Reactiva Peru disbursements. Growth in these segments was also attributable, albeit to a lesser extent, by the exchange rate effect generated by an appreciation in the US Dollar.</w:t>
      </w:r>
    </w:p>
    <w:p>
      <w:pPr>
        <w:spacing w:after="0" w:line="179" w:lineRule="exact"/>
        <w:rPr>
          <w:rFonts w:ascii="Times New Roman" w:cs="Times New Roman" w:eastAsia="Times New Roman" w:hAnsi="Times New Roman"/>
          <w:sz w:val="18"/>
          <w:szCs w:val="18"/>
          <w:color w:val="auto"/>
        </w:rPr>
      </w:pPr>
    </w:p>
    <w:p>
      <w:pPr>
        <w:jc w:val="both"/>
        <w:ind w:left="880" w:hanging="494"/>
        <w:spacing w:after="0" w:line="261" w:lineRule="auto"/>
        <w:tabs>
          <w:tab w:leader="none" w:pos="8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 Mibanco loans (+10.1% YTD) was linked to portfolio growth in 1Q20 and to the Government’s programs for financial relief, Reactiva Perú and FAE. This expansion began in 2Q20 but picked up speed in 3Q20 with phase 2 of Reactiva, which extends loan possibilities to a larger number of clients in the microfinance segment. The YTD evolution at BCP Bolivia mirrored that seen QoQ and YoY and was up +9.0% drive by expansion in the Wholesale Banking portfolio and in the Mortgage segment within Retail Banking.</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1.2.2. Evolution of the level of dollarization by segment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Loan evolution by currency - average daily balances </w:t>
      </w:r>
      <w:r>
        <w:rPr>
          <w:rFonts w:ascii="Times New Roman" w:cs="Times New Roman" w:eastAsia="Times New Roman" w:hAnsi="Times New Roman"/>
          <w:sz w:val="29"/>
          <w:szCs w:val="29"/>
          <w:b w:val="1"/>
          <w:bCs w:val="1"/>
          <w:color w:val="auto"/>
          <w:vertAlign w:val="superscript"/>
        </w:rPr>
        <w:t>(1)(2)</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0" w:type="dxa"/>
            <w:vAlign w:val="bottom"/>
            <w:gridSpan w:val="7"/>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w w:val="99"/>
              </w:rPr>
              <w:t>DOMESTIC CURRENCY LOANS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4"/>
            <w:vMerge w:val="restart"/>
          </w:tcPr>
          <w:p>
            <w:pPr>
              <w:jc w:val="right"/>
              <w:ind w:right="50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180" w:type="dxa"/>
            <w:vAlign w:val="bottom"/>
            <w:gridSpan w:val="4"/>
          </w:tcPr>
          <w:p>
            <w:pPr>
              <w:ind w:left="26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20" w:type="dxa"/>
            <w:vAlign w:val="bottom"/>
            <w:gridSpan w:val="7"/>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w w:val="98"/>
              </w:rPr>
              <w:t>FOREIGN CURRENCY LOANS</w:t>
            </w: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5"/>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 part. by currency</w:t>
            </w: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1860" w:type="dxa"/>
            <w:vAlign w:val="bottom"/>
            <w:tcBorders>
              <w:top w:val="single" w:sz="8" w:color="auto"/>
            </w:tcBorders>
            <w:gridSpan w:val="6"/>
          </w:tcPr>
          <w:p>
            <w:pPr>
              <w:ind w:left="260"/>
              <w:spacing w:after="0" w:line="142" w:lineRule="exact"/>
              <w:rPr>
                <w:sz w:val="20"/>
                <w:szCs w:val="20"/>
                <w:color w:val="auto"/>
              </w:rPr>
            </w:pPr>
            <w:r>
              <w:rPr>
                <w:rFonts w:ascii="Times New Roman" w:cs="Times New Roman" w:eastAsia="Times New Roman" w:hAnsi="Times New Roman"/>
                <w:sz w:val="13"/>
                <w:szCs w:val="13"/>
                <w:i w:val="1"/>
                <w:iCs w:val="1"/>
                <w:color w:val="auto"/>
              </w:rPr>
              <w:t>Expressed in million S/</w:t>
            </w:r>
          </w:p>
        </w:tc>
        <w:tc>
          <w:tcPr>
            <w:tcW w:w="1180" w:type="dxa"/>
            <w:vAlign w:val="bottom"/>
            <w:tcBorders>
              <w:top w:val="single" w:sz="8" w:color="auto"/>
            </w:tcBorders>
            <w:gridSpan w:val="4"/>
          </w:tcPr>
          <w:p>
            <w:pPr>
              <w:jc w:val="right"/>
              <w:ind w:right="360"/>
              <w:spacing w:after="0" w:line="142" w:lineRule="exact"/>
              <w:rPr>
                <w:sz w:val="20"/>
                <w:szCs w:val="20"/>
                <w:color w:val="auto"/>
              </w:rPr>
            </w:pPr>
            <w:r>
              <w:rPr>
                <w:rFonts w:ascii="Times New Roman" w:cs="Times New Roman" w:eastAsia="Times New Roman" w:hAnsi="Times New Roman"/>
                <w:sz w:val="13"/>
                <w:szCs w:val="13"/>
                <w:b w:val="1"/>
                <w:bCs w:val="1"/>
                <w:color w:val="auto"/>
              </w:rPr>
              <w:t>Structural</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4"/>
            <w:vMerge w:val="continue"/>
          </w:tcPr>
          <w:p>
            <w:pPr>
              <w:spacing w:after="0"/>
              <w:rPr>
                <w:sz w:val="12"/>
                <w:szCs w:val="12"/>
                <w:color w:val="auto"/>
              </w:rPr>
            </w:pPr>
          </w:p>
        </w:tc>
        <w:tc>
          <w:tcPr>
            <w:tcW w:w="1040" w:type="dxa"/>
            <w:vAlign w:val="bottom"/>
            <w:tcBorders>
              <w:top w:val="single" w:sz="8" w:color="auto"/>
            </w:tcBorders>
            <w:gridSpan w:val="3"/>
          </w:tcPr>
          <w:p>
            <w:pPr>
              <w:ind w:left="240"/>
              <w:spacing w:after="0" w:line="142" w:lineRule="exact"/>
              <w:rPr>
                <w:sz w:val="20"/>
                <w:szCs w:val="20"/>
                <w:color w:val="auto"/>
              </w:rPr>
            </w:pPr>
            <w:r>
              <w:rPr>
                <w:rFonts w:ascii="Times New Roman" w:cs="Times New Roman" w:eastAsia="Times New Roman" w:hAnsi="Times New Roman"/>
                <w:sz w:val="13"/>
                <w:szCs w:val="13"/>
                <w:b w:val="1"/>
                <w:bCs w:val="1"/>
                <w:color w:val="auto"/>
              </w:rPr>
              <w:t>Structural</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900" w:type="dxa"/>
            <w:vAlign w:val="bottom"/>
            <w:tcBorders>
              <w:top w:val="single" w:sz="8" w:color="auto"/>
            </w:tcBorders>
            <w:gridSpan w:val="6"/>
          </w:tcPr>
          <w:p>
            <w:pPr>
              <w:jc w:val="right"/>
              <w:ind w:right="420"/>
              <w:spacing w:after="0" w:line="142" w:lineRule="exact"/>
              <w:rPr>
                <w:sz w:val="20"/>
                <w:szCs w:val="20"/>
                <w:color w:val="auto"/>
              </w:rPr>
            </w:pPr>
            <w:r>
              <w:rPr>
                <w:rFonts w:ascii="Times New Roman" w:cs="Times New Roman" w:eastAsia="Times New Roman" w:hAnsi="Times New Roman"/>
                <w:sz w:val="13"/>
                <w:szCs w:val="13"/>
                <w:i w:val="1"/>
                <w:iCs w:val="1"/>
                <w:color w:val="auto"/>
              </w:rPr>
              <w:t>Expressed in million US$</w:t>
            </w:r>
          </w:p>
        </w:tc>
        <w:tc>
          <w:tcPr>
            <w:tcW w:w="4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Borders>
              <w:top w:val="single" w:sz="8" w:color="auto"/>
            </w:tcBorders>
            <w:gridSpan w:val="3"/>
          </w:tcPr>
          <w:p>
            <w:pPr>
              <w:jc w:val="center"/>
              <w:ind w:left="277"/>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3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00" w:type="dxa"/>
            <w:vAlign w:val="bottom"/>
          </w:tcPr>
          <w:p>
            <w:pPr>
              <w:spacing w:after="0"/>
              <w:rPr>
                <w:sz w:val="12"/>
                <w:szCs w:val="12"/>
                <w:color w:val="auto"/>
              </w:rPr>
            </w:pP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10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18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Pr>
          <w:p>
            <w:pPr>
              <w:spacing w:after="0"/>
              <w:rPr>
                <w:sz w:val="12"/>
                <w:szCs w:val="12"/>
                <w:color w:val="auto"/>
              </w:rPr>
            </w:pPr>
          </w:p>
        </w:tc>
        <w:tc>
          <w:tcPr>
            <w:tcW w:w="6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400" w:type="dxa"/>
            <w:vAlign w:val="bottom"/>
            <w:tcBorders>
              <w:top w:val="single" w:sz="8" w:color="auto"/>
            </w:tcBorders>
          </w:tcPr>
          <w:p>
            <w:pPr>
              <w:ind w:left="160"/>
              <w:spacing w:after="0" w:line="142" w:lineRule="exact"/>
              <w:rPr>
                <w:sz w:val="20"/>
                <w:szCs w:val="20"/>
                <w:color w:val="auto"/>
              </w:rPr>
            </w:pPr>
            <w:r>
              <w:rPr>
                <w:rFonts w:ascii="Times New Roman" w:cs="Times New Roman" w:eastAsia="Times New Roman" w:hAnsi="Times New Roman"/>
                <w:sz w:val="13"/>
                <w:szCs w:val="13"/>
                <w:b w:val="1"/>
                <w:bCs w:val="1"/>
                <w:color w:val="auto"/>
                <w:w w:val="86"/>
              </w:rPr>
              <w:t>YoY</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Borders>
              <w:top w:val="single" w:sz="8" w:color="auto"/>
            </w:tcBorders>
            <w:gridSpan w:val="2"/>
          </w:tcPr>
          <w:p>
            <w:pPr>
              <w:jc w:val="right"/>
              <w:ind w:right="80"/>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640" w:type="dxa"/>
            <w:vAlign w:val="bottom"/>
            <w:tcBorders>
              <w:top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640" w:type="dxa"/>
            <w:vAlign w:val="bottom"/>
            <w:tcBorders>
              <w:top w:val="single" w:sz="8" w:color="auto"/>
            </w:tcBorders>
            <w:gridSpan w:val="2"/>
          </w:tcPr>
          <w:p>
            <w:pPr>
              <w:jc w:val="right"/>
              <w:ind w:right="220"/>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420" w:type="dxa"/>
            <w:vAlign w:val="bottom"/>
            <w:tcBorders>
              <w:top w:val="single" w:sz="8" w:color="auto"/>
            </w:tcBorders>
          </w:tcPr>
          <w:p>
            <w:pPr>
              <w:ind w:left="200"/>
              <w:spacing w:after="0" w:line="142" w:lineRule="exact"/>
              <w:rPr>
                <w:sz w:val="20"/>
                <w:szCs w:val="20"/>
                <w:color w:val="auto"/>
              </w:rPr>
            </w:pPr>
            <w:r>
              <w:rPr>
                <w:rFonts w:ascii="Times New Roman" w:cs="Times New Roman" w:eastAsia="Times New Roman" w:hAnsi="Times New Roman"/>
                <w:sz w:val="13"/>
                <w:szCs w:val="13"/>
                <w:b w:val="1"/>
                <w:bCs w:val="1"/>
                <w:color w:val="auto"/>
                <w:w w:val="78"/>
              </w:rPr>
              <w:t>YoY</w:t>
            </w:r>
          </w:p>
        </w:tc>
        <w:tc>
          <w:tcPr>
            <w:tcW w:w="240" w:type="dxa"/>
            <w:vAlign w:val="bottom"/>
          </w:tcPr>
          <w:p>
            <w:pPr>
              <w:spacing w:after="0"/>
              <w:rPr>
                <w:sz w:val="12"/>
                <w:szCs w:val="12"/>
                <w:color w:val="auto"/>
              </w:rPr>
            </w:pPr>
          </w:p>
        </w:tc>
        <w:tc>
          <w:tcPr>
            <w:tcW w:w="760" w:type="dxa"/>
            <w:vAlign w:val="bottom"/>
            <w:tcBorders>
              <w:top w:val="single" w:sz="8" w:color="auto"/>
            </w:tcBorders>
            <w:gridSpan w:val="3"/>
          </w:tcPr>
          <w:p>
            <w:pPr>
              <w:ind w:left="260"/>
              <w:spacing w:after="0" w:line="142" w:lineRule="exact"/>
              <w:rPr>
                <w:sz w:val="20"/>
                <w:szCs w:val="20"/>
                <w:color w:val="auto"/>
              </w:rPr>
            </w:pPr>
            <w:r>
              <w:rPr>
                <w:rFonts w:ascii="Times New Roman" w:cs="Times New Roman" w:eastAsia="Times New Roman" w:hAnsi="Times New Roman"/>
                <w:sz w:val="13"/>
                <w:szCs w:val="13"/>
                <w:b w:val="1"/>
                <w:bCs w:val="1"/>
                <w:color w:val="auto"/>
              </w:rPr>
              <w:t>LC</w:t>
            </w:r>
          </w:p>
        </w:tc>
        <w:tc>
          <w:tcPr>
            <w:tcW w:w="340" w:type="dxa"/>
            <w:vAlign w:val="bottom"/>
            <w:tcBorders>
              <w:top w:val="single" w:sz="8" w:color="auto"/>
            </w:tcBorders>
          </w:tcPr>
          <w:p>
            <w:pPr>
              <w:ind w:left="140"/>
              <w:spacing w:after="0" w:line="142" w:lineRule="exact"/>
              <w:rPr>
                <w:sz w:val="20"/>
                <w:szCs w:val="20"/>
                <w:color w:val="auto"/>
              </w:rPr>
            </w:pPr>
            <w:r>
              <w:rPr>
                <w:rFonts w:ascii="Times New Roman" w:cs="Times New Roman" w:eastAsia="Times New Roman" w:hAnsi="Times New Roman"/>
                <w:sz w:val="13"/>
                <w:szCs w:val="13"/>
                <w:b w:val="1"/>
                <w:bCs w:val="1"/>
                <w:color w:val="auto"/>
              </w:rPr>
              <w:t>FC</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BCP Stand-alone</w:t>
            </w: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100" w:type="dxa"/>
            <w:vAlign w:val="bottom"/>
            <w:vMerge w:val="continue"/>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57,636</w:t>
            </w:r>
          </w:p>
        </w:tc>
        <w:tc>
          <w:tcPr>
            <w:tcW w:w="10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70,856</w:t>
            </w:r>
          </w:p>
        </w:tc>
        <w:tc>
          <w:tcPr>
            <w:tcW w:w="18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78,056</w:t>
            </w:r>
          </w:p>
        </w:tc>
        <w:tc>
          <w:tcPr>
            <w:tcW w:w="18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63,464</w:t>
            </w:r>
          </w:p>
        </w:tc>
        <w:tc>
          <w:tcPr>
            <w:tcW w:w="20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60,115</w:t>
            </w:r>
          </w:p>
        </w:tc>
        <w:tc>
          <w:tcPr>
            <w:tcW w:w="100" w:type="dxa"/>
            <w:vAlign w:val="bottom"/>
            <w:vMerge w:val="continue"/>
            <w:shd w:val="clear" w:color="auto" w:fill="CCEEFF"/>
          </w:tcPr>
          <w:p>
            <w:pPr>
              <w:spacing w:after="0"/>
              <w:rPr>
                <w:sz w:val="11"/>
                <w:szCs w:val="11"/>
                <w:color w:val="auto"/>
              </w:rPr>
            </w:pPr>
          </w:p>
        </w:tc>
        <w:tc>
          <w:tcPr>
            <w:tcW w:w="100" w:type="dxa"/>
            <w:vAlign w:val="bottom"/>
            <w:vMerge w:val="continue"/>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10.2%</w:t>
            </w:r>
          </w:p>
        </w:tc>
        <w:tc>
          <w:tcPr>
            <w:tcW w:w="6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35.4%</w:t>
            </w:r>
          </w:p>
        </w:tc>
        <w:tc>
          <w:tcPr>
            <w:tcW w:w="64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-5.3%</w:t>
            </w:r>
          </w:p>
        </w:tc>
        <w:tc>
          <w:tcPr>
            <w:tcW w:w="5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4.3%</w:t>
            </w:r>
          </w:p>
        </w:tc>
        <w:tc>
          <w:tcPr>
            <w:tcW w:w="10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10,132</w:t>
            </w:r>
          </w:p>
        </w:tc>
        <w:tc>
          <w:tcPr>
            <w:tcW w:w="80" w:type="dxa"/>
            <w:vAlign w:val="bottom"/>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4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10,371</w:t>
            </w:r>
          </w:p>
        </w:tc>
        <w:tc>
          <w:tcPr>
            <w:tcW w:w="18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9,375</w:t>
            </w:r>
          </w:p>
        </w:tc>
        <w:tc>
          <w:tcPr>
            <w:tcW w:w="180" w:type="dxa"/>
            <w:vAlign w:val="bottom"/>
            <w:vMerge w:val="continue"/>
            <w:shd w:val="clear" w:color="auto" w:fill="CCEEFF"/>
          </w:tcPr>
          <w:p>
            <w:pPr>
              <w:spacing w:after="0"/>
              <w:rPr>
                <w:sz w:val="11"/>
                <w:szCs w:val="11"/>
                <w:color w:val="auto"/>
              </w:rPr>
            </w:pPr>
          </w:p>
        </w:tc>
        <w:tc>
          <w:tcPr>
            <w:tcW w:w="64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-9.6%</w:t>
            </w:r>
          </w:p>
        </w:tc>
        <w:tc>
          <w:tcPr>
            <w:tcW w:w="660" w:type="dxa"/>
            <w:vAlign w:val="bottom"/>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-7.5%</w:t>
            </w:r>
          </w:p>
        </w:tc>
        <w:tc>
          <w:tcPr>
            <w:tcW w:w="680" w:type="dxa"/>
            <w:vAlign w:val="bottom"/>
            <w:gridSpan w:val="2"/>
            <w:shd w:val="clear" w:color="auto" w:fill="CCEEFF"/>
          </w:tcPr>
          <w:p>
            <w:pPr>
              <w:jc w:val="right"/>
              <w:ind w:right="120"/>
              <w:spacing w:after="0" w:line="129" w:lineRule="exact"/>
              <w:rPr>
                <w:sz w:val="20"/>
                <w:szCs w:val="20"/>
                <w:color w:val="auto"/>
              </w:rPr>
            </w:pPr>
            <w:r>
              <w:rPr>
                <w:rFonts w:ascii="Times New Roman" w:cs="Times New Roman" w:eastAsia="Times New Roman" w:hAnsi="Times New Roman"/>
                <w:sz w:val="13"/>
                <w:szCs w:val="13"/>
                <w:b w:val="1"/>
                <w:bCs w:val="1"/>
                <w:color w:val="auto"/>
              </w:rPr>
              <w:t>70.1%</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29.9%</w:t>
            </w:r>
          </w:p>
        </w:tc>
        <w:tc>
          <w:tcPr>
            <w:tcW w:w="0" w:type="dxa"/>
            <w:vAlign w:val="bottom"/>
          </w:tcPr>
          <w:p>
            <w:pPr>
              <w:spacing w:after="0"/>
              <w:rPr>
                <w:sz w:val="1"/>
                <w:szCs w:val="1"/>
                <w:color w:val="auto"/>
              </w:rPr>
            </w:pPr>
          </w:p>
        </w:tc>
      </w:tr>
      <w:tr>
        <w:trPr>
          <w:trHeight w:val="115"/>
        </w:trPr>
        <w:tc>
          <w:tcPr>
            <w:tcW w:w="1100" w:type="dxa"/>
            <w:vAlign w:val="bottom"/>
          </w:tcPr>
          <w:p>
            <w:pPr>
              <w:ind w:left="180"/>
              <w:spacing w:after="0" w:line="115" w:lineRule="exact"/>
              <w:rPr>
                <w:sz w:val="20"/>
                <w:szCs w:val="20"/>
                <w:color w:val="auto"/>
              </w:rPr>
            </w:pPr>
            <w:r>
              <w:rPr>
                <w:rFonts w:ascii="Times New Roman" w:cs="Times New Roman" w:eastAsia="Times New Roman" w:hAnsi="Times New Roman"/>
                <w:sz w:val="13"/>
                <w:szCs w:val="13"/>
                <w:b w:val="1"/>
                <w:bCs w:val="1"/>
                <w:color w:val="auto"/>
              </w:rPr>
              <w:t>Wholesale</w:t>
            </w: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100" w:type="dxa"/>
            <w:vAlign w:val="bottom"/>
          </w:tcPr>
          <w:p>
            <w:pPr>
              <w:ind w:left="180"/>
              <w:spacing w:after="0"/>
              <w:rPr>
                <w:sz w:val="20"/>
                <w:szCs w:val="20"/>
                <w:color w:val="auto"/>
              </w:rPr>
            </w:pPr>
            <w:r>
              <w:rPr>
                <w:rFonts w:ascii="Times New Roman" w:cs="Times New Roman" w:eastAsia="Times New Roman" w:hAnsi="Times New Roman"/>
                <w:sz w:val="13"/>
                <w:szCs w:val="13"/>
                <w:b w:val="1"/>
                <w:bCs w:val="1"/>
                <w:color w:val="auto"/>
              </w:rPr>
              <w:t>Banking</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19,964</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27,207</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28,201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23,895</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21,694</w:t>
            </w:r>
          </w:p>
        </w:tc>
        <w:tc>
          <w:tcPr>
            <w:tcW w:w="100" w:type="dxa"/>
            <w:vAlign w:val="bottom"/>
          </w:tcPr>
          <w:p>
            <w:pPr>
              <w:spacing w:after="0"/>
              <w:rPr>
                <w:sz w:val="13"/>
                <w:szCs w:val="13"/>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3.7%</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41.3%</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-9.2%</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8.7%</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7,873</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8,335</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7,493</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-10.1%</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-4.8%</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51.4%</w:t>
            </w:r>
          </w:p>
        </w:tc>
        <w:tc>
          <w:tcPr>
            <w:tcW w:w="80" w:type="dxa"/>
            <w:vAlign w:val="bottom"/>
          </w:tcPr>
          <w:p>
            <w:pPr>
              <w:spacing w:after="0"/>
              <w:rPr>
                <w:sz w:val="13"/>
                <w:szCs w:val="13"/>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48.6%</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Corporate</w:t>
            </w: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11,320</w:t>
            </w: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15,245</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14,204</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14,789</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13,381</w:t>
            </w:r>
          </w:p>
        </w:tc>
        <w:tc>
          <w:tcPr>
            <w:tcW w:w="100" w:type="dxa"/>
            <w:vAlign w:val="bottom"/>
            <w:shd w:val="clear" w:color="auto" w:fill="CCEEFF"/>
          </w:tcPr>
          <w:p>
            <w:pPr>
              <w:spacing w:after="0"/>
              <w:rPr>
                <w:sz w:val="11"/>
                <w:szCs w:val="11"/>
                <w:color w:val="auto"/>
              </w:rPr>
            </w:pPr>
          </w:p>
        </w:tc>
        <w:tc>
          <w:tcPr>
            <w:tcW w:w="620" w:type="dxa"/>
            <w:vAlign w:val="bottom"/>
            <w:gridSpan w:val="3"/>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-6.8%</w:t>
            </w:r>
          </w:p>
        </w:tc>
        <w:tc>
          <w:tcPr>
            <w:tcW w:w="660" w:type="dxa"/>
            <w:vAlign w:val="bottom"/>
            <w:gridSpan w:val="2"/>
            <w:shd w:val="clear" w:color="auto" w:fill="66E0DA"/>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25.5%</w:t>
            </w:r>
          </w:p>
        </w:tc>
        <w:tc>
          <w:tcPr>
            <w:tcW w:w="640" w:type="dxa"/>
            <w:vAlign w:val="bottom"/>
            <w:gridSpan w:val="2"/>
            <w:shd w:val="clear" w:color="auto" w:fill="FFA279"/>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-9.5%</w:t>
            </w:r>
          </w:p>
        </w:tc>
        <w:tc>
          <w:tcPr>
            <w:tcW w:w="540" w:type="dxa"/>
            <w:vAlign w:val="bottom"/>
            <w:gridSpan w:val="2"/>
            <w:shd w:val="clear" w:color="auto" w:fill="66E0DA"/>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18.2%</w:t>
            </w:r>
          </w:p>
        </w:tc>
        <w:tc>
          <w:tcPr>
            <w:tcW w:w="6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4,969</w:t>
            </w: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5,449</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4,851</w:t>
            </w:r>
          </w:p>
        </w:tc>
        <w:tc>
          <w:tcPr>
            <w:tcW w:w="64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-11.0%</w:t>
            </w:r>
          </w:p>
        </w:tc>
        <w:tc>
          <w:tcPr>
            <w:tcW w:w="66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45.2%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54.8%</w:t>
            </w:r>
          </w:p>
        </w:tc>
        <w:tc>
          <w:tcPr>
            <w:tcW w:w="0" w:type="dxa"/>
            <w:vAlign w:val="bottom"/>
          </w:tcPr>
          <w:p>
            <w:pPr>
              <w:spacing w:after="0"/>
              <w:rPr>
                <w:sz w:val="1"/>
                <w:szCs w:val="1"/>
                <w:color w:val="auto"/>
              </w:rPr>
            </w:pPr>
          </w:p>
        </w:tc>
      </w:tr>
      <w:tr>
        <w:trPr>
          <w:trHeight w:val="117"/>
        </w:trPr>
        <w:tc>
          <w:tcPr>
            <w:tcW w:w="110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Middle-</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shd w:val="clear" w:color="auto" w:fill="66E0DA"/>
          </w:tcPr>
          <w:p>
            <w:pPr>
              <w:spacing w:after="0"/>
              <w:rPr>
                <w:sz w:val="10"/>
                <w:szCs w:val="10"/>
                <w:color w:val="auto"/>
              </w:rPr>
            </w:pPr>
          </w:p>
        </w:tc>
        <w:tc>
          <w:tcPr>
            <w:tcW w:w="320" w:type="dxa"/>
            <w:vAlign w:val="bottom"/>
            <w:shd w:val="clear" w:color="auto" w:fill="66E0DA"/>
          </w:tcPr>
          <w:p>
            <w:pPr>
              <w:spacing w:after="0"/>
              <w:rPr>
                <w:sz w:val="10"/>
                <w:szCs w:val="10"/>
                <w:color w:val="auto"/>
              </w:rPr>
            </w:pPr>
          </w:p>
        </w:tc>
        <w:tc>
          <w:tcPr>
            <w:tcW w:w="220" w:type="dxa"/>
            <w:vAlign w:val="bottom"/>
            <w:shd w:val="clear" w:color="auto" w:fill="66E0DA"/>
          </w:tcPr>
          <w:p>
            <w:pPr>
              <w:spacing w:after="0"/>
              <w:rPr>
                <w:sz w:val="10"/>
                <w:szCs w:val="10"/>
                <w:color w:val="auto"/>
              </w:rPr>
            </w:pPr>
          </w:p>
        </w:tc>
        <w:tc>
          <w:tcPr>
            <w:tcW w:w="420" w:type="dxa"/>
            <w:vAlign w:val="bottom"/>
            <w:shd w:val="clear" w:color="auto" w:fill="66E0DA"/>
          </w:tcPr>
          <w:p>
            <w:pPr>
              <w:spacing w:after="0"/>
              <w:rPr>
                <w:sz w:val="10"/>
                <w:szCs w:val="10"/>
                <w:color w:val="auto"/>
              </w:rPr>
            </w:pPr>
          </w:p>
        </w:tc>
        <w:tc>
          <w:tcPr>
            <w:tcW w:w="240" w:type="dxa"/>
            <w:vAlign w:val="bottom"/>
            <w:shd w:val="clear" w:color="auto" w:fill="66E0DA"/>
          </w:tcPr>
          <w:p>
            <w:pPr>
              <w:spacing w:after="0"/>
              <w:rPr>
                <w:sz w:val="10"/>
                <w:szCs w:val="10"/>
                <w:color w:val="auto"/>
              </w:rPr>
            </w:pPr>
          </w:p>
        </w:tc>
        <w:tc>
          <w:tcPr>
            <w:tcW w:w="400" w:type="dxa"/>
            <w:vAlign w:val="bottom"/>
            <w:shd w:val="clear" w:color="auto" w:fill="FFA279"/>
          </w:tcPr>
          <w:p>
            <w:pPr>
              <w:spacing w:after="0"/>
              <w:rPr>
                <w:sz w:val="10"/>
                <w:szCs w:val="10"/>
                <w:color w:val="auto"/>
              </w:rPr>
            </w:pPr>
          </w:p>
        </w:tc>
        <w:tc>
          <w:tcPr>
            <w:tcW w:w="240" w:type="dxa"/>
            <w:vAlign w:val="bottom"/>
            <w:shd w:val="clear" w:color="auto" w:fill="FFA279"/>
          </w:tcPr>
          <w:p>
            <w:pPr>
              <w:spacing w:after="0"/>
              <w:rPr>
                <w:sz w:val="10"/>
                <w:szCs w:val="10"/>
                <w:color w:val="auto"/>
              </w:rPr>
            </w:pPr>
          </w:p>
        </w:tc>
        <w:tc>
          <w:tcPr>
            <w:tcW w:w="400" w:type="dxa"/>
            <w:vAlign w:val="bottom"/>
            <w:shd w:val="clear" w:color="auto" w:fill="FFA279"/>
          </w:tcPr>
          <w:p>
            <w:pPr>
              <w:spacing w:after="0"/>
              <w:rPr>
                <w:sz w:val="10"/>
                <w:szCs w:val="10"/>
                <w:color w:val="auto"/>
              </w:rPr>
            </w:pPr>
          </w:p>
        </w:tc>
        <w:tc>
          <w:tcPr>
            <w:tcW w:w="140" w:type="dxa"/>
            <w:vAlign w:val="bottom"/>
            <w:shd w:val="clear" w:color="auto" w:fill="FFA279"/>
          </w:tcPr>
          <w:p>
            <w:pPr>
              <w:spacing w:after="0"/>
              <w:rPr>
                <w:sz w:val="10"/>
                <w:szCs w:val="10"/>
                <w:color w:val="auto"/>
              </w:rPr>
            </w:pPr>
          </w:p>
        </w:tc>
        <w:tc>
          <w:tcPr>
            <w:tcW w:w="100" w:type="dxa"/>
            <w:vAlign w:val="bottom"/>
            <w:shd w:val="clear" w:color="auto" w:fill="FFA279"/>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shd w:val="clear" w:color="auto" w:fill="FFA279"/>
          </w:tcPr>
          <w:p>
            <w:pPr>
              <w:spacing w:after="0"/>
              <w:rPr>
                <w:sz w:val="10"/>
                <w:szCs w:val="10"/>
                <w:color w:val="auto"/>
              </w:rPr>
            </w:pPr>
          </w:p>
        </w:tc>
        <w:tc>
          <w:tcPr>
            <w:tcW w:w="220" w:type="dxa"/>
            <w:vAlign w:val="bottom"/>
            <w:shd w:val="clear" w:color="auto" w:fill="FFA279"/>
          </w:tcPr>
          <w:p>
            <w:pPr>
              <w:spacing w:after="0"/>
              <w:rPr>
                <w:sz w:val="10"/>
                <w:szCs w:val="10"/>
                <w:color w:val="auto"/>
              </w:rPr>
            </w:pPr>
          </w:p>
        </w:tc>
        <w:tc>
          <w:tcPr>
            <w:tcW w:w="420" w:type="dxa"/>
            <w:vAlign w:val="bottom"/>
            <w:shd w:val="clear" w:color="auto" w:fill="FFA279"/>
          </w:tcPr>
          <w:p>
            <w:pPr>
              <w:spacing w:after="0"/>
              <w:rPr>
                <w:sz w:val="10"/>
                <w:szCs w:val="10"/>
                <w:color w:val="auto"/>
              </w:rPr>
            </w:pPr>
          </w:p>
        </w:tc>
        <w:tc>
          <w:tcPr>
            <w:tcW w:w="240" w:type="dxa"/>
            <w:vAlign w:val="bottom"/>
            <w:shd w:val="clear" w:color="auto" w:fill="FFA279"/>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0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Market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8,644</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11,962</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13,997</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9,105</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8,313</w:t>
            </w:r>
          </w:p>
        </w:tc>
        <w:tc>
          <w:tcPr>
            <w:tcW w:w="100" w:type="dxa"/>
            <w:vAlign w:val="bottom"/>
          </w:tcPr>
          <w:p>
            <w:pPr>
              <w:spacing w:after="0"/>
              <w:rPr>
                <w:sz w:val="13"/>
                <w:szCs w:val="13"/>
                <w:color w:val="auto"/>
              </w:rPr>
            </w:pPr>
          </w:p>
        </w:tc>
        <w:tc>
          <w:tcPr>
            <w:tcW w:w="620" w:type="dxa"/>
            <w:vAlign w:val="bottom"/>
            <w:gridSpan w:val="3"/>
            <w:shd w:val="clear" w:color="auto" w:fill="66E0DA"/>
          </w:tcPr>
          <w:p>
            <w:pPr>
              <w:jc w:val="right"/>
              <w:ind w:right="120"/>
              <w:spacing w:after="0"/>
              <w:rPr>
                <w:sz w:val="20"/>
                <w:szCs w:val="20"/>
                <w:color w:val="auto"/>
              </w:rPr>
            </w:pPr>
            <w:r>
              <w:rPr>
                <w:rFonts w:ascii="Times New Roman" w:cs="Times New Roman" w:eastAsia="Times New Roman" w:hAnsi="Times New Roman"/>
                <w:sz w:val="13"/>
                <w:szCs w:val="13"/>
                <w:color w:val="auto"/>
              </w:rPr>
              <w:t>17.0%</w:t>
            </w:r>
          </w:p>
        </w:tc>
        <w:tc>
          <w:tcPr>
            <w:tcW w:w="660" w:type="dxa"/>
            <w:vAlign w:val="bottom"/>
            <w:gridSpan w:val="2"/>
            <w:shd w:val="clear" w:color="auto" w:fill="66E0DA"/>
          </w:tcPr>
          <w:p>
            <w:pPr>
              <w:jc w:val="right"/>
              <w:ind w:right="120"/>
              <w:spacing w:after="0"/>
              <w:rPr>
                <w:sz w:val="20"/>
                <w:szCs w:val="20"/>
                <w:color w:val="auto"/>
              </w:rPr>
            </w:pPr>
            <w:r>
              <w:rPr>
                <w:rFonts w:ascii="Times New Roman" w:cs="Times New Roman" w:eastAsia="Times New Roman" w:hAnsi="Times New Roman"/>
                <w:sz w:val="13"/>
                <w:szCs w:val="13"/>
                <w:color w:val="auto"/>
              </w:rPr>
              <w:t>61.9%</w:t>
            </w:r>
          </w:p>
        </w:tc>
        <w:tc>
          <w:tcPr>
            <w:tcW w:w="640" w:type="dxa"/>
            <w:vAlign w:val="bottom"/>
            <w:gridSpan w:val="2"/>
            <w:shd w:val="clear" w:color="auto" w:fill="FFA279"/>
          </w:tcPr>
          <w:p>
            <w:pPr>
              <w:jc w:val="right"/>
              <w:ind w:right="140"/>
              <w:spacing w:after="0"/>
              <w:rPr>
                <w:sz w:val="20"/>
                <w:szCs w:val="20"/>
                <w:color w:val="auto"/>
              </w:rPr>
            </w:pPr>
            <w:r>
              <w:rPr>
                <w:rFonts w:ascii="Times New Roman" w:cs="Times New Roman" w:eastAsia="Times New Roman" w:hAnsi="Times New Roman"/>
                <w:sz w:val="13"/>
                <w:szCs w:val="13"/>
                <w:color w:val="auto"/>
              </w:rPr>
              <w:t>-8.7%</w:t>
            </w:r>
          </w:p>
        </w:tc>
        <w:tc>
          <w:tcPr>
            <w:tcW w:w="540" w:type="dxa"/>
            <w:vAlign w:val="bottom"/>
            <w:gridSpan w:val="2"/>
            <w:shd w:val="clear" w:color="auto" w:fill="FFA279"/>
          </w:tcPr>
          <w:p>
            <w:pPr>
              <w:jc w:val="right"/>
              <w:ind w:right="20"/>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shd w:val="clear" w:color="auto" w:fill="FFA279"/>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2,905</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2,886</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2,642</w:t>
            </w:r>
          </w:p>
        </w:tc>
        <w:tc>
          <w:tcPr>
            <w:tcW w:w="640" w:type="dxa"/>
            <w:vAlign w:val="bottom"/>
            <w:gridSpan w:val="2"/>
            <w:shd w:val="clear" w:color="auto" w:fill="FFA279"/>
          </w:tcPr>
          <w:p>
            <w:pPr>
              <w:jc w:val="right"/>
              <w:ind w:right="120"/>
              <w:spacing w:after="0"/>
              <w:rPr>
                <w:sz w:val="20"/>
                <w:szCs w:val="20"/>
                <w:color w:val="auto"/>
              </w:rPr>
            </w:pPr>
            <w:r>
              <w:rPr>
                <w:rFonts w:ascii="Times New Roman" w:cs="Times New Roman" w:eastAsia="Times New Roman" w:hAnsi="Times New Roman"/>
                <w:sz w:val="13"/>
                <w:szCs w:val="13"/>
                <w:color w:val="auto"/>
              </w:rPr>
              <w:t>-8.5%</w:t>
            </w:r>
          </w:p>
        </w:tc>
        <w:tc>
          <w:tcPr>
            <w:tcW w:w="660" w:type="dxa"/>
            <w:vAlign w:val="bottom"/>
            <w:gridSpan w:val="2"/>
            <w:shd w:val="clear" w:color="auto" w:fill="FFA279"/>
          </w:tcPr>
          <w:p>
            <w:pPr>
              <w:jc w:val="right"/>
              <w:ind w:right="120"/>
              <w:spacing w:after="0"/>
              <w:rPr>
                <w:sz w:val="20"/>
                <w:szCs w:val="20"/>
                <w:color w:val="auto"/>
              </w:rPr>
            </w:pPr>
            <w:r>
              <w:rPr>
                <w:rFonts w:ascii="Times New Roman" w:cs="Times New Roman" w:eastAsia="Times New Roman" w:hAnsi="Times New Roman"/>
                <w:sz w:val="13"/>
                <w:szCs w:val="13"/>
                <w:color w:val="auto"/>
              </w:rPr>
              <w:t>-9.0%</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3"/>
                <w:szCs w:val="13"/>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40.2%</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b w:val="1"/>
                <w:bCs w:val="1"/>
                <w:color w:val="auto"/>
              </w:rPr>
              <w:t>Retail Banking</w:t>
            </w: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37,672</w:t>
            </w: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43,649</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49,855</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39,569</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38,421</w:t>
            </w:r>
          </w:p>
        </w:tc>
        <w:tc>
          <w:tcPr>
            <w:tcW w:w="10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14.2%</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32.3%</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-2.9%</w:t>
            </w:r>
          </w:p>
        </w:tc>
        <w:tc>
          <w:tcPr>
            <w:tcW w:w="5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2.0%</w:t>
            </w:r>
          </w:p>
        </w:tc>
        <w:tc>
          <w:tcPr>
            <w:tcW w:w="6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2,258</w:t>
            </w: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2,036</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1,882</w:t>
            </w: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-7.5%</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-16.7%</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88.2%</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11.8%</w:t>
            </w:r>
          </w:p>
        </w:tc>
        <w:tc>
          <w:tcPr>
            <w:tcW w:w="0" w:type="dxa"/>
            <w:vAlign w:val="bottom"/>
          </w:tcPr>
          <w:p>
            <w:pPr>
              <w:spacing w:after="0"/>
              <w:rPr>
                <w:sz w:val="1"/>
                <w:szCs w:val="1"/>
                <w:color w:val="auto"/>
              </w:rPr>
            </w:pPr>
          </w:p>
        </w:tc>
      </w:tr>
      <w:tr>
        <w:trPr>
          <w:trHeight w:val="117"/>
        </w:trPr>
        <w:tc>
          <w:tcPr>
            <w:tcW w:w="110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SME -</w:t>
            </w: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shd w:val="clear" w:color="auto" w:fill="66E0DA"/>
          </w:tcPr>
          <w:p>
            <w:pPr>
              <w:spacing w:after="0"/>
              <w:rPr>
                <w:sz w:val="10"/>
                <w:szCs w:val="10"/>
                <w:color w:val="auto"/>
              </w:rPr>
            </w:pPr>
          </w:p>
        </w:tc>
        <w:tc>
          <w:tcPr>
            <w:tcW w:w="320" w:type="dxa"/>
            <w:vAlign w:val="bottom"/>
            <w:shd w:val="clear" w:color="auto" w:fill="66E0DA"/>
          </w:tcPr>
          <w:p>
            <w:pPr>
              <w:spacing w:after="0"/>
              <w:rPr>
                <w:sz w:val="10"/>
                <w:szCs w:val="10"/>
                <w:color w:val="auto"/>
              </w:rPr>
            </w:pPr>
          </w:p>
        </w:tc>
        <w:tc>
          <w:tcPr>
            <w:tcW w:w="220" w:type="dxa"/>
            <w:vAlign w:val="bottom"/>
            <w:shd w:val="clear" w:color="auto" w:fill="66E0DA"/>
          </w:tcPr>
          <w:p>
            <w:pPr>
              <w:spacing w:after="0"/>
              <w:rPr>
                <w:sz w:val="10"/>
                <w:szCs w:val="10"/>
                <w:color w:val="auto"/>
              </w:rPr>
            </w:pPr>
          </w:p>
        </w:tc>
        <w:tc>
          <w:tcPr>
            <w:tcW w:w="420" w:type="dxa"/>
            <w:vAlign w:val="bottom"/>
            <w:shd w:val="clear" w:color="auto" w:fill="66E0DA"/>
          </w:tcPr>
          <w:p>
            <w:pPr>
              <w:spacing w:after="0"/>
              <w:rPr>
                <w:sz w:val="10"/>
                <w:szCs w:val="10"/>
                <w:color w:val="auto"/>
              </w:rPr>
            </w:pPr>
          </w:p>
        </w:tc>
        <w:tc>
          <w:tcPr>
            <w:tcW w:w="240" w:type="dxa"/>
            <w:vAlign w:val="bottom"/>
            <w:shd w:val="clear" w:color="auto" w:fill="66E0DA"/>
          </w:tcPr>
          <w:p>
            <w:pPr>
              <w:spacing w:after="0"/>
              <w:rPr>
                <w:sz w:val="10"/>
                <w:szCs w:val="10"/>
                <w:color w:val="auto"/>
              </w:rPr>
            </w:pPr>
          </w:p>
        </w:tc>
        <w:tc>
          <w:tcPr>
            <w:tcW w:w="400" w:type="dxa"/>
            <w:vAlign w:val="bottom"/>
            <w:shd w:val="clear" w:color="auto" w:fill="FFA279"/>
          </w:tcPr>
          <w:p>
            <w:pPr>
              <w:spacing w:after="0"/>
              <w:rPr>
                <w:sz w:val="10"/>
                <w:szCs w:val="10"/>
                <w:color w:val="auto"/>
              </w:rPr>
            </w:pPr>
          </w:p>
        </w:tc>
        <w:tc>
          <w:tcPr>
            <w:tcW w:w="240" w:type="dxa"/>
            <w:vAlign w:val="bottom"/>
            <w:shd w:val="clear" w:color="auto" w:fill="FFA279"/>
          </w:tcPr>
          <w:p>
            <w:pPr>
              <w:spacing w:after="0"/>
              <w:rPr>
                <w:sz w:val="10"/>
                <w:szCs w:val="10"/>
                <w:color w:val="auto"/>
              </w:rPr>
            </w:pPr>
          </w:p>
        </w:tc>
        <w:tc>
          <w:tcPr>
            <w:tcW w:w="400" w:type="dxa"/>
            <w:vAlign w:val="bottom"/>
            <w:shd w:val="clear" w:color="auto" w:fill="FFA279"/>
          </w:tcPr>
          <w:p>
            <w:pPr>
              <w:spacing w:after="0"/>
              <w:rPr>
                <w:sz w:val="10"/>
                <w:szCs w:val="10"/>
                <w:color w:val="auto"/>
              </w:rPr>
            </w:pPr>
          </w:p>
        </w:tc>
        <w:tc>
          <w:tcPr>
            <w:tcW w:w="140" w:type="dxa"/>
            <w:vAlign w:val="bottom"/>
            <w:shd w:val="clear" w:color="auto" w:fill="FFA279"/>
          </w:tcPr>
          <w:p>
            <w:pPr>
              <w:spacing w:after="0"/>
              <w:rPr>
                <w:sz w:val="10"/>
                <w:szCs w:val="10"/>
                <w:color w:val="auto"/>
              </w:rPr>
            </w:pPr>
          </w:p>
        </w:tc>
        <w:tc>
          <w:tcPr>
            <w:tcW w:w="100" w:type="dxa"/>
            <w:vAlign w:val="bottom"/>
            <w:shd w:val="clear" w:color="auto" w:fill="FFA279"/>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20" w:type="dxa"/>
            <w:vAlign w:val="bottom"/>
            <w:shd w:val="clear" w:color="auto" w:fill="FFA279"/>
          </w:tcPr>
          <w:p>
            <w:pPr>
              <w:spacing w:after="0"/>
              <w:rPr>
                <w:sz w:val="10"/>
                <w:szCs w:val="10"/>
                <w:color w:val="auto"/>
              </w:rPr>
            </w:pPr>
          </w:p>
        </w:tc>
        <w:tc>
          <w:tcPr>
            <w:tcW w:w="220" w:type="dxa"/>
            <w:vAlign w:val="bottom"/>
            <w:shd w:val="clear" w:color="auto" w:fill="FFA279"/>
          </w:tcPr>
          <w:p>
            <w:pPr>
              <w:spacing w:after="0"/>
              <w:rPr>
                <w:sz w:val="10"/>
                <w:szCs w:val="10"/>
                <w:color w:val="auto"/>
              </w:rPr>
            </w:pPr>
          </w:p>
        </w:tc>
        <w:tc>
          <w:tcPr>
            <w:tcW w:w="420" w:type="dxa"/>
            <w:vAlign w:val="bottom"/>
            <w:shd w:val="clear" w:color="auto" w:fill="FFA279"/>
          </w:tcPr>
          <w:p>
            <w:pPr>
              <w:spacing w:after="0"/>
              <w:rPr>
                <w:sz w:val="10"/>
                <w:szCs w:val="10"/>
                <w:color w:val="auto"/>
              </w:rPr>
            </w:pPr>
          </w:p>
        </w:tc>
        <w:tc>
          <w:tcPr>
            <w:tcW w:w="240" w:type="dxa"/>
            <w:vAlign w:val="bottom"/>
            <w:shd w:val="clear" w:color="auto" w:fill="FFA279"/>
          </w:tcPr>
          <w:p>
            <w:pPr>
              <w:spacing w:after="0"/>
              <w:rPr>
                <w:sz w:val="10"/>
                <w:szCs w:val="10"/>
                <w:color w:val="auto"/>
              </w:rPr>
            </w:pPr>
          </w:p>
        </w:tc>
        <w:tc>
          <w:tcPr>
            <w:tcW w:w="4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100" w:type="dxa"/>
            <w:vAlign w:val="bottom"/>
          </w:tcPr>
          <w:p>
            <w:pPr>
              <w:ind w:left="340"/>
              <w:spacing w:after="0" w:line="135" w:lineRule="exact"/>
              <w:rPr>
                <w:sz w:val="20"/>
                <w:szCs w:val="20"/>
                <w:color w:val="auto"/>
              </w:rPr>
            </w:pPr>
            <w:r>
              <w:rPr>
                <w:rFonts w:ascii="Times New Roman" w:cs="Times New Roman" w:eastAsia="Times New Roman" w:hAnsi="Times New Roman"/>
                <w:sz w:val="13"/>
                <w:szCs w:val="13"/>
                <w:color w:val="auto"/>
              </w:rPr>
              <w:t>Business</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2,614</w:t>
            </w: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4,740</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7,545</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2,470</w:t>
            </w: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2,105</w:t>
            </w:r>
          </w:p>
        </w:tc>
        <w:tc>
          <w:tcPr>
            <w:tcW w:w="100" w:type="dxa"/>
            <w:vAlign w:val="bottom"/>
          </w:tcPr>
          <w:p>
            <w:pPr>
              <w:spacing w:after="0"/>
              <w:rPr>
                <w:sz w:val="13"/>
                <w:szCs w:val="13"/>
                <w:color w:val="auto"/>
              </w:rPr>
            </w:pPr>
          </w:p>
        </w:tc>
        <w:tc>
          <w:tcPr>
            <w:tcW w:w="80" w:type="dxa"/>
            <w:vAlign w:val="bottom"/>
            <w:shd w:val="clear" w:color="auto" w:fill="66E0DA"/>
          </w:tcPr>
          <w:p>
            <w:pPr>
              <w:spacing w:after="0"/>
              <w:rPr>
                <w:sz w:val="13"/>
                <w:szCs w:val="13"/>
                <w:color w:val="auto"/>
              </w:rPr>
            </w:pPr>
          </w:p>
        </w:tc>
        <w:tc>
          <w:tcPr>
            <w:tcW w:w="540" w:type="dxa"/>
            <w:vAlign w:val="bottom"/>
            <w:gridSpan w:val="2"/>
            <w:shd w:val="clear" w:color="auto" w:fill="66E0DA"/>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59.2%</w:t>
            </w:r>
          </w:p>
        </w:tc>
        <w:tc>
          <w:tcPr>
            <w:tcW w:w="660" w:type="dxa"/>
            <w:vAlign w:val="bottom"/>
            <w:gridSpan w:val="2"/>
            <w:shd w:val="clear" w:color="auto" w:fill="66E0DA"/>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188.6%</w:t>
            </w:r>
          </w:p>
        </w:tc>
        <w:tc>
          <w:tcPr>
            <w:tcW w:w="640" w:type="dxa"/>
            <w:vAlign w:val="bottom"/>
            <w:gridSpan w:val="2"/>
            <w:shd w:val="clear" w:color="auto" w:fill="FFA279"/>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-14.8%</w:t>
            </w:r>
          </w:p>
        </w:tc>
        <w:tc>
          <w:tcPr>
            <w:tcW w:w="540" w:type="dxa"/>
            <w:vAlign w:val="bottom"/>
            <w:gridSpan w:val="2"/>
            <w:shd w:val="clear" w:color="auto" w:fill="FFA279"/>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-19.5%</w:t>
            </w:r>
          </w:p>
        </w:tc>
        <w:tc>
          <w:tcPr>
            <w:tcW w:w="100" w:type="dxa"/>
            <w:vAlign w:val="bottom"/>
            <w:shd w:val="clear" w:color="auto" w:fill="FFA279"/>
          </w:tcPr>
          <w:p>
            <w:pPr>
              <w:spacing w:after="0"/>
              <w:rPr>
                <w:sz w:val="13"/>
                <w:szCs w:val="13"/>
                <w:color w:val="auto"/>
              </w:rPr>
            </w:pPr>
          </w:p>
        </w:tc>
        <w:tc>
          <w:tcPr>
            <w:tcW w:w="52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871</w:t>
            </w:r>
          </w:p>
        </w:tc>
        <w:tc>
          <w:tcPr>
            <w:tcW w:w="74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810</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694</w:t>
            </w:r>
          </w:p>
        </w:tc>
        <w:tc>
          <w:tcPr>
            <w:tcW w:w="64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-14.3%</w:t>
            </w:r>
          </w:p>
        </w:tc>
        <w:tc>
          <w:tcPr>
            <w:tcW w:w="66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-20.3%</w:t>
            </w:r>
          </w:p>
        </w:tc>
        <w:tc>
          <w:tcPr>
            <w:tcW w:w="68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75.4%</w:t>
            </w:r>
          </w:p>
        </w:tc>
        <w:tc>
          <w:tcPr>
            <w:tcW w:w="80" w:type="dxa"/>
            <w:vAlign w:val="bottom"/>
          </w:tcPr>
          <w:p>
            <w:pPr>
              <w:spacing w:after="0"/>
              <w:rPr>
                <w:sz w:val="13"/>
                <w:szCs w:val="13"/>
                <w:color w:val="auto"/>
              </w:rPr>
            </w:pPr>
          </w:p>
        </w:tc>
        <w:tc>
          <w:tcPr>
            <w:tcW w:w="48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24.6%</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340"/>
              <w:spacing w:after="0" w:line="117" w:lineRule="exact"/>
              <w:rPr>
                <w:sz w:val="20"/>
                <w:szCs w:val="20"/>
                <w:color w:val="auto"/>
              </w:rPr>
            </w:pPr>
            <w:r>
              <w:rPr>
                <w:rFonts w:ascii="Times New Roman" w:cs="Times New Roman" w:eastAsia="Times New Roman" w:hAnsi="Times New Roman"/>
                <w:sz w:val="13"/>
                <w:szCs w:val="13"/>
                <w:color w:val="auto"/>
              </w:rPr>
              <w:t>SME - Pyme</w:t>
            </w:r>
          </w:p>
        </w:tc>
        <w:tc>
          <w:tcPr>
            <w:tcW w:w="500" w:type="dxa"/>
            <w:vAlign w:val="bottom"/>
            <w:tcBorders>
              <w:right w:val="single" w:sz="8" w:color="CCEEFF"/>
            </w:tcBorders>
            <w:shd w:val="clear" w:color="auto" w:fill="CCEEFF"/>
          </w:tcPr>
          <w:p>
            <w:pPr>
              <w:jc w:val="right"/>
              <w:spacing w:after="0" w:line="117" w:lineRule="exact"/>
              <w:rPr>
                <w:sz w:val="20"/>
                <w:szCs w:val="20"/>
                <w:color w:val="auto"/>
              </w:rPr>
            </w:pPr>
            <w:r>
              <w:rPr>
                <w:rFonts w:ascii="Times New Roman" w:cs="Times New Roman" w:eastAsia="Times New Roman" w:hAnsi="Times New Roman"/>
                <w:sz w:val="13"/>
                <w:szCs w:val="13"/>
                <w:color w:val="auto"/>
              </w:rPr>
              <w:t>9,628</w:t>
            </w:r>
          </w:p>
        </w:tc>
        <w:tc>
          <w:tcPr>
            <w:tcW w:w="720" w:type="dxa"/>
            <w:vAlign w:val="bottom"/>
            <w:gridSpan w:val="3"/>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11,700</w:t>
            </w:r>
          </w:p>
        </w:tc>
        <w:tc>
          <w:tcPr>
            <w:tcW w:w="64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15,862</w:t>
            </w:r>
          </w:p>
        </w:tc>
        <w:tc>
          <w:tcPr>
            <w:tcW w:w="64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9,891</w:t>
            </w:r>
          </w:p>
        </w:tc>
        <w:tc>
          <w:tcPr>
            <w:tcW w:w="540" w:type="dxa"/>
            <w:vAlign w:val="bottom"/>
            <w:gridSpan w:val="2"/>
            <w:shd w:val="clear" w:color="auto" w:fill="CCEEFF"/>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9,868</w:t>
            </w:r>
          </w:p>
        </w:tc>
        <w:tc>
          <w:tcPr>
            <w:tcW w:w="100" w:type="dxa"/>
            <w:vAlign w:val="bottom"/>
            <w:shd w:val="clear" w:color="auto" w:fill="CCEEFF"/>
          </w:tcPr>
          <w:p>
            <w:pPr>
              <w:spacing w:after="0"/>
              <w:rPr>
                <w:sz w:val="11"/>
                <w:szCs w:val="11"/>
                <w:color w:val="auto"/>
              </w:rPr>
            </w:pPr>
          </w:p>
        </w:tc>
        <w:tc>
          <w:tcPr>
            <w:tcW w:w="80" w:type="dxa"/>
            <w:vAlign w:val="bottom"/>
            <w:shd w:val="clear" w:color="auto" w:fill="66E0DA"/>
          </w:tcPr>
          <w:p>
            <w:pPr>
              <w:spacing w:after="0"/>
              <w:rPr>
                <w:sz w:val="11"/>
                <w:szCs w:val="11"/>
                <w:color w:val="auto"/>
              </w:rPr>
            </w:pPr>
          </w:p>
        </w:tc>
        <w:tc>
          <w:tcPr>
            <w:tcW w:w="540" w:type="dxa"/>
            <w:vAlign w:val="bottom"/>
            <w:gridSpan w:val="2"/>
            <w:shd w:val="clear" w:color="auto" w:fill="66E0DA"/>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35.6%</w:t>
            </w:r>
          </w:p>
        </w:tc>
        <w:tc>
          <w:tcPr>
            <w:tcW w:w="660" w:type="dxa"/>
            <w:vAlign w:val="bottom"/>
            <w:gridSpan w:val="2"/>
            <w:shd w:val="clear" w:color="auto" w:fill="66E0DA"/>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64.8%</w:t>
            </w:r>
          </w:p>
        </w:tc>
        <w:tc>
          <w:tcPr>
            <w:tcW w:w="64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-0.2%</w:t>
            </w:r>
          </w:p>
        </w:tc>
        <w:tc>
          <w:tcPr>
            <w:tcW w:w="54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2.5%</w:t>
            </w:r>
          </w:p>
        </w:tc>
        <w:tc>
          <w:tcPr>
            <w:tcW w:w="620" w:type="dxa"/>
            <w:vAlign w:val="bottom"/>
            <w:gridSpan w:val="3"/>
            <w:shd w:val="clear" w:color="auto" w:fill="CCEEFF"/>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66</w:t>
            </w:r>
          </w:p>
        </w:tc>
        <w:tc>
          <w:tcPr>
            <w:tcW w:w="740" w:type="dxa"/>
            <w:vAlign w:val="bottom"/>
            <w:gridSpan w:val="3"/>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66</w:t>
            </w:r>
          </w:p>
        </w:tc>
        <w:tc>
          <w:tcPr>
            <w:tcW w:w="640" w:type="dxa"/>
            <w:vAlign w:val="bottom"/>
            <w:gridSpan w:val="2"/>
            <w:shd w:val="clear" w:color="auto" w:fill="CCEEFF"/>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56</w:t>
            </w:r>
          </w:p>
        </w:tc>
        <w:tc>
          <w:tcPr>
            <w:tcW w:w="64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-14.6%</w:t>
            </w:r>
          </w:p>
        </w:tc>
        <w:tc>
          <w:tcPr>
            <w:tcW w:w="66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-15.1%</w:t>
            </w:r>
          </w:p>
        </w:tc>
        <w:tc>
          <w:tcPr>
            <w:tcW w:w="680" w:type="dxa"/>
            <w:vAlign w:val="bottom"/>
            <w:gridSpan w:val="2"/>
            <w:shd w:val="clear" w:color="auto" w:fill="CCEEFF"/>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98.8%</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35"/>
        </w:trPr>
        <w:tc>
          <w:tcPr>
            <w:tcW w:w="1100" w:type="dxa"/>
            <w:vAlign w:val="bottom"/>
          </w:tcPr>
          <w:p>
            <w:pPr>
              <w:ind w:left="340"/>
              <w:spacing w:after="0" w:line="117" w:lineRule="exact"/>
              <w:rPr>
                <w:sz w:val="20"/>
                <w:szCs w:val="20"/>
                <w:color w:val="auto"/>
              </w:rPr>
            </w:pPr>
            <w:r>
              <w:rPr>
                <w:rFonts w:ascii="Times New Roman" w:cs="Times New Roman" w:eastAsia="Times New Roman" w:hAnsi="Times New Roman"/>
                <w:sz w:val="13"/>
                <w:szCs w:val="13"/>
                <w:color w:val="auto"/>
              </w:rPr>
              <w:t>Mortgage</w:t>
            </w:r>
          </w:p>
        </w:tc>
        <w:tc>
          <w:tcPr>
            <w:tcW w:w="500" w:type="dxa"/>
            <w:vAlign w:val="bottom"/>
          </w:tcPr>
          <w:p>
            <w:pPr>
              <w:jc w:val="right"/>
              <w:spacing w:after="0" w:line="117" w:lineRule="exact"/>
              <w:rPr>
                <w:sz w:val="20"/>
                <w:szCs w:val="20"/>
                <w:color w:val="auto"/>
              </w:rPr>
            </w:pPr>
            <w:r>
              <w:rPr>
                <w:rFonts w:ascii="Times New Roman" w:cs="Times New Roman" w:eastAsia="Times New Roman" w:hAnsi="Times New Roman"/>
                <w:sz w:val="13"/>
                <w:szCs w:val="13"/>
                <w:color w:val="auto"/>
              </w:rPr>
              <w:t>13,632</w:t>
            </w:r>
          </w:p>
        </w:tc>
        <w:tc>
          <w:tcPr>
            <w:tcW w:w="72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14,794</w:t>
            </w:r>
          </w:p>
        </w:tc>
        <w:tc>
          <w:tcPr>
            <w:tcW w:w="6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14,673</w:t>
            </w:r>
          </w:p>
        </w:tc>
        <w:tc>
          <w:tcPr>
            <w:tcW w:w="6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14,794</w:t>
            </w:r>
          </w:p>
        </w:tc>
        <w:tc>
          <w:tcPr>
            <w:tcW w:w="540" w:type="dxa"/>
            <w:vAlign w:val="bottom"/>
            <w:gridSpan w:val="2"/>
          </w:tcPr>
          <w:p>
            <w:pPr>
              <w:jc w:val="right"/>
              <w:ind w:right="100"/>
              <w:spacing w:after="0" w:line="117" w:lineRule="exact"/>
              <w:rPr>
                <w:sz w:val="20"/>
                <w:szCs w:val="20"/>
                <w:color w:val="auto"/>
              </w:rPr>
            </w:pPr>
            <w:r>
              <w:rPr>
                <w:rFonts w:ascii="Times New Roman" w:cs="Times New Roman" w:eastAsia="Times New Roman" w:hAnsi="Times New Roman"/>
                <w:sz w:val="13"/>
                <w:szCs w:val="13"/>
                <w:color w:val="auto"/>
              </w:rPr>
              <w:t>14,673</w:t>
            </w:r>
          </w:p>
        </w:tc>
        <w:tc>
          <w:tcPr>
            <w:tcW w:w="100" w:type="dxa"/>
            <w:vAlign w:val="bottom"/>
          </w:tcPr>
          <w:p>
            <w:pPr>
              <w:spacing w:after="0"/>
              <w:rPr>
                <w:sz w:val="11"/>
                <w:szCs w:val="11"/>
                <w:color w:val="auto"/>
              </w:rPr>
            </w:pPr>
          </w:p>
        </w:tc>
        <w:tc>
          <w:tcPr>
            <w:tcW w:w="620" w:type="dxa"/>
            <w:vAlign w:val="bottom"/>
            <w:gridSpan w:val="3"/>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-0.8%</w:t>
            </w:r>
          </w:p>
        </w:tc>
        <w:tc>
          <w:tcPr>
            <w:tcW w:w="66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7.6%</w:t>
            </w:r>
          </w:p>
        </w:tc>
        <w:tc>
          <w:tcPr>
            <w:tcW w:w="64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-0.8%</w:t>
            </w:r>
          </w:p>
        </w:tc>
        <w:tc>
          <w:tcPr>
            <w:tcW w:w="540" w:type="dxa"/>
            <w:vAlign w:val="bottom"/>
            <w:gridSpan w:val="2"/>
            <w:shd w:val="clear" w:color="auto" w:fill="66E0DA"/>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7.6%</w:t>
            </w:r>
          </w:p>
        </w:tc>
        <w:tc>
          <w:tcPr>
            <w:tcW w:w="100" w:type="dxa"/>
            <w:vAlign w:val="bottom"/>
            <w:shd w:val="clear" w:color="auto" w:fill="66E0DA"/>
          </w:tcPr>
          <w:p>
            <w:pPr>
              <w:spacing w:after="0"/>
              <w:rPr>
                <w:sz w:val="11"/>
                <w:szCs w:val="11"/>
                <w:color w:val="auto"/>
              </w:rPr>
            </w:pPr>
          </w:p>
        </w:tc>
        <w:tc>
          <w:tcPr>
            <w:tcW w:w="520" w:type="dxa"/>
            <w:vAlign w:val="bottom"/>
            <w:gridSpan w:val="2"/>
          </w:tcPr>
          <w:p>
            <w:pPr>
              <w:jc w:val="right"/>
              <w:ind w:right="80"/>
              <w:spacing w:after="0" w:line="117" w:lineRule="exact"/>
              <w:rPr>
                <w:sz w:val="20"/>
                <w:szCs w:val="20"/>
                <w:color w:val="auto"/>
              </w:rPr>
            </w:pPr>
            <w:r>
              <w:rPr>
                <w:rFonts w:ascii="Times New Roman" w:cs="Times New Roman" w:eastAsia="Times New Roman" w:hAnsi="Times New Roman"/>
                <w:sz w:val="13"/>
                <w:szCs w:val="13"/>
                <w:color w:val="auto"/>
              </w:rPr>
              <w:t>733</w:t>
            </w:r>
          </w:p>
        </w:tc>
        <w:tc>
          <w:tcPr>
            <w:tcW w:w="740" w:type="dxa"/>
            <w:vAlign w:val="bottom"/>
            <w:gridSpan w:val="3"/>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622</w:t>
            </w:r>
          </w:p>
        </w:tc>
        <w:tc>
          <w:tcPr>
            <w:tcW w:w="640" w:type="dxa"/>
            <w:vAlign w:val="bottom"/>
            <w:gridSpan w:val="2"/>
          </w:tcPr>
          <w:p>
            <w:pPr>
              <w:jc w:val="right"/>
              <w:ind w:right="180"/>
              <w:spacing w:after="0" w:line="117" w:lineRule="exact"/>
              <w:rPr>
                <w:sz w:val="20"/>
                <w:szCs w:val="20"/>
                <w:color w:val="auto"/>
              </w:rPr>
            </w:pPr>
            <w:r>
              <w:rPr>
                <w:rFonts w:ascii="Times New Roman" w:cs="Times New Roman" w:eastAsia="Times New Roman" w:hAnsi="Times New Roman"/>
                <w:sz w:val="13"/>
                <w:szCs w:val="13"/>
                <w:color w:val="auto"/>
              </w:rPr>
              <w:t>603</w:t>
            </w:r>
          </w:p>
        </w:tc>
        <w:tc>
          <w:tcPr>
            <w:tcW w:w="640" w:type="dxa"/>
            <w:vAlign w:val="bottom"/>
            <w:gridSpan w:val="2"/>
          </w:tcPr>
          <w:p>
            <w:pPr>
              <w:jc w:val="right"/>
              <w:ind w:right="120"/>
              <w:spacing w:after="0" w:line="117" w:lineRule="exact"/>
              <w:rPr>
                <w:sz w:val="20"/>
                <w:szCs w:val="20"/>
                <w:color w:val="auto"/>
              </w:rPr>
            </w:pPr>
            <w:r>
              <w:rPr>
                <w:rFonts w:ascii="Times New Roman" w:cs="Times New Roman" w:eastAsia="Times New Roman" w:hAnsi="Times New Roman"/>
                <w:sz w:val="13"/>
                <w:szCs w:val="13"/>
                <w:color w:val="auto"/>
              </w:rPr>
              <w:t>-3.1%</w:t>
            </w:r>
          </w:p>
        </w:tc>
        <w:tc>
          <w:tcPr>
            <w:tcW w:w="66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680" w:type="dxa"/>
            <w:vAlign w:val="bottom"/>
            <w:gridSpan w:val="2"/>
          </w:tcPr>
          <w:p>
            <w:pPr>
              <w:jc w:val="right"/>
              <w:ind w:right="140"/>
              <w:spacing w:after="0" w:line="117" w:lineRule="exact"/>
              <w:rPr>
                <w:sz w:val="20"/>
                <w:szCs w:val="20"/>
                <w:color w:val="auto"/>
              </w:rPr>
            </w:pPr>
            <w:r>
              <w:rPr>
                <w:rFonts w:ascii="Times New Roman" w:cs="Times New Roman" w:eastAsia="Times New Roman" w:hAnsi="Times New Roman"/>
                <w:sz w:val="13"/>
                <w:szCs w:val="13"/>
                <w:color w:val="auto"/>
              </w:rPr>
              <w:t>87.3%</w:t>
            </w:r>
          </w:p>
        </w:tc>
        <w:tc>
          <w:tcPr>
            <w:tcW w:w="80" w:type="dxa"/>
            <w:vAlign w:val="bottom"/>
          </w:tcPr>
          <w:p>
            <w:pPr>
              <w:spacing w:after="0"/>
              <w:rPr>
                <w:sz w:val="11"/>
                <w:szCs w:val="11"/>
                <w:color w:val="auto"/>
              </w:rPr>
            </w:pPr>
          </w:p>
        </w:tc>
        <w:tc>
          <w:tcPr>
            <w:tcW w:w="480" w:type="dxa"/>
            <w:vAlign w:val="bottom"/>
            <w:gridSpan w:val="2"/>
          </w:tcPr>
          <w:p>
            <w:pPr>
              <w:jc w:val="right"/>
              <w:ind w:right="20"/>
              <w:spacing w:after="0" w:line="117" w:lineRule="exact"/>
              <w:rPr>
                <w:sz w:val="20"/>
                <w:szCs w:val="20"/>
                <w:color w:val="auto"/>
              </w:rPr>
            </w:pPr>
            <w:r>
              <w:rPr>
                <w:rFonts w:ascii="Times New Roman" w:cs="Times New Roman" w:eastAsia="Times New Roman" w:hAnsi="Times New Roman"/>
                <w:sz w:val="13"/>
                <w:szCs w:val="13"/>
                <w:color w:val="auto"/>
              </w:rPr>
              <w:t>12.7%</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ind w:left="340"/>
              <w:spacing w:after="0" w:line="135" w:lineRule="exact"/>
              <w:rPr>
                <w:sz w:val="20"/>
                <w:szCs w:val="20"/>
                <w:color w:val="auto"/>
              </w:rPr>
            </w:pPr>
            <w:r>
              <w:rPr>
                <w:rFonts w:ascii="Times New Roman" w:cs="Times New Roman" w:eastAsia="Times New Roman" w:hAnsi="Times New Roman"/>
                <w:sz w:val="13"/>
                <w:szCs w:val="13"/>
                <w:color w:val="auto"/>
              </w:rPr>
              <w:t>Consumer</w:t>
            </w: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7,057</w:t>
            </w: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7,899</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7,717</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7,899</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7,717</w:t>
            </w:r>
          </w:p>
        </w:tc>
        <w:tc>
          <w:tcPr>
            <w:tcW w:w="10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6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-2.3%</w:t>
            </w:r>
          </w:p>
        </w:tc>
        <w:tc>
          <w:tcPr>
            <w:tcW w:w="540" w:type="dxa"/>
            <w:vAlign w:val="bottom"/>
            <w:gridSpan w:val="2"/>
            <w:shd w:val="clear" w:color="auto" w:fill="66E0DA"/>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66E0DA"/>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352</w:t>
            </w: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366</w:t>
            </w:r>
          </w:p>
        </w:tc>
        <w:tc>
          <w:tcPr>
            <w:tcW w:w="64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3.5%</w:t>
            </w:r>
          </w:p>
        </w:tc>
        <w:tc>
          <w:tcPr>
            <w:tcW w:w="66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4.1%</w:t>
            </w:r>
          </w:p>
        </w:tc>
        <w:tc>
          <w:tcPr>
            <w:tcW w:w="68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color w:val="auto"/>
              </w:rPr>
              <w:t>85.6%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14.4%</w:t>
            </w:r>
          </w:p>
        </w:tc>
        <w:tc>
          <w:tcPr>
            <w:tcW w:w="0" w:type="dxa"/>
            <w:vAlign w:val="bottom"/>
          </w:tcPr>
          <w:p>
            <w:pPr>
              <w:spacing w:after="0"/>
              <w:rPr>
                <w:sz w:val="1"/>
                <w:szCs w:val="1"/>
                <w:color w:val="auto"/>
              </w:rPr>
            </w:pPr>
          </w:p>
        </w:tc>
      </w:tr>
      <w:tr>
        <w:trPr>
          <w:trHeight w:val="115"/>
        </w:trPr>
        <w:tc>
          <w:tcPr>
            <w:tcW w:w="1100" w:type="dxa"/>
            <w:vAlign w:val="bottom"/>
          </w:tcPr>
          <w:p>
            <w:pPr>
              <w:ind w:left="340"/>
              <w:spacing w:after="0" w:line="115" w:lineRule="exact"/>
              <w:rPr>
                <w:sz w:val="20"/>
                <w:szCs w:val="20"/>
                <w:color w:val="auto"/>
              </w:rPr>
            </w:pPr>
            <w:r>
              <w:rPr>
                <w:rFonts w:ascii="Times New Roman" w:cs="Times New Roman" w:eastAsia="Times New Roman" w:hAnsi="Times New Roman"/>
                <w:sz w:val="13"/>
                <w:szCs w:val="13"/>
                <w:color w:val="auto"/>
              </w:rPr>
              <w:t>Credit Card</w:t>
            </w:r>
          </w:p>
        </w:tc>
        <w:tc>
          <w:tcPr>
            <w:tcW w:w="5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4,742</w:t>
            </w:r>
          </w:p>
        </w:tc>
        <w:tc>
          <w:tcPr>
            <w:tcW w:w="72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4,515</w:t>
            </w:r>
          </w:p>
        </w:tc>
        <w:tc>
          <w:tcPr>
            <w:tcW w:w="6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4,058</w:t>
            </w:r>
          </w:p>
        </w:tc>
        <w:tc>
          <w:tcPr>
            <w:tcW w:w="6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4,515</w:t>
            </w:r>
          </w:p>
        </w:tc>
        <w:tc>
          <w:tcPr>
            <w:tcW w:w="540" w:type="dxa"/>
            <w:vAlign w:val="bottom"/>
            <w:gridSpan w:val="2"/>
          </w:tcPr>
          <w:p>
            <w:pPr>
              <w:jc w:val="right"/>
              <w:ind w:right="100"/>
              <w:spacing w:after="0" w:line="115" w:lineRule="exact"/>
              <w:rPr>
                <w:sz w:val="20"/>
                <w:szCs w:val="20"/>
                <w:color w:val="auto"/>
              </w:rPr>
            </w:pPr>
            <w:r>
              <w:rPr>
                <w:rFonts w:ascii="Times New Roman" w:cs="Times New Roman" w:eastAsia="Times New Roman" w:hAnsi="Times New Roman"/>
                <w:sz w:val="13"/>
                <w:szCs w:val="13"/>
                <w:color w:val="auto"/>
              </w:rPr>
              <w:t>4,058</w:t>
            </w:r>
          </w:p>
        </w:tc>
        <w:tc>
          <w:tcPr>
            <w:tcW w:w="100" w:type="dxa"/>
            <w:vAlign w:val="bottom"/>
          </w:tcPr>
          <w:p>
            <w:pPr>
              <w:spacing w:after="0"/>
              <w:rPr>
                <w:sz w:val="10"/>
                <w:szCs w:val="10"/>
                <w:color w:val="auto"/>
              </w:rPr>
            </w:pPr>
          </w:p>
        </w:tc>
        <w:tc>
          <w:tcPr>
            <w:tcW w:w="620" w:type="dxa"/>
            <w:vAlign w:val="bottom"/>
            <w:tcBorders>
              <w:bottom w:val="single" w:sz="8" w:color="FFA279"/>
            </w:tcBorders>
            <w:gridSpan w:val="3"/>
            <w:shd w:val="clear" w:color="auto" w:fill="FFA279"/>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-10.1%</w:t>
            </w:r>
          </w:p>
        </w:tc>
        <w:tc>
          <w:tcPr>
            <w:tcW w:w="660" w:type="dxa"/>
            <w:vAlign w:val="bottom"/>
            <w:tcBorders>
              <w:bottom w:val="single" w:sz="8" w:color="FFA279"/>
            </w:tcBorders>
            <w:gridSpan w:val="2"/>
            <w:shd w:val="clear" w:color="auto" w:fill="FFA279"/>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-14.4%</w:t>
            </w:r>
          </w:p>
        </w:tc>
        <w:tc>
          <w:tcPr>
            <w:tcW w:w="640" w:type="dxa"/>
            <w:vAlign w:val="bottom"/>
            <w:tcBorders>
              <w:bottom w:val="single" w:sz="8" w:color="FFA279"/>
            </w:tcBorders>
            <w:gridSpan w:val="2"/>
            <w:shd w:val="clear" w:color="auto" w:fill="FFA279"/>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-10.1%</w:t>
            </w:r>
          </w:p>
        </w:tc>
        <w:tc>
          <w:tcPr>
            <w:tcW w:w="540" w:type="dxa"/>
            <w:vAlign w:val="bottom"/>
            <w:tcBorders>
              <w:bottom w:val="single" w:sz="8" w:color="FFA279"/>
            </w:tcBorders>
            <w:gridSpan w:val="2"/>
            <w:shd w:val="clear" w:color="auto" w:fill="FFA279"/>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-14.4%</w:t>
            </w:r>
          </w:p>
        </w:tc>
        <w:tc>
          <w:tcPr>
            <w:tcW w:w="100" w:type="dxa"/>
            <w:vAlign w:val="bottom"/>
            <w:tcBorders>
              <w:bottom w:val="single" w:sz="8" w:color="FFA279"/>
            </w:tcBorders>
            <w:shd w:val="clear" w:color="auto" w:fill="FFA279"/>
          </w:tcPr>
          <w:p>
            <w:pPr>
              <w:spacing w:after="0"/>
              <w:rPr>
                <w:sz w:val="10"/>
                <w:szCs w:val="10"/>
                <w:color w:val="auto"/>
              </w:rPr>
            </w:pPr>
          </w:p>
        </w:tc>
        <w:tc>
          <w:tcPr>
            <w:tcW w:w="520" w:type="dxa"/>
            <w:vAlign w:val="bottom"/>
            <w:gridSpan w:val="2"/>
          </w:tcPr>
          <w:p>
            <w:pPr>
              <w:jc w:val="right"/>
              <w:ind w:right="80"/>
              <w:spacing w:after="0" w:line="115" w:lineRule="exact"/>
              <w:rPr>
                <w:sz w:val="20"/>
                <w:szCs w:val="20"/>
                <w:color w:val="auto"/>
              </w:rPr>
            </w:pPr>
            <w:r>
              <w:rPr>
                <w:rFonts w:ascii="Times New Roman" w:cs="Times New Roman" w:eastAsia="Times New Roman" w:hAnsi="Times New Roman"/>
                <w:sz w:val="13"/>
                <w:szCs w:val="13"/>
                <w:color w:val="auto"/>
              </w:rPr>
              <w:t>237</w:t>
            </w:r>
          </w:p>
        </w:tc>
        <w:tc>
          <w:tcPr>
            <w:tcW w:w="740" w:type="dxa"/>
            <w:vAlign w:val="bottom"/>
            <w:gridSpan w:val="3"/>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185</w:t>
            </w:r>
          </w:p>
        </w:tc>
        <w:tc>
          <w:tcPr>
            <w:tcW w:w="640" w:type="dxa"/>
            <w:vAlign w:val="bottom"/>
            <w:gridSpan w:val="2"/>
          </w:tcPr>
          <w:p>
            <w:pPr>
              <w:jc w:val="right"/>
              <w:ind w:right="180"/>
              <w:spacing w:after="0" w:line="115" w:lineRule="exact"/>
              <w:rPr>
                <w:sz w:val="20"/>
                <w:szCs w:val="20"/>
                <w:color w:val="auto"/>
              </w:rPr>
            </w:pPr>
            <w:r>
              <w:rPr>
                <w:rFonts w:ascii="Times New Roman" w:cs="Times New Roman" w:eastAsia="Times New Roman" w:hAnsi="Times New Roman"/>
                <w:sz w:val="13"/>
                <w:szCs w:val="13"/>
                <w:color w:val="auto"/>
              </w:rPr>
              <w:t>163</w:t>
            </w:r>
          </w:p>
        </w:tc>
        <w:tc>
          <w:tcPr>
            <w:tcW w:w="64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-11.9%</w:t>
            </w:r>
          </w:p>
        </w:tc>
        <w:tc>
          <w:tcPr>
            <w:tcW w:w="660" w:type="dxa"/>
            <w:vAlign w:val="bottom"/>
            <w:gridSpan w:val="2"/>
          </w:tcPr>
          <w:p>
            <w:pPr>
              <w:jc w:val="right"/>
              <w:ind w:right="120"/>
              <w:spacing w:after="0" w:line="115" w:lineRule="exact"/>
              <w:rPr>
                <w:sz w:val="20"/>
                <w:szCs w:val="20"/>
                <w:color w:val="auto"/>
              </w:rPr>
            </w:pPr>
            <w:r>
              <w:rPr>
                <w:rFonts w:ascii="Times New Roman" w:cs="Times New Roman" w:eastAsia="Times New Roman" w:hAnsi="Times New Roman"/>
                <w:sz w:val="13"/>
                <w:szCs w:val="13"/>
                <w:color w:val="auto"/>
              </w:rPr>
              <w:t>-31.2%</w:t>
            </w:r>
          </w:p>
        </w:tc>
        <w:tc>
          <w:tcPr>
            <w:tcW w:w="680" w:type="dxa"/>
            <w:vAlign w:val="bottom"/>
            <w:gridSpan w:val="2"/>
          </w:tcPr>
          <w:p>
            <w:pPr>
              <w:jc w:val="right"/>
              <w:ind w:right="140"/>
              <w:spacing w:after="0" w:line="115" w:lineRule="exact"/>
              <w:rPr>
                <w:sz w:val="20"/>
                <w:szCs w:val="20"/>
                <w:color w:val="auto"/>
              </w:rPr>
            </w:pPr>
            <w:r>
              <w:rPr>
                <w:rFonts w:ascii="Times New Roman" w:cs="Times New Roman" w:eastAsia="Times New Roman" w:hAnsi="Times New Roman"/>
                <w:sz w:val="13"/>
                <w:szCs w:val="13"/>
                <w:color w:val="auto"/>
              </w:rPr>
              <w:t>87.5%</w:t>
            </w:r>
          </w:p>
        </w:tc>
        <w:tc>
          <w:tcPr>
            <w:tcW w:w="80" w:type="dxa"/>
            <w:vAlign w:val="bottom"/>
          </w:tcPr>
          <w:p>
            <w:pPr>
              <w:spacing w:after="0"/>
              <w:rPr>
                <w:sz w:val="10"/>
                <w:szCs w:val="10"/>
                <w:color w:val="auto"/>
              </w:rPr>
            </w:pPr>
          </w:p>
        </w:tc>
        <w:tc>
          <w:tcPr>
            <w:tcW w:w="480" w:type="dxa"/>
            <w:vAlign w:val="bottom"/>
            <w:gridSpan w:val="2"/>
          </w:tcPr>
          <w:p>
            <w:pPr>
              <w:jc w:val="right"/>
              <w:ind w:right="20"/>
              <w:spacing w:after="0" w:line="115" w:lineRule="exact"/>
              <w:rPr>
                <w:sz w:val="20"/>
                <w:szCs w:val="20"/>
                <w:color w:val="auto"/>
              </w:rPr>
            </w:pPr>
            <w:r>
              <w:rPr>
                <w:rFonts w:ascii="Times New Roman" w:cs="Times New Roman" w:eastAsia="Times New Roman" w:hAnsi="Times New Roman"/>
                <w:sz w:val="13"/>
                <w:szCs w:val="13"/>
                <w:color w:val="auto"/>
              </w:rPr>
              <w:t>12.5%</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Mibanco</w:t>
            </w: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9,522</w:t>
            </w: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10,276</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11,085</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10,088</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9,221</w:t>
            </w:r>
          </w:p>
        </w:tc>
        <w:tc>
          <w:tcPr>
            <w:tcW w:w="10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7.9%</w:t>
            </w:r>
          </w:p>
        </w:tc>
        <w:tc>
          <w:tcPr>
            <w:tcW w:w="660" w:type="dxa"/>
            <w:vAlign w:val="bottom"/>
            <w:gridSpan w:val="2"/>
            <w:shd w:val="clear" w:color="auto" w:fill="66E0DA"/>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16.4%</w:t>
            </w:r>
          </w:p>
        </w:tc>
        <w:tc>
          <w:tcPr>
            <w:tcW w:w="640" w:type="dxa"/>
            <w:vAlign w:val="bottom"/>
            <w:gridSpan w:val="2"/>
            <w:shd w:val="clear" w:color="auto" w:fill="FFA279"/>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-8.6%</w:t>
            </w:r>
          </w:p>
        </w:tc>
        <w:tc>
          <w:tcPr>
            <w:tcW w:w="540" w:type="dxa"/>
            <w:vAlign w:val="bottom"/>
            <w:gridSpan w:val="2"/>
            <w:shd w:val="clear" w:color="auto" w:fill="FFA279"/>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-3.2%</w:t>
            </w:r>
          </w:p>
        </w:tc>
        <w:tc>
          <w:tcPr>
            <w:tcW w:w="100" w:type="dxa"/>
            <w:vAlign w:val="bottom"/>
            <w:shd w:val="clear" w:color="auto" w:fill="FFA279"/>
          </w:tcPr>
          <w:p>
            <w:pPr>
              <w:spacing w:after="0"/>
              <w:rPr>
                <w:sz w:val="11"/>
                <w:szCs w:val="11"/>
                <w:color w:val="auto"/>
              </w:rPr>
            </w:pPr>
          </w:p>
        </w:tc>
        <w:tc>
          <w:tcPr>
            <w:tcW w:w="5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162</w:t>
            </w: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159</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143</w:t>
            </w: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-10.0%</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-11.9%</w:t>
            </w:r>
          </w:p>
        </w:tc>
        <w:tc>
          <w:tcPr>
            <w:tcW w:w="680" w:type="dxa"/>
            <w:vAlign w:val="bottom"/>
            <w:gridSpan w:val="2"/>
            <w:shd w:val="clear" w:color="auto" w:fill="CCEEFF"/>
          </w:tcPr>
          <w:p>
            <w:pPr>
              <w:jc w:val="right"/>
              <w:ind w:right="120"/>
              <w:spacing w:after="0" w:line="135" w:lineRule="exact"/>
              <w:rPr>
                <w:sz w:val="20"/>
                <w:szCs w:val="20"/>
                <w:color w:val="auto"/>
              </w:rPr>
            </w:pPr>
            <w:r>
              <w:rPr>
                <w:rFonts w:ascii="Times New Roman" w:cs="Times New Roman" w:eastAsia="Times New Roman" w:hAnsi="Times New Roman"/>
                <w:sz w:val="13"/>
                <w:szCs w:val="13"/>
                <w:b w:val="1"/>
                <w:bCs w:val="1"/>
                <w:color w:val="auto"/>
              </w:rPr>
              <w:t>95.6%</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4.4%</w:t>
            </w:r>
          </w:p>
        </w:tc>
        <w:tc>
          <w:tcPr>
            <w:tcW w:w="0" w:type="dxa"/>
            <w:vAlign w:val="bottom"/>
          </w:tcPr>
          <w:p>
            <w:pPr>
              <w:spacing w:after="0"/>
              <w:rPr>
                <w:sz w:val="1"/>
                <w:szCs w:val="1"/>
                <w:color w:val="auto"/>
              </w:rPr>
            </w:pPr>
          </w:p>
        </w:tc>
      </w:tr>
      <w:tr>
        <w:trPr>
          <w:trHeight w:val="135"/>
        </w:trPr>
        <w:tc>
          <w:tcPr>
            <w:tcW w:w="110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Bolivia</w:t>
            </w:r>
          </w:p>
        </w:tc>
        <w:tc>
          <w:tcPr>
            <w:tcW w:w="5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1"/>
                <w:szCs w:val="11"/>
                <w:color w:val="auto"/>
              </w:rPr>
            </w:pPr>
          </w:p>
        </w:tc>
        <w:tc>
          <w:tcPr>
            <w:tcW w:w="620" w:type="dxa"/>
            <w:vAlign w:val="bottom"/>
            <w:gridSpan w:val="3"/>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3"/>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2,210</w:t>
            </w:r>
          </w:p>
        </w:tc>
        <w:tc>
          <w:tcPr>
            <w:tcW w:w="740" w:type="dxa"/>
            <w:vAlign w:val="bottom"/>
            <w:gridSpan w:val="3"/>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2,291</w:t>
            </w:r>
          </w:p>
        </w:tc>
        <w:tc>
          <w:tcPr>
            <w:tcW w:w="64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2,292</w:t>
            </w:r>
          </w:p>
        </w:tc>
        <w:tc>
          <w:tcPr>
            <w:tcW w:w="64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0.1%</w:t>
            </w:r>
          </w:p>
        </w:tc>
        <w:tc>
          <w:tcPr>
            <w:tcW w:w="660" w:type="dxa"/>
            <w:vAlign w:val="bottom"/>
            <w:gridSpan w:val="2"/>
            <w:shd w:val="clear" w:color="auto" w:fill="66E0DA"/>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3.7%</w:t>
            </w:r>
          </w:p>
        </w:tc>
        <w:tc>
          <w:tcPr>
            <w:tcW w:w="68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1"/>
                <w:szCs w:val="11"/>
                <w:color w:val="auto"/>
              </w:rPr>
            </w:pPr>
          </w:p>
        </w:tc>
        <w:tc>
          <w:tcPr>
            <w:tcW w:w="48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100.0%</w:t>
            </w:r>
          </w:p>
        </w:tc>
        <w:tc>
          <w:tcPr>
            <w:tcW w:w="0" w:type="dxa"/>
            <w:vAlign w:val="bottom"/>
          </w:tcPr>
          <w:p>
            <w:pPr>
              <w:spacing w:after="0"/>
              <w:rPr>
                <w:sz w:val="1"/>
                <w:szCs w:val="1"/>
                <w:color w:val="auto"/>
              </w:rPr>
            </w:pPr>
          </w:p>
        </w:tc>
      </w:tr>
      <w:tr>
        <w:trPr>
          <w:trHeight w:val="135"/>
        </w:trPr>
        <w:tc>
          <w:tcPr>
            <w:tcW w:w="11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ASB</w:t>
            </w:r>
          </w:p>
        </w:tc>
        <w:tc>
          <w:tcPr>
            <w:tcW w:w="500" w:type="dxa"/>
            <w:vAlign w:val="bottom"/>
            <w:tcBorders>
              <w:right w:val="single" w:sz="8" w:color="CCEEFF"/>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2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shd w:val="clear" w:color="auto" w:fill="CCEEFF"/>
          </w:tcPr>
          <w:p>
            <w:pPr>
              <w:spacing w:after="0"/>
              <w:rPr>
                <w:sz w:val="11"/>
                <w:szCs w:val="11"/>
                <w:color w:val="auto"/>
              </w:rPr>
            </w:pPr>
          </w:p>
        </w:tc>
        <w:tc>
          <w:tcPr>
            <w:tcW w:w="620" w:type="dxa"/>
            <w:vAlign w:val="bottom"/>
            <w:gridSpan w:val="3"/>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540" w:type="dxa"/>
            <w:vAlign w:val="bottom"/>
            <w:gridSpan w:val="2"/>
            <w:shd w:val="clear" w:color="auto" w:fill="CCEEFF"/>
          </w:tcPr>
          <w:p>
            <w:pPr>
              <w:jc w:val="right"/>
              <w:ind w:right="1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gridSpan w:val="3"/>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734</w:t>
            </w:r>
          </w:p>
        </w:tc>
        <w:tc>
          <w:tcPr>
            <w:tcW w:w="740" w:type="dxa"/>
            <w:vAlign w:val="bottom"/>
            <w:gridSpan w:val="3"/>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708</w:t>
            </w:r>
          </w:p>
        </w:tc>
        <w:tc>
          <w:tcPr>
            <w:tcW w:w="64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b w:val="1"/>
                <w:bCs w:val="1"/>
                <w:color w:val="auto"/>
              </w:rPr>
              <w:t>686</w:t>
            </w:r>
          </w:p>
        </w:tc>
        <w:tc>
          <w:tcPr>
            <w:tcW w:w="64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-3.2%</w:t>
            </w:r>
          </w:p>
        </w:tc>
        <w:tc>
          <w:tcPr>
            <w:tcW w:w="6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b w:val="1"/>
                <w:bCs w:val="1"/>
                <w:color w:val="auto"/>
              </w:rPr>
              <w:t>-6.5%</w:t>
            </w:r>
          </w:p>
        </w:tc>
        <w:tc>
          <w:tcPr>
            <w:tcW w:w="68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shd w:val="clear" w:color="auto" w:fill="CCEEFF"/>
          </w:tcPr>
          <w:p>
            <w:pPr>
              <w:spacing w:after="0"/>
              <w:rPr>
                <w:sz w:val="11"/>
                <w:szCs w:val="11"/>
                <w:color w:val="auto"/>
              </w:rPr>
            </w:pPr>
          </w:p>
        </w:tc>
        <w:tc>
          <w:tcPr>
            <w:tcW w:w="48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100.0%</w:t>
            </w:r>
          </w:p>
        </w:tc>
        <w:tc>
          <w:tcPr>
            <w:tcW w:w="0" w:type="dxa"/>
            <w:vAlign w:val="bottom"/>
          </w:tcPr>
          <w:p>
            <w:pPr>
              <w:spacing w:after="0"/>
              <w:rPr>
                <w:sz w:val="1"/>
                <w:szCs w:val="1"/>
                <w:color w:val="auto"/>
              </w:rPr>
            </w:pPr>
          </w:p>
        </w:tc>
      </w:tr>
      <w:tr>
        <w:trPr>
          <w:trHeight w:val="166"/>
        </w:trPr>
        <w:tc>
          <w:tcPr>
            <w:tcW w:w="11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Total loans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67,158</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81,131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89,141</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73,552</w:t>
            </w: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69,336</w:t>
            </w:r>
          </w:p>
        </w:tc>
        <w:tc>
          <w:tcPr>
            <w:tcW w:w="100" w:type="dxa"/>
            <w:vAlign w:val="bottom"/>
          </w:tcPr>
          <w:p>
            <w:pPr>
              <w:spacing w:after="0"/>
              <w:rPr>
                <w:sz w:val="14"/>
                <w:szCs w:val="14"/>
                <w:color w:val="auto"/>
              </w:rPr>
            </w:pPr>
          </w:p>
        </w:tc>
        <w:tc>
          <w:tcPr>
            <w:tcW w:w="62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9.9%</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32.7%</w:t>
            </w: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-5.7%</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w:t>
            </w:r>
          </w:p>
        </w:tc>
        <w:tc>
          <w:tcPr>
            <w:tcW w:w="62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13,238</w:t>
            </w: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13,529</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12,496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-7.6%</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-5.6%</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66.7%</w:t>
            </w:r>
          </w:p>
        </w:tc>
        <w:tc>
          <w:tcPr>
            <w:tcW w:w="80" w:type="dxa"/>
            <w:vAlign w:val="bottom"/>
          </w:tcPr>
          <w:p>
            <w:pPr>
              <w:spacing w:after="0"/>
              <w:rPr>
                <w:sz w:val="14"/>
                <w:szCs w:val="14"/>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33.3%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sz w:val="1"/>
          <w:szCs w:val="1"/>
          <w:color w:val="auto"/>
        </w:rPr>
        <w:drawing>
          <wp:inline distT="0" distB="0" distL="0" distR="0">
            <wp:extent cx="257175" cy="685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57175" cy="68580"/>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Highest growth in volumes</w:t>
      </w:r>
    </w:p>
    <w:p>
      <w:pPr>
        <w:spacing w:after="0"/>
        <w:rPr>
          <w:sz w:val="20"/>
          <w:szCs w:val="20"/>
          <w:color w:val="auto"/>
        </w:rPr>
      </w:pPr>
      <w:r>
        <w:rPr>
          <w:sz w:val="1"/>
          <w:szCs w:val="1"/>
          <w:color w:val="auto"/>
        </w:rPr>
        <w:drawing>
          <wp:inline distT="0" distB="0" distL="0" distR="0">
            <wp:extent cx="257175" cy="7620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7175" cy="76200"/>
                    </a:xfrm>
                    <a:prstGeom prst="rect">
                      <a:avLst/>
                    </a:prstGeom>
                    <a:noFill/>
                    <a:ln>
                      <a:noFill/>
                    </a:ln>
                  </pic:spPr>
                </pic:pic>
              </a:graphicData>
            </a:graphic>
          </wp:inline>
        </w:drawing>
      </w:r>
      <w:r>
        <w:rPr>
          <w:rFonts w:ascii="Times New Roman" w:cs="Times New Roman" w:eastAsia="Times New Roman" w:hAnsi="Times New Roman"/>
          <w:sz w:val="13"/>
          <w:szCs w:val="13"/>
          <w:color w:val="auto"/>
        </w:rPr>
        <w:t xml:space="preserve"> Largest contraction in volumes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For consolidation purposes, loans generated in FC are converted to LC.</w:t>
      </w:r>
    </w:p>
    <w:p>
      <w:pPr>
        <w:ind w:left="180" w:hanging="172"/>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Work out unit, and other banking.</w:t>
      </w:r>
    </w:p>
    <w:p>
      <w:pPr>
        <w:spacing w:after="0" w:line="25" w:lineRule="exact"/>
        <w:rPr>
          <w:rFonts w:ascii="Times New Roman" w:cs="Times New Roman" w:eastAsia="Times New Roman" w:hAnsi="Times New Roman"/>
          <w:sz w:val="13"/>
          <w:szCs w:val="13"/>
          <w:color w:val="auto"/>
        </w:rPr>
      </w:pPr>
    </w:p>
    <w:p>
      <w:pPr>
        <w:ind w:left="180" w:hanging="172"/>
        <w:spacing w:after="0"/>
        <w:tabs>
          <w:tab w:leader="none" w:pos="18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Structural Portfolio excludes the average daily balances from loans offered through de Reactiva Peru y FAE-Mype Government Programs.</w:t>
      </w:r>
    </w:p>
    <w:p>
      <w:pPr>
        <w:spacing w:after="0" w:line="22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22222"/>
        </w:rPr>
        <w:t xml:space="preserve">The QoQ and YoY analysis of loan expansion in average daily balances by currency reflects the preponderant effect that loan disbursements under Reactiva Peru has had on the upward evolution of LC balances. This expansion was driven by government loans to the Retail Banking segments, primarily via SME-Pyme and SME-Business, and by loans to Wholesale Banking clients, mainly through Middle Market Banking. In the structural portfolio, which excludes Government loans, loan growth in LC in the Corporate, SME-Pyme, Mortgage and Consumer segments also evolved positively YoY </w:t>
      </w:r>
      <w:r>
        <w:rPr>
          <w:rFonts w:ascii="Times New Roman" w:cs="Times New Roman" w:eastAsia="Times New Roman" w:hAnsi="Times New Roman"/>
          <w:sz w:val="18"/>
          <w:szCs w:val="18"/>
          <w:color w:val="000000"/>
        </w:rPr>
        <w:t>(+18.2%, +2.5%,</w:t>
      </w:r>
      <w:r>
        <w:rPr>
          <w:rFonts w:ascii="Times New Roman" w:cs="Times New Roman" w:eastAsia="Times New Roman" w:hAnsi="Times New Roman"/>
          <w:sz w:val="18"/>
          <w:szCs w:val="18"/>
          <w:color w:val="222222"/>
        </w:rPr>
        <w:t xml:space="preserve"> </w:t>
      </w:r>
      <w:r>
        <w:rPr>
          <w:rFonts w:ascii="Times New Roman" w:cs="Times New Roman" w:eastAsia="Times New Roman" w:hAnsi="Times New Roman"/>
          <w:sz w:val="18"/>
          <w:szCs w:val="18"/>
          <w:color w:val="000000"/>
        </w:rPr>
        <w:t xml:space="preserve">+7.6% and +9.4%, respectively), </w:t>
      </w:r>
      <w:r>
        <w:rPr>
          <w:rFonts w:ascii="Times New Roman" w:cs="Times New Roman" w:eastAsia="Times New Roman" w:hAnsi="Times New Roman"/>
          <w:sz w:val="18"/>
          <w:szCs w:val="18"/>
          <w:color w:val="222222"/>
        </w:rPr>
        <w:t>in line with portfolio expansion in 1Q20. This evolution was offset, to a large extent, by a decrease in loan origination due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22222"/>
        </w:rPr>
        <w:t>to the pandemic. FC loan balances during both periods fell in all segments due to a drop in commercial activity and business due to the pandemic and the impact of low-cost financing in Soles guaranteed by the Government through the aforementioned programs.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YoY evolution of the level of dollarization by segment </w:t>
      </w:r>
      <w:r>
        <w:rPr>
          <w:rFonts w:ascii="Times New Roman" w:cs="Times New Roman" w:eastAsia="Times New Roman" w:hAnsi="Times New Roman"/>
          <w:sz w:val="29"/>
          <w:szCs w:val="29"/>
          <w:b w:val="1"/>
          <w:bCs w:val="1"/>
          <w:color w:val="auto"/>
          <w:vertAlign w:val="superscript"/>
        </w:rPr>
        <w:t>(1)(2)(3)</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FC portfolio participation: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Credicorp: 39.9% in 3Q19 and 33.3% in 3Q20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-BCP Stand-alone:37.1% in 3Q19 and 29.9% in 3Q20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142875</wp:posOffset>
            </wp:positionV>
            <wp:extent cx="6737985" cy="19716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7985" cy="197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daily balances.</w:t>
      </w:r>
    </w:p>
    <w:p>
      <w:pPr>
        <w:spacing w:after="0" w:line="27" w:lineRule="exact"/>
        <w:rPr>
          <w:sz w:val="20"/>
          <w:szCs w:val="20"/>
          <w:color w:val="auto"/>
        </w:rPr>
      </w:pPr>
    </w:p>
    <w:p>
      <w:pPr>
        <w:ind w:right="20" w:firstLine="8"/>
        <w:spacing w:after="0" w:line="250" w:lineRule="auto"/>
        <w:tabs>
          <w:tab w:leader="none" w:pos="2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FC share of Credicorp’s loan portfolio is calculated including BCP Bolivia and ASB, however the chart shows only the loan books of BCP Stand-alone and Mibanco.</w:t>
      </w:r>
    </w:p>
    <w:p>
      <w:pPr>
        <w:ind w:firstLine="8"/>
        <w:spacing w:after="0" w:line="260" w:lineRule="auto"/>
        <w:tabs>
          <w:tab w:leader="none" w:pos="26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with the historic maximum level of dollarization for Wholesale Banking was 2012, for Mibanco was 2016 and for the rest of segments was 2009.</w:t>
      </w:r>
    </w:p>
    <w:p>
      <w:pPr>
        <w:spacing w:after="0" w:line="18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BCP Stand-alone, the dollarization level fell YoY to situate at 29.9%. A downward trend is evident in all segments but the most significant reduction in the dollarization level was in the SME-Business segment, which fell from 53% in September 2019 to 25% in September 2020. The aforementioned was due to the fact that a high proportion of loan disbursements for this segment were made in LC via the Reactiva Peru program.</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1.2.3. Market share in loans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Market share in Peru </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100330</wp:posOffset>
            </wp:positionV>
            <wp:extent cx="6737985" cy="17399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7985" cy="1739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Market shares are different that previously reported, please consider the figures presented on this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Peruvian Financial System</w:t>
      </w:r>
    </w:p>
    <w:p>
      <w:pPr>
        <w:spacing w:after="0" w:line="23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At the end of August 2020, BCP Stand-alone continued to lead the Peruvian financial system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with a market share (MS) of 30.4%, compared to 18.7% for its closest competitor. The MS of Mibanco is situated at 3.2% within the total Finanical System, which represents an improvement over the 3.0% registered last quarter. BCP and Mibanco have significantly increased their share of total loans within the system, particularly in the SME-Pyme segment, due to the loans disbursed under the Reactiva Peru and FAE-Mype programs.</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Wholesale Banking, the Corporate Banking segment registered an MS of 39.0%, which represented growth of +30bps QoQ and +120pbs YoY. Middle Market banking increased its share, going from 35.5% in 3Q19 and 37.1% in 2Q20 to 37.5% in 3Q20 due to the influx of Reactiva Peru loans. It is important to note that BCP continues to lead these segments in MS.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Retail Banking, BCP continued to lead the market in the Mortgage segment (-30 bps QoQ and -40bps YoY) and in SME-Business (-30bps QoQ and +430bps YoY). Leadership in the SME-Business segment has been bolstered by BCP’s prevailing share of disbursements under Reactiva Peru. In the Consumer and Credit Card segments, BCP is ranked second.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SME-Pyme segment, Mibanco continues to lead the pack with an MS of 20.0%. The decrease in MS in the YoY comparison (20.4% in 2Q20 and 21.8% in 3Q19) is due to the fact that BCP increased its share of this segment (+20bps QoQ and +420bps YoY) by disbursing a large portion of the loans offered by Reactiva Peru. BCP continues to rank second in this segment with an MS of 15.8%.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Bolivian Financial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Finally, BCP Bolivia MS registered a decrease both QoQ and YoY, due to the increase in the loan portfolio of local leading competitors by refinancing and relief programs offered to individuals and enterprises. The subsidiary is ranked fifth in the Bolivian financial system with a 9.3% market share.</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460" w:hanging="452"/>
        <w:spacing w:after="0"/>
        <w:tabs>
          <w:tab w:leader="none" w:pos="4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Funding Sources</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At the end of 3Q20, total funding increased +5.6% QoQ and +34.0% YoY. Expansion was attributable to growth in Deposits and obligations and BCRP Instruments. The increase in deposits was spurred by growth in demand deposits, particularly non-interest bearing, and savings deposits, both of which imply lower costs, while expansion in the volume of BCRP Instruments was driven by the Reactiva Peru and FAE programs. The aforementioned offset the reduction in Other sources of funding, which were replaced by lower-cost sources. In this context, Credicorp’s structural funding cost fell -32 bps QoQ, -85 bps YoY and -49 bps YTD due to the funding mix and rate effect.</w:t>
      </w:r>
    </w:p>
    <w:p>
      <w:pPr>
        <w:spacing w:after="0" w:line="201" w:lineRule="exact"/>
        <w:rPr>
          <w:sz w:val="20"/>
          <w:szCs w:val="20"/>
          <w:color w:val="auto"/>
        </w:rPr>
      </w:pPr>
    </w:p>
    <w:tbl>
      <w:tblPr>
        <w:tblLayout w:type="fixed"/>
        <w:tblInd w:w="660" w:type="dxa"/>
        <w:tblCellMar>
          <w:top w:w="0" w:type="dxa"/>
          <w:left w:w="0" w:type="dxa"/>
          <w:bottom w:w="0" w:type="dxa"/>
          <w:right w:w="0" w:type="dxa"/>
        </w:tblCellMar>
      </w:tblPr>
      <w:tr>
        <w:trPr>
          <w:trHeight w:val="212"/>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Funding</w:t>
            </w:r>
          </w:p>
        </w:tc>
        <w:tc>
          <w:tcPr>
            <w:tcW w:w="9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9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6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4"/>
        </w:trPr>
        <w:tc>
          <w:tcPr>
            <w:tcW w:w="4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000</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Sep 19</w:t>
            </w: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Jun 20</w:t>
            </w:r>
          </w:p>
        </w:tc>
        <w:tc>
          <w:tcPr>
            <w:tcW w:w="20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Sep 20</w:t>
            </w:r>
          </w:p>
        </w:tc>
        <w:tc>
          <w:tcPr>
            <w:tcW w:w="1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QoQ</w:t>
            </w:r>
          </w:p>
        </w:tc>
        <w:tc>
          <w:tcPr>
            <w:tcW w:w="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w w:val="96"/>
              </w:rPr>
              <w:t>YoY</w:t>
            </w:r>
          </w:p>
        </w:tc>
        <w:tc>
          <w:tcPr>
            <w:tcW w:w="160" w:type="dxa"/>
            <w:vAlign w:val="bottom"/>
            <w:tcBorders>
              <w:bottom w:val="single" w:sz="8" w:color="CCEEFF"/>
            </w:tcBorders>
          </w:tcPr>
          <w:p>
            <w:pPr>
              <w:spacing w:after="0"/>
              <w:rPr>
                <w:sz w:val="18"/>
                <w:szCs w:val="18"/>
                <w:color w:val="auto"/>
              </w:rPr>
            </w:pPr>
          </w:p>
        </w:tc>
      </w:tr>
      <w:tr>
        <w:trPr>
          <w:trHeight w:val="198"/>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Demand deposits</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32,626,001</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48,926,791</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53,574,151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Saving deposits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33,681,765</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42,562,229</w:t>
            </w: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45,999,882</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2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33,194,331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30,019,871</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29,785,440</w:t>
            </w:r>
          </w:p>
        </w:tc>
        <w:tc>
          <w:tcPr>
            <w:tcW w:w="11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Severance indemnity deposits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7,205,449</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7,441,044</w:t>
            </w: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7,127,617</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2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684,174</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714,397</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715,584</w:t>
            </w:r>
          </w:p>
        </w:tc>
        <w:tc>
          <w:tcPr>
            <w:tcW w:w="11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6"/>
        </w:trPr>
        <w:tc>
          <w:tcPr>
            <w:tcW w:w="41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107,391,720</w:t>
            </w:r>
          </w:p>
        </w:tc>
        <w:tc>
          <w:tcPr>
            <w:tcW w:w="18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129,664,332</w:t>
            </w:r>
          </w:p>
        </w:tc>
        <w:tc>
          <w:tcPr>
            <w:tcW w:w="200" w:type="dxa"/>
            <w:vAlign w:val="bottom"/>
            <w:tcBorders>
              <w:bottom w:val="single" w:sz="8" w:color="CCEEFF"/>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137,202,674</w:t>
            </w:r>
          </w:p>
        </w:tc>
        <w:tc>
          <w:tcPr>
            <w:tcW w:w="18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26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r>
        <w:trPr>
          <w:trHeight w:val="196"/>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to banks and correspondents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8,624,286</w:t>
            </w: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8,374,009</w:t>
            </w: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6,601,722</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w:t>
            </w:r>
          </w:p>
        </w:tc>
      </w:tr>
      <w:tr>
        <w:trPr>
          <w:trHeight w:val="20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BCRP instruments</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4,144,908</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19,441,733</w:t>
            </w:r>
          </w:p>
        </w:tc>
        <w:tc>
          <w:tcPr>
            <w:tcW w:w="200" w:type="dxa"/>
            <w:vAlign w:val="bottom"/>
          </w:tcPr>
          <w:p>
            <w:pPr>
              <w:spacing w:after="0"/>
              <w:rPr>
                <w:sz w:val="17"/>
                <w:szCs w:val="17"/>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25,344,724</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30.4%</w:t>
            </w:r>
          </w:p>
        </w:tc>
        <w:tc>
          <w:tcPr>
            <w:tcW w:w="2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511.5%</w:t>
            </w:r>
          </w:p>
        </w:tc>
      </w:tr>
      <w:tr>
        <w:trPr>
          <w:trHeight w:val="203"/>
        </w:trPr>
        <w:tc>
          <w:tcPr>
            <w:tcW w:w="4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agreements</w:t>
            </w: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2,031,025</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2,091,798</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1,204,487</w:t>
            </w:r>
          </w:p>
        </w:tc>
        <w:tc>
          <w:tcPr>
            <w:tcW w:w="11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w:t>
            </w:r>
          </w:p>
        </w:tc>
        <w:tc>
          <w:tcPr>
            <w:tcW w:w="2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r>
      <w:tr>
        <w:trPr>
          <w:trHeight w:val="213"/>
        </w:trPr>
        <w:tc>
          <w:tcPr>
            <w:tcW w:w="41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Bonds and notes issued</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17,160,564</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17,250,531</w:t>
            </w:r>
          </w:p>
        </w:tc>
        <w:tc>
          <w:tcPr>
            <w:tcW w:w="20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16,425,832</w:t>
            </w:r>
          </w:p>
        </w:tc>
        <w:tc>
          <w:tcPr>
            <w:tcW w:w="11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199"/>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funding</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139,352,503</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176,822,403</w:t>
            </w:r>
          </w:p>
        </w:tc>
        <w:tc>
          <w:tcPr>
            <w:tcW w:w="2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186,779,439</w:t>
            </w:r>
          </w:p>
        </w:tc>
        <w:tc>
          <w:tcPr>
            <w:tcW w:w="1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5.6</w:t>
            </w:r>
          </w:p>
        </w:tc>
        <w:tc>
          <w:tcPr>
            <w:tcW w:w="26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Funding Structure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Evolution of the funding structure and cost – BAP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142875</wp:posOffset>
            </wp:positionV>
            <wp:extent cx="6249035" cy="26403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49035"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2019 figures differ from previously reported due to the implementation of IFRS 19, where financing expenses related to lease agreements are included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figure depicting the Evolution of Credicorp’s Funding Structure and Cost is calculated with quarter-end balances. Overall, the funding structure reflects:</w:t>
      </w:r>
    </w:p>
    <w:p>
      <w:pPr>
        <w:spacing w:after="0" w:line="162" w:lineRule="exact"/>
        <w:rPr>
          <w:sz w:val="20"/>
          <w:szCs w:val="20"/>
          <w:color w:val="auto"/>
        </w:rPr>
      </w:pPr>
    </w:p>
    <w:p>
      <w:pPr>
        <w:jc w:val="both"/>
        <w:ind w:left="880" w:hanging="494"/>
        <w:spacing w:after="0" w:line="258" w:lineRule="auto"/>
        <w:tabs>
          <w:tab w:leader="none" w:pos="8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growth in deposits (+5.8% QoQ and +27.8% YoY), the main source of funding, which imply lower costs than Other sources of funding. The increase in the deposit volume was driven by an uptick in funds held in accounts after an: i) expansion in funds held in Retail accounts after the government liberated a portion of Severance Indemnity funds and AFP pension funds and ii) growth in funds held in Wholesale accounts rose after clients at BCP Stand-alone and Mibanco received financing through the Reactiva and FAE programs. Growth in deposits represented 75.7% and 62.9% of the total increase in funding QoQ and YoY respectively.</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14" w:name="page15"/>
    <w:bookmarkEnd w:id="14"/>
    <w:p>
      <w:pPr>
        <w:jc w:val="both"/>
        <w:ind w:left="880" w:hanging="494"/>
        <w:spacing w:after="0" w:line="261"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in the deposit mix, demand deposits and savings deposits reported significant growth at the end of September 2020. These deposits represent 72.6% of the total share of deposits (vs 70.6% in June 20 and 61.7% in Sept 19). The increase in the shares registered for these deposits within total deposits is also attributable to the fact that other types of deposits contracted and were replaced by these lower-cost alternatives in the deposit mix.</w:t>
      </w:r>
    </w:p>
    <w:p>
      <w:pPr>
        <w:spacing w:after="0" w:line="179" w:lineRule="exact"/>
        <w:rPr>
          <w:rFonts w:ascii="Times New Roman" w:cs="Times New Roman" w:eastAsia="Times New Roman" w:hAnsi="Times New Roman"/>
          <w:sz w:val="18"/>
          <w:szCs w:val="18"/>
          <w:color w:val="auto"/>
        </w:rPr>
      </w:pPr>
    </w:p>
    <w:p>
      <w:pPr>
        <w:jc w:val="both"/>
        <w:ind w:left="880" w:hanging="494"/>
        <w:spacing w:after="0" w:line="258" w:lineRule="auto"/>
        <w:tabs>
          <w:tab w:leader="none" w:pos="8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Other sources of funding was attributable to growth in the volume of BCRP Instruments, which was driven by the effects of government programs. This offset the contraction in other sources of funding, which will be explained in greater detail in section 2.3 Other sources of funding. It is important to note the growth in the share of BCRP Instruments in total funding, which situated at 13.6% this quarter (in comparison to 11.0% in June 20 and 3.0% in Sept 19). As of Sep 20, the government funding from BCRP Instruments represented 13% of the total funding volume.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Deposits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1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2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9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14"/>
        </w:trPr>
        <w:tc>
          <w:tcPr>
            <w:tcW w:w="3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000</w:t>
            </w:r>
          </w:p>
        </w:tc>
        <w:tc>
          <w:tcPr>
            <w:tcW w:w="1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Sep 19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Jun 20</w:t>
            </w:r>
          </w:p>
        </w:tc>
        <w:tc>
          <w:tcPr>
            <w:tcW w:w="20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Sep 20</w:t>
            </w:r>
          </w:p>
        </w:tc>
        <w:tc>
          <w:tcPr>
            <w:tcW w:w="2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QoQ</w:t>
            </w:r>
          </w:p>
        </w:tc>
        <w:tc>
          <w:tcPr>
            <w:tcW w:w="360" w:type="dxa"/>
            <w:vAlign w:val="bottom"/>
            <w:tcBorders>
              <w:bottom w:val="single" w:sz="8" w:color="auto"/>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YoY</w:t>
            </w:r>
          </w:p>
        </w:tc>
        <w:tc>
          <w:tcPr>
            <w:tcW w:w="140" w:type="dxa"/>
            <w:vAlign w:val="bottom"/>
            <w:tcBorders>
              <w:bottom w:val="single" w:sz="8" w:color="CCEEFF"/>
            </w:tcBorders>
          </w:tcPr>
          <w:p>
            <w:pPr>
              <w:spacing w:after="0"/>
              <w:rPr>
                <w:sz w:val="18"/>
                <w:szCs w:val="18"/>
                <w:color w:val="auto"/>
              </w:rPr>
            </w:pPr>
          </w:p>
        </w:tc>
      </w:tr>
      <w:tr>
        <w:trPr>
          <w:trHeight w:val="198"/>
        </w:trPr>
        <w:tc>
          <w:tcPr>
            <w:tcW w:w="3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Demand deposits</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32,626,001</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48,926,791</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53,574,151</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9.5%</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r>
      <w:tr>
        <w:trPr>
          <w:trHeight w:val="203"/>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Saving deposits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33,681,765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42,562,229</w:t>
            </w:r>
          </w:p>
        </w:tc>
        <w:tc>
          <w:tcPr>
            <w:tcW w:w="2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45,999,882</w:t>
            </w:r>
          </w:p>
        </w:tc>
        <w:tc>
          <w:tcPr>
            <w:tcW w:w="860" w:type="dxa"/>
            <w:vAlign w:val="bottom"/>
          </w:tcPr>
          <w:p>
            <w:pPr>
              <w:spacing w:after="0"/>
              <w:rPr>
                <w:sz w:val="17"/>
                <w:szCs w:val="17"/>
                <w:color w:val="auto"/>
              </w:rPr>
            </w:pPr>
          </w:p>
        </w:tc>
        <w:tc>
          <w:tcPr>
            <w:tcW w:w="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8.1%</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03"/>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Time deposits</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33,194,331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30,019,871</w:t>
            </w:r>
          </w:p>
        </w:tc>
        <w:tc>
          <w:tcPr>
            <w:tcW w:w="2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29,785,440</w:t>
            </w:r>
          </w:p>
        </w:tc>
        <w:tc>
          <w:tcPr>
            <w:tcW w:w="8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w:t>
            </w:r>
          </w:p>
        </w:tc>
        <w:tc>
          <w:tcPr>
            <w:tcW w:w="3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03"/>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Severance indemnity deposits</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7,205,449</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7,441,044</w:t>
            </w:r>
          </w:p>
        </w:tc>
        <w:tc>
          <w:tcPr>
            <w:tcW w:w="20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7,127,617</w:t>
            </w:r>
          </w:p>
        </w:tc>
        <w:tc>
          <w:tcPr>
            <w:tcW w:w="860" w:type="dxa"/>
            <w:vAlign w:val="bottom"/>
          </w:tcPr>
          <w:p>
            <w:pPr>
              <w:spacing w:after="0"/>
              <w:rPr>
                <w:sz w:val="17"/>
                <w:szCs w:val="17"/>
                <w:color w:val="auto"/>
              </w:rPr>
            </w:pPr>
          </w:p>
        </w:tc>
        <w:tc>
          <w:tcPr>
            <w:tcW w:w="62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3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6"/>
        </w:trPr>
        <w:tc>
          <w:tcPr>
            <w:tcW w:w="4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payable</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684,174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714,397</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715,584</w:t>
            </w:r>
          </w:p>
        </w:tc>
        <w:tc>
          <w:tcPr>
            <w:tcW w:w="8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r>
      <w:tr>
        <w:trPr>
          <w:trHeight w:val="196"/>
        </w:trPr>
        <w:tc>
          <w:tcPr>
            <w:tcW w:w="40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107,391,720</w:t>
            </w:r>
          </w:p>
        </w:tc>
        <w:tc>
          <w:tcPr>
            <w:tcW w:w="22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129,664,332</w:t>
            </w:r>
          </w:p>
        </w:tc>
        <w:tc>
          <w:tcPr>
            <w:tcW w:w="20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137,202,674</w:t>
            </w: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3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27.8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Deposits and obligations </w:t>
      </w:r>
      <w:r>
        <w:rPr>
          <w:rFonts w:ascii="Times New Roman" w:cs="Times New Roman" w:eastAsia="Times New Roman" w:hAnsi="Times New Roman"/>
          <w:sz w:val="18"/>
          <w:szCs w:val="18"/>
          <w:color w:val="auto"/>
        </w:rPr>
        <w:t>expanded +5.8% QoQ. The</w:t>
      </w:r>
      <w:r>
        <w:rPr>
          <w:rFonts w:ascii="Times New Roman" w:cs="Times New Roman" w:eastAsia="Times New Roman" w:hAnsi="Times New Roman"/>
          <w:sz w:val="18"/>
          <w:szCs w:val="18"/>
          <w:b w:val="1"/>
          <w:bCs w:val="1"/>
          <w:color w:val="auto"/>
        </w:rPr>
        <w:t xml:space="preserve"> QoQ </w:t>
      </w:r>
      <w:r>
        <w:rPr>
          <w:rFonts w:ascii="Times New Roman" w:cs="Times New Roman" w:eastAsia="Times New Roman" w:hAnsi="Times New Roman"/>
          <w:sz w:val="18"/>
          <w:szCs w:val="18"/>
          <w:color w:val="auto"/>
        </w:rPr>
        <w:t>evolution of the deposit mix indicates:</w:t>
      </w:r>
    </w:p>
    <w:p>
      <w:pPr>
        <w:spacing w:after="0" w:line="225" w:lineRule="exact"/>
        <w:rPr>
          <w:sz w:val="20"/>
          <w:szCs w:val="20"/>
          <w:color w:val="auto"/>
        </w:rPr>
      </w:pPr>
    </w:p>
    <w:p>
      <w:pPr>
        <w:jc w:val="both"/>
        <w:ind w:left="880" w:hanging="494"/>
        <w:spacing w:after="0" w:line="262"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+9.5% increase in </w:t>
      </w:r>
      <w:r>
        <w:rPr>
          <w:rFonts w:ascii="Times New Roman" w:cs="Times New Roman" w:eastAsia="Times New Roman" w:hAnsi="Times New Roman"/>
          <w:sz w:val="18"/>
          <w:szCs w:val="18"/>
          <w:b w:val="1"/>
          <w:bCs w:val="1"/>
          <w:color w:val="auto"/>
        </w:rPr>
        <w:t>demand deposits</w:t>
      </w:r>
      <w:r>
        <w:rPr>
          <w:rFonts w:ascii="Times New Roman" w:cs="Times New Roman" w:eastAsia="Times New Roman" w:hAnsi="Times New Roman"/>
          <w:sz w:val="18"/>
          <w:szCs w:val="18"/>
          <w:color w:val="auto"/>
        </w:rPr>
        <w:t xml:space="preserve"> was driven by an increase in the deposit volume in current accounts held by clients at BCP Stand-alone. This growth was mainly spurred by the influx of loans from the Reactiva Peru program, whose balances were transferred and held in institutional client accounts. It is important to note that 94% of the growth in demand deposits was attributable to non-interest bearing deposits, which had a positive impact on the cost of funding.</w:t>
      </w:r>
    </w:p>
    <w:p>
      <w:pPr>
        <w:spacing w:after="0" w:line="176" w:lineRule="exact"/>
        <w:rPr>
          <w:rFonts w:ascii="Times New Roman" w:cs="Times New Roman" w:eastAsia="Times New Roman" w:hAnsi="Times New Roman"/>
          <w:sz w:val="18"/>
          <w:szCs w:val="18"/>
          <w:color w:val="auto"/>
        </w:rPr>
      </w:pPr>
    </w:p>
    <w:p>
      <w:pPr>
        <w:jc w:val="both"/>
        <w:ind w:left="880" w:hanging="494"/>
        <w:spacing w:after="0" w:line="257"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w:t>
      </w:r>
      <w:r>
        <w:rPr>
          <w:rFonts w:ascii="Times New Roman" w:cs="Times New Roman" w:eastAsia="Times New Roman" w:hAnsi="Times New Roman"/>
          <w:sz w:val="18"/>
          <w:szCs w:val="18"/>
          <w:b w:val="1"/>
          <w:bCs w:val="1"/>
          <w:color w:val="auto"/>
        </w:rPr>
        <w:t>savings deposits</w:t>
      </w:r>
      <w:r>
        <w:rPr>
          <w:rFonts w:ascii="Times New Roman" w:cs="Times New Roman" w:eastAsia="Times New Roman" w:hAnsi="Times New Roman"/>
          <w:sz w:val="18"/>
          <w:szCs w:val="18"/>
          <w:color w:val="auto"/>
        </w:rPr>
        <w:t>, which increased +8.1% QoQ, mainly in LC. This expansion reflects the effects of the measures taken by the Peruvian government to mitigate the impacts of COVID-19, which included: (i) partial withdrawal of Severance indemnity deposits, (ii) liberation of up to 25% of the AFP pension funds, (iii) nightly curfews from Monday-Saturday and restrictions on movement all day Sunday in addition to orders to close entertainment, recreational and commercial establishments during restricted periods, which led consumption and billing levels to drop, as was reflected in the decline in credit and debit card use. Growth in savings deposits was also attributable to the fact that employers deposited employee bonuses in July and to bank campaigns to capture deposits through digital and cost-efficient channels.</w:t>
      </w:r>
    </w:p>
    <w:p>
      <w:pPr>
        <w:spacing w:after="0" w:line="182"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decline in </w:t>
      </w:r>
      <w:r>
        <w:rPr>
          <w:rFonts w:ascii="Times New Roman" w:cs="Times New Roman" w:eastAsia="Times New Roman" w:hAnsi="Times New Roman"/>
          <w:sz w:val="18"/>
          <w:szCs w:val="18"/>
          <w:b w:val="1"/>
          <w:bCs w:val="1"/>
          <w:color w:val="auto"/>
        </w:rPr>
        <w:t>Severance indemnity deposits</w:t>
      </w:r>
      <w:r>
        <w:rPr>
          <w:rFonts w:ascii="Times New Roman" w:cs="Times New Roman" w:eastAsia="Times New Roman" w:hAnsi="Times New Roman"/>
          <w:sz w:val="18"/>
          <w:szCs w:val="18"/>
          <w:color w:val="auto"/>
        </w:rPr>
        <w:t>, mainly at BCP Stand-alone and in LC due to a government decree in mid-June that allowed affiliates to withdraw S/ 2,400.</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contraction in </w:t>
      </w:r>
      <w:r>
        <w:rPr>
          <w:rFonts w:ascii="Times New Roman" w:cs="Times New Roman" w:eastAsia="Times New Roman" w:hAnsi="Times New Roman"/>
          <w:sz w:val="18"/>
          <w:szCs w:val="18"/>
          <w:b w:val="1"/>
          <w:bCs w:val="1"/>
          <w:color w:val="auto"/>
        </w:rPr>
        <w:t>time deposits</w:t>
      </w:r>
      <w:r>
        <w:rPr>
          <w:rFonts w:ascii="Times New Roman" w:cs="Times New Roman" w:eastAsia="Times New Roman" w:hAnsi="Times New Roman"/>
          <w:sz w:val="18"/>
          <w:szCs w:val="18"/>
          <w:color w:val="auto"/>
        </w:rPr>
        <w:t>, mainly at Mibanco, which was attributable to a decrease in campaigns to capture this type of deposit. It is important to note that time deposits have been replaced by lower-cost deposit types.</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terms, total </w:t>
      </w:r>
      <w:r>
        <w:rPr>
          <w:rFonts w:ascii="Times New Roman" w:cs="Times New Roman" w:eastAsia="Times New Roman" w:hAnsi="Times New Roman"/>
          <w:sz w:val="18"/>
          <w:szCs w:val="18"/>
          <w:b w:val="1"/>
          <w:bCs w:val="1"/>
          <w:color w:val="auto"/>
        </w:rPr>
        <w:t>deposits and obligations</w:t>
      </w:r>
      <w:r>
        <w:rPr>
          <w:rFonts w:ascii="Times New Roman" w:cs="Times New Roman" w:eastAsia="Times New Roman" w:hAnsi="Times New Roman"/>
          <w:sz w:val="18"/>
          <w:szCs w:val="18"/>
          <w:color w:val="auto"/>
        </w:rPr>
        <w:t xml:space="preserve"> reported growth of +27.8%. This increase followed the same trend as that seen in the QoQ analysis. The aforementioned was partially attenuated by a drop in time deposits, which fell primarily in Middle-Market Banking at BCP Stand-alone and, to a lesser extent, by a decline in retail and treasury deposits at Mibanco.</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2.2.1. Deposits: dollarization level</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Dollarization Level of Deposits </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 BAP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100330</wp:posOffset>
            </wp:positionV>
            <wp:extent cx="3840480" cy="15005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40480"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Q-end balances.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 – Deposit Dollarization measured in quarter-end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156845</wp:posOffset>
            </wp:positionV>
            <wp:extent cx="5288915" cy="20231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88915"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dollarization level of Credicorp’s deposits remained stable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which was attributable to the fact that LC and FC deposits grew at similar rates (+6.0% in LC vs +5.6% in FC).</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Growth in LC volumes was driven primarily by an increase in savings deposits and demand deposits. These deposit types reported advances of +9.9% and +7.9% in LC, respectively. Expansion in savings deposits was primarily attributable to natural persons while growth in demand deposits was driven by Wholesale Banking clients, both at BCP Stand-alone. The aforementioned helped offset the contraction in other types of deposits in LC.</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case of FC volumes, growth was also driven by demand deposits, and, to a lesser extent, by savings deposits. The expansion in demand deposits represents 78% of the total increase in FC deposits. The aforementioned was driven by an increase in volumes from institutional clients in Middle Market banking at BCP Stand-alone. The quarterly evolution was also attributable to the exchange rate effect spurred by a +1.7% appreciation in the US Dollar QoQ, which drove FC deposit volumes upward. If we exclude the exchange rate effect, total FC deposits grew +3.9% QoQ in real terms versus +5.6% QoQ in nominal terms.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YoY evolution</w:t>
      </w:r>
      <w:r>
        <w:rPr>
          <w:rFonts w:ascii="Times New Roman" w:cs="Times New Roman" w:eastAsia="Times New Roman" w:hAnsi="Times New Roman"/>
          <w:sz w:val="18"/>
          <w:szCs w:val="18"/>
          <w:color w:val="auto"/>
        </w:rPr>
        <w:t xml:space="preserve"> reflects a significant contraction in the dollarization level, which was attributable to the fact that LC volumes rose by +38.3% versus +17.4% growth in FC. The aforementioned was driven by growth in demand deposits and savings deposits in LC of +100.5% and 48.9%, respectively. Growth in FC volumes was also seen in demand and savings deposits, which grew +37.8% y +21.8% respectively.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YoY growth in FC deposits was also attributable to the exchange rate effect that was generated by a +6.3% appreciation in the US Dollar YoY, which affected deposit volumes in FC. If we eliminate the exchange rate effect, total deposits grew 10.4% YoY in real terms versus 17.4% YoY in nominal terms. At the end of September 20, FC deposits represented 46.4% of total deposits, which fell below the 50.5% reported in September 19.</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It is important to note that the increase in demand and savings deposits in LC (QoQ and YoY) was driven by the economic relief measures implemented by the Peruvian government to assist businesses and individuals by providing liquidity to mitigate the impacts of COVID-19. Consequently, businesses that received loan benefits from government programs (GP), and individuals who drew down their severance accounts or AFP funds, deposited the corresponding balances in their accounts at both BCP Stand-alone and Mibanco. The effect of immediate liquidity also explains the reduction in time deposits in both LC and FC.</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2.2.2. Market share in Deposits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share in Peru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6926580" cy="2940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26580" cy="2940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SBS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may not add due to rounding.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Peruvian Financial System</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Aug 20, the subsidiaries of Credicorp in Peru, BCP Stand-alone and Mibanco, reported a MS of 31.1% and 2.3% respectively. Credicorp continued to dominate the market for deposits in the financial system, outpacing its closest competitor by a significant margin (competitor’s MS: 19.9%).</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which eliminates any seasonal effect, BCP registered a 180 bps increase in its MS in comparison to the figure registered at the end of Sept 19. This was primarily attributable to an increase in the MS of demand deposits (+350 bps). Mibanco’s MS fell to 2.3% (vs 2.8% in Sept 19) due to a contraction in in the MS of time deposits.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Bolivian Financial System</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BCP Bolivia continued to rank fifth in the Bolivian financial system with an MS of 9.3% at the end of Sep 20 (versus 9.4% in Jun 20). In the YoY analysis, the MS fell -20 bps in comparison to the figure at the end of Sep 19 (9.5%).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2.3. Other funding sources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Other funding sources</w:t>
            </w: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56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7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5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QoQ</w:t>
            </w:r>
          </w:p>
        </w:tc>
        <w:tc>
          <w:tcPr>
            <w:tcW w:w="3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7"/>
              </w:rPr>
              <w:t>YoY</w:t>
            </w:r>
          </w:p>
        </w:tc>
        <w:tc>
          <w:tcPr>
            <w:tcW w:w="180" w:type="dxa"/>
            <w:vAlign w:val="bottom"/>
            <w:tcBorders>
              <w:bottom w:val="single" w:sz="8" w:color="CCEEFF"/>
            </w:tcBorders>
          </w:tcPr>
          <w:p>
            <w:pPr>
              <w:spacing w:after="0"/>
              <w:rPr>
                <w:sz w:val="19"/>
                <w:szCs w:val="19"/>
                <w:color w:val="auto"/>
              </w:rPr>
            </w:pPr>
          </w:p>
        </w:tc>
      </w:tr>
      <w:tr>
        <w:trPr>
          <w:trHeight w:val="209"/>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8,624,286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8,374,009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6,601,722</w:t>
            </w: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-21.2%</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BCRP instruments</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4,144,908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19,441,733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25,344,724</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30.4%</w:t>
            </w:r>
          </w:p>
        </w:tc>
        <w:tc>
          <w:tcPr>
            <w:tcW w:w="260" w:type="dxa"/>
            <w:vAlign w:val="bottom"/>
          </w:tcPr>
          <w:p>
            <w:pPr>
              <w:spacing w:after="0"/>
              <w:rPr>
                <w:sz w:val="18"/>
                <w:szCs w:val="18"/>
                <w:color w:val="auto"/>
              </w:rPr>
            </w:pPr>
          </w:p>
        </w:tc>
        <w:tc>
          <w:tcPr>
            <w:tcW w:w="9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5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agreements</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2,031,025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2,091,798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1,204,487</w:t>
            </w:r>
          </w:p>
        </w:tc>
        <w:tc>
          <w:tcPr>
            <w:tcW w:w="13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9"/>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Bonds and notes issued</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17,160,564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17,250,531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16,425,832</w:t>
            </w:r>
          </w:p>
        </w:tc>
        <w:tc>
          <w:tcPr>
            <w:tcW w:w="13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0"/>
        </w:trPr>
        <w:tc>
          <w:tcPr>
            <w:tcW w:w="51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funding sources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31,960,783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47,158,071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49,576,765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w:t>
            </w:r>
          </w:p>
        </w:tc>
        <w:tc>
          <w:tcPr>
            <w:tcW w:w="30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55.1</w:t>
            </w:r>
          </w:p>
        </w:tc>
        <w:tc>
          <w:tcPr>
            <w:tcW w:w="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641"/>
        </w:trPr>
        <w:tc>
          <w:tcPr>
            <w:tcW w:w="5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8"/>
                <w:szCs w:val="18"/>
                <w:color w:val="auto"/>
                <w:w w:val="88"/>
              </w:rPr>
              <w:t>15</w:t>
            </w:r>
          </w:p>
        </w:tc>
      </w:tr>
    </w:tbl>
    <w:p>
      <w:pPr>
        <w:sectPr>
          <w:pgSz w:w="11900" w:h="16838" w:orient="portrait"/>
          <w:cols w:equalWidth="0" w:num="1">
            <w:col w:w="11240"/>
          </w:cols>
          <w:pgMar w:left="320" w:top="904" w:right="339" w:bottom="1440" w:gutter="0" w:footer="0" w:header="0"/>
        </w:sectPr>
      </w:pPr>
    </w:p>
    <w:bookmarkStart w:id="17" w:name="page18"/>
    <w:bookmarkEnd w:id="17"/>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The total of </w:t>
      </w:r>
      <w:r>
        <w:rPr>
          <w:rFonts w:ascii="Times New Roman" w:cs="Times New Roman" w:eastAsia="Times New Roman" w:hAnsi="Times New Roman"/>
          <w:sz w:val="18"/>
          <w:szCs w:val="18"/>
          <w:b w:val="1"/>
          <w:bCs w:val="1"/>
          <w:color w:val="auto"/>
        </w:rPr>
        <w:t>Other funding sources</w:t>
      </w:r>
      <w:r>
        <w:rPr>
          <w:rFonts w:ascii="Times New Roman" w:cs="Times New Roman" w:eastAsia="Times New Roman" w:hAnsi="Times New Roman"/>
          <w:sz w:val="18"/>
          <w:szCs w:val="18"/>
          <w:color w:val="auto"/>
        </w:rPr>
        <w:t xml:space="preserve"> increased +5.1% QoQ. Growth was primarily driven by an increase in the volume of BCRP instruments, whose share of total Other funding sources increased to 51.1% (in comparison to 41.2% at the end of June 20).</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Due to banks and correspondents </w:t>
      </w:r>
      <w:r>
        <w:rPr>
          <w:rFonts w:ascii="Times New Roman" w:cs="Times New Roman" w:eastAsia="Times New Roman" w:hAnsi="Times New Roman"/>
          <w:sz w:val="18"/>
          <w:szCs w:val="18"/>
          <w:color w:val="auto"/>
        </w:rPr>
        <w:t>fell this quarter due to (i) the evolution at BCP Individual, after operations with foreign institutions in FC expired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a lesser extent, to (ii) the evolution at Mibanco, mainly due to the expiration of operations with institutions in the Peruvian financial system, and (iii) the evolution at ASB, due to a decrease in FC obligations that expired and were not renewed.</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terms of </w:t>
      </w:r>
      <w:r>
        <w:rPr>
          <w:rFonts w:ascii="Times New Roman" w:cs="Times New Roman" w:eastAsia="Times New Roman" w:hAnsi="Times New Roman"/>
          <w:sz w:val="18"/>
          <w:szCs w:val="18"/>
          <w:b w:val="1"/>
          <w:bCs w:val="1"/>
          <w:color w:val="auto"/>
        </w:rPr>
        <w:t>BCRP Instruments</w:t>
      </w:r>
      <w:r>
        <w:rPr>
          <w:rFonts w:ascii="Times New Roman" w:cs="Times New Roman" w:eastAsia="Times New Roman" w:hAnsi="Times New Roman"/>
          <w:sz w:val="18"/>
          <w:szCs w:val="18"/>
          <w:color w:val="auto"/>
        </w:rPr>
        <w:t>, significant growth was attributable to the evolution at BCP Stand-alone and, to a lesser extent, to movements at Mibanco after inflows of new regular repos and CDs. Growth in these instruments was driven by the liquidity facilities offered by the Peruvian government for loan disbursements under Reactiva Peru and FAE. This non-structural funding (which include funds from government loans), represented 81% of total BCRP instruments at the end of Sept 20. It is important to note that repos with BCRP that are tied to GP are lent at low rates below 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Repurchase agreements </w:t>
      </w:r>
      <w:r>
        <w:rPr>
          <w:rFonts w:ascii="Times New Roman" w:cs="Times New Roman" w:eastAsia="Times New Roman" w:hAnsi="Times New Roman"/>
          <w:sz w:val="18"/>
          <w:szCs w:val="18"/>
          <w:color w:val="auto"/>
        </w:rPr>
        <w:t>contracted after repos with foreign institutions in FC expired at BCP Stand-alone and ASB.</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Bonds and notes issued </w:t>
      </w:r>
      <w:r>
        <w:rPr>
          <w:rFonts w:ascii="Times New Roman" w:cs="Times New Roman" w:eastAsia="Times New Roman" w:hAnsi="Times New Roman"/>
          <w:sz w:val="18"/>
          <w:szCs w:val="18"/>
          <w:color w:val="auto"/>
        </w:rPr>
        <w:t>decreased due to the partial reserve set aside for two subordinated bonds in the month of July and the expiration of a corporate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bond in September, all at BCP Stand-alone and in FC. As part of its debt restructuring strategy, BCP Stand-alone executed an international debt issuance in the month of July. Through this effort, two subordinated bonds for $476 million and $720 million were restructured with maturities in 2026 and 2027 at coupon rates of 6.857% and 6.125% respectively with a repurchase for $768 million plus “New Money” for $82 million (new issuance for $850 million) with a new expiration date in July 2030 and a coupon rate of 3.125%.</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YoY evolution</w:t>
      </w:r>
      <w:r>
        <w:rPr>
          <w:rFonts w:ascii="Times New Roman" w:cs="Times New Roman" w:eastAsia="Times New Roman" w:hAnsi="Times New Roman"/>
          <w:sz w:val="18"/>
          <w:szCs w:val="18"/>
          <w:color w:val="auto"/>
        </w:rPr>
        <w:t xml:space="preserve"> indicates an increase of +55.1% in Other funding sources, which was attributable to an increase in BCRP Instruments (driven by the same reasons as those outlined for the QoQ evolution). Growth in this source represented 120% of the total increase in Other funding sources, which offset the contraction in other funding 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Loan / Deposit (L/D)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 Deposit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156845</wp:posOffset>
            </wp:positionV>
            <wp:extent cx="3823335" cy="18688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23335" cy="1868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L/D ratio at Credicorp contracted QoQ and situated at 99.2% after growth in deposits (+5.8%), outpaced the expansion reported for loans (+2.6%).</w:t>
      </w:r>
    </w:p>
    <w:p>
      <w:pPr>
        <w:spacing w:after="0" w:line="225"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The analysis by subsidiary shows the same trend for BCP Stand-alone (99.1% Sept 20 vs 105.1% June 20). QoQ decrease in the L/D at BCP Stand-alone was driven by the fact that the expansion reported in the deposit volume (+7.5%) outstripped that registered for loans (+1.4%). The increase in deposits, which was seen in both current and savings accounts, was attributable to two factors: i) government-mandated facilities to provide liquidity to individuals, including permission to draw down severance and pension funds, and ii) government loans to businesses, which were made primarily through Reactiva Peru and to a lesser extent, via FAE-Mype. In the case of Mibanco, QoQ growth in the L/D reflected the fact that the +12.7% increase in loans outpaced the expansion of +1.9% reported for deposits. Significant loan growth was primarily attributable to the influx of loans through Reactiva Peru and FAE.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YoY analysis, the L/D ratio at Credicorp and BCP Stand-alone fell after the increase in the deposit volume (+27.8% and +30.2%, respectively) outpaced growth in loans (+21.3% and +21.9% respectively. The L/D ratio at Mibanco followed the same trend as that described in the QoQ analysis.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Loan / Deposit Ratio by Currency</w:t>
      </w:r>
    </w:p>
    <w:p>
      <w:pPr>
        <w:spacing w:after="0" w:line="225" w:lineRule="exact"/>
        <w:rPr>
          <w:sz w:val="20"/>
          <w:szCs w:val="20"/>
          <w:color w:val="auto"/>
        </w:rPr>
      </w:pPr>
    </w:p>
    <w:p>
      <w:pPr>
        <w:ind w:left="2220"/>
        <w:spacing w:after="0"/>
        <w:tabs>
          <w:tab w:leader="none" w:pos="7780" w:val="left"/>
        </w:tabs>
        <w:rPr>
          <w:sz w:val="20"/>
          <w:szCs w:val="20"/>
          <w:color w:val="auto"/>
        </w:rPr>
      </w:pPr>
      <w:r>
        <w:rPr>
          <w:rFonts w:ascii="Times New Roman" w:cs="Times New Roman" w:eastAsia="Times New Roman" w:hAnsi="Times New Roman"/>
          <w:sz w:val="18"/>
          <w:szCs w:val="18"/>
          <w:b w:val="1"/>
          <w:bCs w:val="1"/>
          <w:color w:val="auto"/>
        </w:rPr>
        <w:t>Local Currency</w:t>
      </w:r>
      <w:r>
        <w:rPr>
          <w:sz w:val="20"/>
          <w:szCs w:val="20"/>
          <w:color w:val="auto"/>
        </w:rPr>
        <w:tab/>
      </w:r>
      <w:r>
        <w:rPr>
          <w:rFonts w:ascii="Times New Roman" w:cs="Times New Roman" w:eastAsia="Times New Roman" w:hAnsi="Times New Roman"/>
          <w:sz w:val="17"/>
          <w:szCs w:val="17"/>
          <w:b w:val="1"/>
          <w:bCs w:val="1"/>
          <w:color w:val="auto"/>
        </w:rPr>
        <w:t>Foreign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19685</wp:posOffset>
            </wp:positionV>
            <wp:extent cx="6883400" cy="1714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3400"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18"/>
          <w:szCs w:val="18"/>
          <w:color w:val="auto"/>
        </w:rPr>
        <w:t>In the QoQ analysis by currency, the L/D ratio in LC at Credicorp and Mibanco rose, which was attributable to the influx of loans under Reactiva Peru and FAE. The slight contraction at BCP Stand-alone was driven by an uptick in individual deposits after clients received statutory bonus payments from their employers and availed of the severance and pension fund withdrawal facilities offered by the government. The contraction in the L/D ratio for FC at Credicorp and BCP Stand-alone was attributable to growth in deposits (+5.6% and +8.9% respectively) and to a decrease in loans (-5.7% and -8.2% respectively). In the case of Mibanco, the L/D ratio in FC presented a slight contraction due to lower volumes of loans (-6.0%) after commercial transactions dropped.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 Credicorp posted a drop in its L/D ratio in LC and FC after deposits registered higher growth than loans, as analyzed in 2.2 Deposits.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Funding Cost</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Funding Cost – Credicorp </w:t>
      </w:r>
      <w:r>
        <w:rPr>
          <w:rFonts w:ascii="Times New Roman" w:cs="Times New Roman" w:eastAsia="Times New Roman" w:hAnsi="Times New Roman"/>
          <w:sz w:val="29"/>
          <w:szCs w:val="29"/>
          <w:b w:val="1"/>
          <w:bCs w:val="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767715</wp:posOffset>
            </wp:positionH>
            <wp:positionV relativeFrom="paragraph">
              <wp:posOffset>100330</wp:posOffset>
            </wp:positionV>
            <wp:extent cx="5648960" cy="26485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2648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80" w:hanging="255"/>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 by currency is calculated with the average of period-beginning and period-end balances.</w:t>
      </w:r>
    </w:p>
    <w:p>
      <w:pPr>
        <w:spacing w:after="0" w:line="27" w:lineRule="exact"/>
        <w:rPr>
          <w:rFonts w:ascii="Times New Roman" w:cs="Times New Roman" w:eastAsia="Times New Roman" w:hAnsi="Times New Roman"/>
          <w:sz w:val="18"/>
          <w:szCs w:val="18"/>
          <w:color w:val="auto"/>
        </w:rPr>
      </w:pPr>
    </w:p>
    <w:p>
      <w:pPr>
        <w:ind w:left="820" w:firstLine="5"/>
        <w:spacing w:after="0" w:line="250" w:lineRule="auto"/>
        <w:tabs>
          <w:tab w:leader="none" w:pos="108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figures differ from previously reported due to the implementation of IFRS 16, where financing expenses related to lease agreements are included.</w:t>
      </w:r>
    </w:p>
    <w:p>
      <w:pPr>
        <w:ind w:left="820" w:firstLine="5"/>
        <w:spacing w:after="0" w:line="260" w:lineRule="auto"/>
        <w:tabs>
          <w:tab w:leader="none" w:pos="108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Funding Cost deducts the impact in expenses and funding related to GP Loans (BCRP Repos) and deducts non-recurring events from Interest Expense</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t>Credicorp’s funding cost fell -12 bps QoQ and -72 bps YoY. The QoQ evolution shows:</w:t>
      </w:r>
    </w:p>
    <w:p>
      <w:pPr>
        <w:spacing w:after="0" w:line="225" w:lineRule="exact"/>
        <w:rPr>
          <w:sz w:val="20"/>
          <w:szCs w:val="20"/>
          <w:color w:val="auto"/>
        </w:rPr>
      </w:pPr>
    </w:p>
    <w:p>
      <w:pPr>
        <w:jc w:val="both"/>
        <w:ind w:left="880" w:hanging="494"/>
        <w:spacing w:after="0" w:line="256"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 in LC dropped (-50 bps), which was attributable to the -11.7% decrease in interest expenses (numerator of the calculation) and to growth of +9.9% in total funding (denominator of the calculation). The increase in the total funding volume in LC was attributable to the uptick of +30.4% in BCRP instruments, which was driven by government loan programs as well as other government-mandated economic facilities. The structural funding cost in LC (which excludes the effects of Central Bank funding and expenses), fell -44 bps (1.57% 3Q20 vs 2.01% 2Q20). This was primarily attributable to the decrease in interest on deposits (-25.9% QoQ), which reflects an improvement in the mix in 3Q20, where lower-cost deposits (savings and non-interest bearing demand deposits) reported higher growth.</w:t>
      </w:r>
    </w:p>
    <w:p>
      <w:pPr>
        <w:spacing w:after="0" w:line="187" w:lineRule="exact"/>
        <w:rPr>
          <w:rFonts w:ascii="Times New Roman" w:cs="Times New Roman" w:eastAsia="Times New Roman" w:hAnsi="Times New Roman"/>
          <w:sz w:val="18"/>
          <w:szCs w:val="18"/>
          <w:color w:val="auto"/>
        </w:rPr>
      </w:pPr>
    </w:p>
    <w:p>
      <w:pPr>
        <w:jc w:val="both"/>
        <w:ind w:left="880" w:hanging="494"/>
        <w:spacing w:after="0" w:line="258"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reduction in the total funding cost was attributable to an increase in the funding volume (+5.6%), where growth outpaced the expansion in interest expenses (+3.3). Growth in funding was driven by growth in deposits, the main source of funding, and by an expansion in BCRP instruments, while the increase in expenses was attributable to growth in interest on bonds. The analysis of total structural funding cost, which excludes interest expenses and funding on GP loans and non-recurring events, related to the one-off charge from the subordinated bond exchange at BCP, indicates that the funding cost was situated at 1.59% (-32 bps QoQ).</w:t>
      </w:r>
    </w:p>
    <w:p>
      <w:pPr>
        <w:spacing w:after="0" w:line="183" w:lineRule="exact"/>
        <w:rPr>
          <w:rFonts w:ascii="Times New Roman" w:cs="Times New Roman" w:eastAsia="Times New Roman" w:hAnsi="Times New Roman"/>
          <w:sz w:val="18"/>
          <w:szCs w:val="18"/>
          <w:color w:val="auto"/>
        </w:rPr>
      </w:pPr>
    </w:p>
    <w:p>
      <w:pPr>
        <w:jc w:val="both"/>
        <w:ind w:left="880" w:hanging="494"/>
        <w:spacing w:after="0" w:line="261" w:lineRule="auto"/>
        <w:tabs>
          <w:tab w:leader="none" w:pos="8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 the funding cost in FC (+34 bps) was attributable to an increase in interest on bonds and issued notes, which was slightly attenuated by the contraction in financial expenses in other funding sources. The structural funding cost in FC, which does not include the non-recurring charge for the exchange and issuance of a bond at BCP Stand-alone in the month of July for a total of S/ 108 million, situated at 1.62% (an improvement of -20 bps).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YoY analysis shows a reduction in the total funding cost, which was attributable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more favorable deposit mix, where demand deposits and savings deposits posted the highest growth with variations of +64.2% and +36.6% respectively. Higher cost deposits, time and severance indemnity, registered drops of -10.1% and -1.1% respectively. In this scenario, interest expenses on deposits decreased -30.6% YoY.</w:t>
      </w:r>
    </w:p>
    <w:p>
      <w:pPr>
        <w:spacing w:after="0" w:line="17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total funding of +34.1% YoY and the contraction in interest expenses of -6.5% YoY. The aforementioned was partially offset by the +27.4% increase in interest expenses on bonds and issued notes related to the premium payment of the liability management.</w:t>
      </w:r>
    </w:p>
    <w:p>
      <w:pPr>
        <w:spacing w:after="0" w:line="161"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effect, given that the interest rates (national and international) have followed a downward trend due to the economic contraction spurred by the pandemic.</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scenario, the total structural funding cost, LC and FC reflect a broad contraction of -85 bps, -106 bps and -70 bps YoY respectively. These levels represent the lowest registered in the past 4 years and indicate that Credicorp’s strategy to restructure liabilities to improve maturities and reduce the fund cost curve in FC and LC are working as planned.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funding cost by subsidiary is depicted in the following figure: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Funding Cost by subsidiary– Credicorp </w:t>
      </w:r>
      <w:r>
        <w:rPr>
          <w:rFonts w:ascii="Times New Roman" w:cs="Times New Roman" w:eastAsia="Times New Roman" w:hAnsi="Times New Roman"/>
          <w:sz w:val="29"/>
          <w:szCs w:val="29"/>
          <w:b w:val="1"/>
          <w:bCs w:val="1"/>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100330</wp:posOffset>
            </wp:positionV>
            <wp:extent cx="5220335" cy="25628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03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900" w:right="180" w:firstLine="2"/>
        <w:spacing w:after="0" w:line="261" w:lineRule="auto"/>
        <w:tabs>
          <w:tab w:leader="none" w:pos="11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2019 figures differ from previously reported due to the implementation of IFRS 16, where financing expenses related to lease agreements are included.</w:t>
      </w:r>
    </w:p>
    <w:p>
      <w:pPr>
        <w:ind w:left="900" w:right="140" w:firstLine="2"/>
        <w:spacing w:after="0" w:line="260" w:lineRule="auto"/>
        <w:tabs>
          <w:tab w:leader="none" w:pos="1155"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Structural Funding Cost deducts the impact in expenses and funding related to GP Loans (BCRP Repos) and deducts non-recurring events from Interest Expense</w:t>
      </w:r>
    </w:p>
    <w:p>
      <w:pPr>
        <w:spacing w:after="0" w:line="181" w:lineRule="exact"/>
        <w:rPr>
          <w:rFonts w:ascii="Times New Roman" w:cs="Times New Roman" w:eastAsia="Times New Roman" w:hAnsi="Times New Roman"/>
          <w:sz w:val="18"/>
          <w:szCs w:val="18"/>
          <w:color w:val="auto"/>
        </w:rPr>
      </w:pPr>
    </w:p>
    <w:p>
      <w:pPr>
        <w:jc w:val="both"/>
        <w:ind w:left="880" w:hanging="494"/>
        <w:spacing w:after="0" w:line="25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 at BCP Stand-alone followed the same trend as that registered for Credicorp funding and reflected a contraction QoQ and YoY. The drop was due to (i) an improvement in the funding mix after the volume of lower-cost funding sources rose, (ii) the rate effect, where all funding sources registered a decrease in their implicit rates and (ii) the volume effect, after BCRP Instruments and deposits (denominator of the calculation) reported significant growth. All of the aforementioned attenuated the increase in expenses from the bond exchanges. The structural funding cost at BCP Stand-alone, excluding the impact of Central Bank funding and expenses related to GP Loans and non-recurring charges at interest expenses related to the bond exchange, was situated at 1.28%, which represents a decrease of -35 bps QoQ and -88 bps YoY.</w:t>
      </w:r>
    </w:p>
    <w:p>
      <w:pPr>
        <w:spacing w:after="0" w:line="187" w:lineRule="exact"/>
        <w:rPr>
          <w:rFonts w:ascii="Times New Roman" w:cs="Times New Roman" w:eastAsia="Times New Roman" w:hAnsi="Times New Roman"/>
          <w:sz w:val="18"/>
          <w:szCs w:val="18"/>
          <w:color w:val="auto"/>
        </w:rPr>
      </w:pPr>
    </w:p>
    <w:p>
      <w:pPr>
        <w:jc w:val="both"/>
        <w:ind w:left="880" w:hanging="494"/>
        <w:spacing w:after="0" w:line="258"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Mibanco also reported a significant contraction in the funding cost QoQ and YoY. In the QoQ and YoY analysis, the decrease in the financial expense (-7.5% and -11.1% respectively) was due to the drop in interest on deposits, which was mainly attributable to a decrease in the volume of time deposits. The total funding volume increased +12.2% QoQ and +17.5% YoY; this was attributable to repos of GP, which contributed to the denominator of the calculation. Finally, the structural funding cost at Mibanco, excluding the effects of Reactiva and FAE programs, was situated at 3.67%, which represents a decrease of -26 bps QoQ and -64 bps YoY. This contributed positively to interest margins.</w:t>
      </w:r>
    </w:p>
    <w:p>
      <w:pPr>
        <w:spacing w:after="0" w:line="183"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 at BCP Bolivia remained stable QoQ given that funding costs and expenses registered similar growth (+1.9% and +1.7% respectively). The funding cost YoY reflected a slight increase of +2 bps, which was driven by an increase in interest expenses on deposits after the volume of higher cost deposits (time deposits) increased.</w:t>
      </w:r>
    </w:p>
    <w:p>
      <w:pPr>
        <w:spacing w:after="0" w:line="392"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ind w:left="460" w:hanging="452"/>
        <w:spacing w:after="0"/>
        <w:tabs>
          <w:tab w:leader="none" w:pos="4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Portfolio quality and Provisions for loan losses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an environment of economic reactivation, on-going improvement was seen in 3Q20 in on-time payment of structural loans due at both BCP and Mibanco and the performance of reprogramed loans reflected this trend. This quarter, provisions fell to levels significantly below those posted in 2Q20. The aforementioned was a result of improved macroeconomic expectations and to adjustments to the expected loss model, which included new variables that more accurately reflect our clients’ evolution.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In this context, Credicorp’s Cost of Risk (CofR) situated at 3.84% in 3Q20 and 5.08% YTD. If we adjust provisions and loans for government programs, the Structural Cost of Risk was situated at 4.37% in 3Q20 and 5.89% YTD. The ratios for portfolio quality, IOL and NPL, registered an uptick due to an increase in deterioration in the retail segment. Given that growth in provisions was greater than the expansion registered for the NPL portfolio, the coverage ratio for NPL loans rose from 108.9% in 3Q19 to 169.9% in 3Q20.</w:t>
      </w:r>
    </w:p>
    <w:p>
      <w:pPr>
        <w:spacing w:after="0" w:line="1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QoQ Eolution of the Cost of Risk (bps)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156845</wp:posOffset>
            </wp:positionV>
            <wp:extent cx="4894580" cy="17830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894580" cy="1783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Includes BCP Bolivia, Encumbra, Bancompartir, ASB and eliminations for consolidation purposes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Reprogrammed and Payment Ratios</w:t>
      </w:r>
    </w:p>
    <w:p>
      <w:pPr>
        <w:spacing w:after="0" w:line="229"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In the third quarter, in line with on-going economic reactivation, an improvement was observed in the payment ratio of maturing installments at both BCP and Mibanco. In the case of BCP's Retail Banking, on-time payments rose from 72% in June to 94% in September while at Mibanco the ratio improved from 55% in June to 84% in September.</w:t>
      </w:r>
      <w:r>
        <w:rPr>
          <w:rFonts w:ascii="Times New Roman" w:cs="Times New Roman" w:eastAsia="Times New Roman" w:hAnsi="Times New Roman"/>
          <w:sz w:val="29"/>
          <w:szCs w:val="29"/>
          <w:color w:val="auto"/>
          <w:vertAlign w:val="superscript"/>
        </w:rPr>
        <w:t>1</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the breakdown of our up-to-date structural portfolio was as follows: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case of Retail Banking at BCP, 23% reprogrammed and up-to-date, 71% were non-reprogrammed up-to-date loans, and 6% overdue loans. In the case of Mibanco, 61% reprogrammed and up-to-date, 35% were non-reprogrammed up-to-date loans, and 4% overdue loans.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Reprogramming facilities have helped prevent further deterioration in the portfolio.</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3.1. Provisions for loan losses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6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w w:val="99"/>
              </w:rPr>
              <w:t>Provision for credit losses on loan portfolio, net of recoveries</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8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3"/>
          </w:tcPr>
          <w:p>
            <w:pPr>
              <w:ind w:left="800"/>
              <w:spacing w:after="0"/>
              <w:rPr>
                <w:sz w:val="20"/>
                <w:szCs w:val="20"/>
                <w:color w:val="auto"/>
              </w:rPr>
            </w:pPr>
            <w:r>
              <w:rPr>
                <w:rFonts w:ascii="Times New Roman" w:cs="Times New Roman" w:eastAsia="Times New Roman" w:hAnsi="Times New Roman"/>
                <w:sz w:val="13"/>
                <w:szCs w:val="13"/>
                <w:b w:val="1"/>
                <w:bCs w:val="1"/>
                <w:color w:val="auto"/>
              </w:rPr>
              <w:t>YTD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4"/>
              </w:rPr>
              <w:t>% change</w:t>
            </w:r>
          </w:p>
        </w:tc>
      </w:tr>
      <w:tr>
        <w:trPr>
          <w:trHeight w:val="128"/>
        </w:trPr>
        <w:tc>
          <w:tcPr>
            <w:tcW w:w="3260" w:type="dxa"/>
            <w:vAlign w:val="bottom"/>
            <w:tcBorders>
              <w:bottom w:val="single" w:sz="8" w:color="auto"/>
            </w:tcBorders>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S/ 000</w:t>
            </w:r>
          </w:p>
        </w:tc>
        <w:tc>
          <w:tcPr>
            <w:tcW w:w="100" w:type="dxa"/>
            <w:vAlign w:val="bottom"/>
            <w:tcBorders>
              <w:bottom w:val="single" w:sz="8" w:color="CCEEFF"/>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3Q19</w:t>
            </w:r>
          </w:p>
        </w:tc>
        <w:tc>
          <w:tcPr>
            <w:tcW w:w="120" w:type="dxa"/>
            <w:vAlign w:val="bottom"/>
            <w:tcBorders>
              <w:top w:val="single" w:sz="8" w:color="auto"/>
              <w:bottom w:val="single" w:sz="8" w:color="CCEEFF"/>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17"/>
              <w:spacing w:after="0" w:line="129" w:lineRule="exact"/>
              <w:rPr>
                <w:sz w:val="20"/>
                <w:szCs w:val="20"/>
                <w:color w:val="auto"/>
              </w:rPr>
            </w:pPr>
            <w:r>
              <w:rPr>
                <w:rFonts w:ascii="Times New Roman" w:cs="Times New Roman" w:eastAsia="Times New Roman" w:hAnsi="Times New Roman"/>
                <w:sz w:val="13"/>
                <w:szCs w:val="13"/>
                <w:b w:val="1"/>
                <w:bCs w:val="1"/>
                <w:color w:val="auto"/>
              </w:rPr>
              <w:t>2Q20</w:t>
            </w:r>
          </w:p>
        </w:tc>
        <w:tc>
          <w:tcPr>
            <w:tcW w:w="100" w:type="dxa"/>
            <w:vAlign w:val="bottom"/>
            <w:tcBorders>
              <w:top w:val="single" w:sz="8" w:color="auto"/>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237"/>
              <w:spacing w:after="0" w:line="129" w:lineRule="exact"/>
              <w:rPr>
                <w:sz w:val="20"/>
                <w:szCs w:val="20"/>
                <w:color w:val="auto"/>
              </w:rPr>
            </w:pPr>
            <w:r>
              <w:rPr>
                <w:rFonts w:ascii="Times New Roman" w:cs="Times New Roman" w:eastAsia="Times New Roman" w:hAnsi="Times New Roman"/>
                <w:sz w:val="13"/>
                <w:szCs w:val="13"/>
                <w:b w:val="1"/>
                <w:bCs w:val="1"/>
                <w:color w:val="auto"/>
              </w:rPr>
              <w:t>3Q20</w:t>
            </w:r>
          </w:p>
        </w:tc>
        <w:tc>
          <w:tcPr>
            <w:tcW w:w="120" w:type="dxa"/>
            <w:vAlign w:val="bottom"/>
            <w:tcBorders>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ind w:left="280"/>
              <w:spacing w:after="0" w:line="129" w:lineRule="exact"/>
              <w:rPr>
                <w:sz w:val="20"/>
                <w:szCs w:val="20"/>
                <w:color w:val="auto"/>
              </w:rPr>
            </w:pPr>
            <w:r>
              <w:rPr>
                <w:rFonts w:ascii="Times New Roman" w:cs="Times New Roman" w:eastAsia="Times New Roman" w:hAnsi="Times New Roman"/>
                <w:sz w:val="13"/>
                <w:szCs w:val="13"/>
                <w:b w:val="1"/>
                <w:bCs w:val="1"/>
                <w:color w:val="auto"/>
                <w:w w:val="97"/>
              </w:rPr>
              <w:t>QoQ</w:t>
            </w: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top w:val="single" w:sz="8" w:color="auto"/>
              <w:bottom w:val="single" w:sz="8" w:color="CCEEFF"/>
            </w:tcBorders>
          </w:tcPr>
          <w:p>
            <w:pPr>
              <w:spacing w:after="0"/>
              <w:rPr>
                <w:sz w:val="11"/>
                <w:szCs w:val="11"/>
                <w:color w:val="auto"/>
              </w:rPr>
            </w:pPr>
          </w:p>
        </w:tc>
        <w:tc>
          <w:tcPr>
            <w:tcW w:w="560" w:type="dxa"/>
            <w:vAlign w:val="bottom"/>
            <w:tcBorders>
              <w:top w:val="single" w:sz="8" w:color="auto"/>
              <w:bottom w:val="single" w:sz="8" w:color="auto"/>
            </w:tcBorders>
          </w:tcPr>
          <w:p>
            <w:pPr>
              <w:ind w:left="300"/>
              <w:spacing w:after="0" w:line="129" w:lineRule="exact"/>
              <w:rPr>
                <w:sz w:val="20"/>
                <w:szCs w:val="20"/>
                <w:color w:val="auto"/>
              </w:rPr>
            </w:pPr>
            <w:r>
              <w:rPr>
                <w:rFonts w:ascii="Times New Roman" w:cs="Times New Roman" w:eastAsia="Times New Roman" w:hAnsi="Times New Roman"/>
                <w:sz w:val="13"/>
                <w:szCs w:val="13"/>
                <w:b w:val="1"/>
                <w:bCs w:val="1"/>
                <w:color w:val="auto"/>
                <w:w w:val="94"/>
              </w:rPr>
              <w:t>YoY</w:t>
            </w:r>
          </w:p>
        </w:tc>
        <w:tc>
          <w:tcPr>
            <w:tcW w:w="28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Sep 19</w:t>
            </w:r>
          </w:p>
        </w:tc>
        <w:tc>
          <w:tcPr>
            <w:tcW w:w="100" w:type="dxa"/>
            <w:vAlign w:val="bottom"/>
            <w:tcBorders>
              <w:top w:val="single" w:sz="8" w:color="auto"/>
              <w:bottom w:val="single" w:sz="8" w:color="CCEEFF"/>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70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3"/>
                <w:szCs w:val="13"/>
                <w:b w:val="1"/>
                <w:bCs w:val="1"/>
                <w:color w:val="auto"/>
              </w:rPr>
              <w:t>Sep 20</w:t>
            </w:r>
          </w:p>
        </w:tc>
        <w:tc>
          <w:tcPr>
            <w:tcW w:w="120" w:type="dxa"/>
            <w:vAlign w:val="bottom"/>
            <w:tcBorders>
              <w:bottom w:val="single" w:sz="8" w:color="CCEEFF"/>
            </w:tcBorders>
          </w:tcPr>
          <w:p>
            <w:pPr>
              <w:spacing w:after="0"/>
              <w:rPr>
                <w:sz w:val="11"/>
                <w:szCs w:val="11"/>
                <w:color w:val="auto"/>
              </w:rPr>
            </w:pPr>
          </w:p>
        </w:tc>
        <w:tc>
          <w:tcPr>
            <w:tcW w:w="880" w:type="dxa"/>
            <w:vAlign w:val="bottom"/>
            <w:tcBorders>
              <w:top w:val="single" w:sz="8" w:color="auto"/>
              <w:bottom w:val="single" w:sz="8" w:color="auto"/>
            </w:tcBorders>
          </w:tcPr>
          <w:p>
            <w:pPr>
              <w:jc w:val="center"/>
              <w:spacing w:after="0" w:line="129" w:lineRule="exact"/>
              <w:rPr>
                <w:sz w:val="20"/>
                <w:szCs w:val="20"/>
                <w:color w:val="auto"/>
              </w:rPr>
            </w:pPr>
            <w:r>
              <w:rPr>
                <w:rFonts w:ascii="Times New Roman" w:cs="Times New Roman" w:eastAsia="Times New Roman" w:hAnsi="Times New Roman"/>
                <w:sz w:val="13"/>
                <w:szCs w:val="13"/>
                <w:b w:val="1"/>
                <w:bCs w:val="1"/>
                <w:color w:val="auto"/>
                <w:w w:val="96"/>
              </w:rPr>
              <w:t>Sep 20 / Sep 19</w:t>
            </w:r>
          </w:p>
        </w:tc>
        <w:tc>
          <w:tcPr>
            <w:tcW w:w="140" w:type="dxa"/>
            <w:vAlign w:val="bottom"/>
            <w:tcBorders>
              <w:bottom w:val="single" w:sz="8" w:color="CCEEFF"/>
            </w:tcBorders>
          </w:tcPr>
          <w:p>
            <w:pPr>
              <w:spacing w:after="0"/>
              <w:rPr>
                <w:sz w:val="11"/>
                <w:szCs w:val="11"/>
                <w:color w:val="auto"/>
              </w:rPr>
            </w:pPr>
          </w:p>
        </w:tc>
      </w:tr>
      <w:tr>
        <w:trPr>
          <w:trHeight w:val="129"/>
        </w:trPr>
        <w:tc>
          <w:tcPr>
            <w:tcW w:w="32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Gross provision for credit losses on loan portfolio</w:t>
            </w:r>
          </w:p>
        </w:tc>
        <w:tc>
          <w:tcPr>
            <w:tcW w:w="1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(568,034)</w:t>
            </w: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(2,557,658)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(1,348,726)</w:t>
            </w:r>
          </w:p>
        </w:tc>
        <w:tc>
          <w:tcPr>
            <w:tcW w:w="1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w w:val="94"/>
              </w:rPr>
              <w:t>-47.3%</w:t>
            </w: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w w:val="94"/>
              </w:rPr>
              <w:t>137.4%</w:t>
            </w:r>
          </w:p>
        </w:tc>
        <w:tc>
          <w:tcPr>
            <w:tcW w:w="8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(1,531,364)</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(5,295,096)</w:t>
            </w:r>
          </w:p>
        </w:tc>
        <w:tc>
          <w:tcPr>
            <w:tcW w:w="1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20"/>
              <w:spacing w:after="0" w:line="129" w:lineRule="exact"/>
              <w:rPr>
                <w:sz w:val="20"/>
                <w:szCs w:val="20"/>
                <w:color w:val="auto"/>
              </w:rPr>
            </w:pPr>
            <w:r>
              <w:rPr>
                <w:rFonts w:ascii="Times New Roman" w:cs="Times New Roman" w:eastAsia="Times New Roman" w:hAnsi="Times New Roman"/>
                <w:sz w:val="13"/>
                <w:szCs w:val="13"/>
                <w:color w:val="auto"/>
              </w:rPr>
              <w:t>245.8%</w:t>
            </w:r>
          </w:p>
        </w:tc>
      </w:tr>
      <w:tr>
        <w:trPr>
          <w:trHeight w:val="135"/>
        </w:trPr>
        <w:tc>
          <w:tcPr>
            <w:tcW w:w="336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Recoveries of written-off loans</w:t>
            </w:r>
          </w:p>
        </w:tc>
        <w:tc>
          <w:tcPr>
            <w:tcW w:w="96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65,262</w:t>
            </w:r>
          </w:p>
        </w:tc>
        <w:tc>
          <w:tcPr>
            <w:tcW w:w="9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17,201</w:t>
            </w:r>
          </w:p>
        </w:tc>
        <w:tc>
          <w:tcPr>
            <w:tcW w:w="100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42,821</w:t>
            </w:r>
          </w:p>
        </w:tc>
        <w:tc>
          <w:tcPr>
            <w:tcW w:w="560" w:type="dxa"/>
            <w:vAlign w:val="bottom"/>
          </w:tcPr>
          <w:p>
            <w:pPr>
              <w:spacing w:after="0"/>
              <w:rPr>
                <w:sz w:val="11"/>
                <w:szCs w:val="11"/>
                <w:color w:val="auto"/>
              </w:rPr>
            </w:pPr>
          </w:p>
        </w:tc>
        <w:tc>
          <w:tcPr>
            <w:tcW w:w="420" w:type="dxa"/>
            <w:vAlign w:val="bottom"/>
            <w:gridSpan w:val="2"/>
          </w:tcPr>
          <w:p>
            <w:pPr>
              <w:jc w:val="right"/>
              <w:ind w:right="40"/>
              <w:spacing w:after="0" w:line="135" w:lineRule="exact"/>
              <w:rPr>
                <w:sz w:val="20"/>
                <w:szCs w:val="20"/>
                <w:color w:val="auto"/>
              </w:rPr>
            </w:pPr>
            <w:r>
              <w:rPr>
                <w:rFonts w:ascii="Times New Roman" w:cs="Times New Roman" w:eastAsia="Times New Roman" w:hAnsi="Times New Roman"/>
                <w:sz w:val="13"/>
                <w:szCs w:val="13"/>
                <w:color w:val="auto"/>
                <w:w w:val="89"/>
              </w:rPr>
              <w:t>148.9%</w:t>
            </w:r>
          </w:p>
        </w:tc>
        <w:tc>
          <w:tcPr>
            <w:tcW w:w="560" w:type="dxa"/>
            <w:vAlign w:val="bottom"/>
          </w:tcPr>
          <w:p>
            <w:pPr>
              <w:spacing w:after="0"/>
              <w:rPr>
                <w:sz w:val="11"/>
                <w:szCs w:val="11"/>
                <w:color w:val="auto"/>
              </w:rPr>
            </w:pPr>
          </w:p>
        </w:tc>
        <w:tc>
          <w:tcPr>
            <w:tcW w:w="4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-34.4%</w:t>
            </w:r>
          </w:p>
        </w:tc>
        <w:tc>
          <w:tcPr>
            <w:tcW w:w="98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197,087</w:t>
            </w:r>
          </w:p>
        </w:tc>
        <w:tc>
          <w:tcPr>
            <w:tcW w:w="180" w:type="dxa"/>
            <w:vAlign w:val="bottom"/>
          </w:tcPr>
          <w:p>
            <w:pPr>
              <w:spacing w:after="0"/>
              <w:rPr>
                <w:sz w:val="11"/>
                <w:szCs w:val="11"/>
                <w:color w:val="auto"/>
              </w:rPr>
            </w:pPr>
          </w:p>
        </w:tc>
        <w:tc>
          <w:tcPr>
            <w:tcW w:w="820" w:type="dxa"/>
            <w:vAlign w:val="bottom"/>
            <w:gridSpan w:val="2"/>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107,252</w:t>
            </w:r>
          </w:p>
        </w:tc>
        <w:tc>
          <w:tcPr>
            <w:tcW w:w="1020" w:type="dxa"/>
            <w:vAlign w:val="bottom"/>
            <w:gridSpan w:val="2"/>
          </w:tcPr>
          <w:p>
            <w:pPr>
              <w:jc w:val="right"/>
              <w:ind w:right="20"/>
              <w:spacing w:after="0" w:line="135" w:lineRule="exact"/>
              <w:rPr>
                <w:sz w:val="20"/>
                <w:szCs w:val="20"/>
                <w:color w:val="auto"/>
              </w:rPr>
            </w:pPr>
            <w:r>
              <w:rPr>
                <w:rFonts w:ascii="Times New Roman" w:cs="Times New Roman" w:eastAsia="Times New Roman" w:hAnsi="Times New Roman"/>
                <w:sz w:val="13"/>
                <w:szCs w:val="13"/>
                <w:color w:val="auto"/>
              </w:rPr>
              <w:t>-45.6%</w:t>
            </w:r>
          </w:p>
        </w:tc>
      </w:tr>
      <w:tr>
        <w:trPr>
          <w:trHeight w:val="135"/>
        </w:trPr>
        <w:tc>
          <w:tcPr>
            <w:tcW w:w="336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Provision for credit losses on loan portfolio, net of recoveries</w:t>
            </w:r>
          </w:p>
        </w:tc>
        <w:tc>
          <w:tcPr>
            <w:tcW w:w="96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(502,772)</w:t>
            </w:r>
          </w:p>
        </w:tc>
        <w:tc>
          <w:tcPr>
            <w:tcW w:w="96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(2,540,457)</w:t>
            </w:r>
          </w:p>
        </w:tc>
        <w:tc>
          <w:tcPr>
            <w:tcW w:w="100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(1,305,905)</w:t>
            </w: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ind w:right="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-48.6%</w:t>
            </w:r>
          </w:p>
        </w:tc>
        <w:tc>
          <w:tcPr>
            <w:tcW w:w="56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w w:val="94"/>
              </w:rPr>
              <w:t>159.7%</w:t>
            </w:r>
          </w:p>
        </w:tc>
        <w:tc>
          <w:tcPr>
            <w:tcW w:w="980" w:type="dxa"/>
            <w:vAlign w:val="bottom"/>
            <w:gridSpan w:val="2"/>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b w:val="1"/>
                <w:bCs w:val="1"/>
                <w:color w:val="auto"/>
              </w:rPr>
              <w:t>(1,334,277)</w:t>
            </w:r>
          </w:p>
        </w:tc>
        <w:tc>
          <w:tcPr>
            <w:tcW w:w="1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Times New Roman" w:cs="Times New Roman" w:eastAsia="Times New Roman" w:hAnsi="Times New Roman"/>
                <w:sz w:val="13"/>
                <w:szCs w:val="13"/>
                <w:b w:val="1"/>
                <w:bCs w:val="1"/>
                <w:color w:val="auto"/>
              </w:rPr>
              <w:t>(5,187,844)</w:t>
            </w:r>
          </w:p>
        </w:tc>
        <w:tc>
          <w:tcPr>
            <w:tcW w:w="102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b w:val="1"/>
                <w:bCs w:val="1"/>
                <w:color w:val="auto"/>
              </w:rPr>
              <w:t>288.8%</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 fell 47.3% QoQ due to:</w:t>
      </w:r>
    </w:p>
    <w:p>
      <w:pPr>
        <w:spacing w:after="0" w:line="225" w:lineRule="exact"/>
        <w:rPr>
          <w:sz w:val="20"/>
          <w:szCs w:val="20"/>
          <w:color w:val="auto"/>
        </w:rPr>
      </w:pPr>
    </w:p>
    <w:p>
      <w:pPr>
        <w:ind w:left="880" w:right="20" w:hanging="49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(i)</w:t>
      </w:r>
      <w:r>
        <w:rPr>
          <w:sz w:val="20"/>
          <w:szCs w:val="20"/>
          <w:color w:val="auto"/>
        </w:rPr>
        <w:tab/>
      </w:r>
      <w:r>
        <w:rPr>
          <w:rFonts w:ascii="Times New Roman" w:cs="Times New Roman" w:eastAsia="Times New Roman" w:hAnsi="Times New Roman"/>
          <w:sz w:val="18"/>
          <w:szCs w:val="18"/>
          <w:color w:val="auto"/>
        </w:rPr>
        <w:t>The Sophistication of the model variables and the update of the clients information by segment (update of surveys on the situation of clients and early alert variables), which reflected an improvement in our clients situation quarter-over-quarter.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7830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Restated series replace the figures presented at the Investor Day, and are now aligned with BCP's methodology.</w:t>
      </w:r>
    </w:p>
    <w:p>
      <w:pPr>
        <w:spacing w:after="0" w:line="35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9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880" w:hanging="494"/>
        <w:spacing w:after="0"/>
        <w:tabs>
          <w:tab w:leader="none" w:pos="8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 in Macroeconomic Expectations for 2021 and 2022.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was attenuated by the increased participation of the new variables to the model, which more precisely represent the expected losses of customers who have had their income affected by COVID-19. Additionally, there was also a deterioration of specific customers of Wholesale Banking in BCP.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risk</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Cost of risk and Provisions</w:t>
            </w:r>
          </w:p>
        </w:tc>
        <w:tc>
          <w:tcPr>
            <w:tcW w:w="100" w:type="dxa"/>
            <w:vAlign w:val="bottom"/>
            <w:vMerge w:val="restart"/>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304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90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120" w:type="dxa"/>
            <w:vAlign w:val="bottom"/>
            <w:tcBorders>
              <w:top w:val="single" w:sz="8" w:color="auto"/>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12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ind w:left="280"/>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1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12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120" w:type="dxa"/>
            <w:vAlign w:val="bottom"/>
            <w:tcBorders>
              <w:bottom w:val="single" w:sz="8" w:color="CCEEFF"/>
            </w:tcBorders>
          </w:tcPr>
          <w:p>
            <w:pPr>
              <w:spacing w:after="0"/>
              <w:rPr>
                <w:sz w:val="13"/>
                <w:szCs w:val="13"/>
                <w:color w:val="auto"/>
              </w:rPr>
            </w:pPr>
          </w:p>
        </w:tc>
        <w:tc>
          <w:tcPr>
            <w:tcW w:w="880" w:type="dxa"/>
            <w:vAlign w:val="bottom"/>
            <w:tcBorders>
              <w:top w:val="single" w:sz="8" w:color="auto"/>
              <w:bottom w:val="single" w:sz="8" w:color="auto"/>
            </w:tcBorders>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12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120" w:type="dxa"/>
            <w:vAlign w:val="bottom"/>
            <w:tcBorders>
              <w:bottom w:val="single" w:sz="8" w:color="CCEEFF"/>
            </w:tcBorders>
          </w:tcPr>
          <w:p>
            <w:pPr>
              <w:spacing w:after="0"/>
              <w:rPr>
                <w:sz w:val="13"/>
                <w:szCs w:val="13"/>
                <w:color w:val="auto"/>
              </w:rPr>
            </w:pP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30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Cost of risk </w:t>
            </w:r>
            <w:r>
              <w:rPr>
                <w:rFonts w:ascii="Times New Roman" w:cs="Times New Roman" w:eastAsia="Times New Roman" w:hAnsi="Times New Roman"/>
                <w:sz w:val="21"/>
                <w:szCs w:val="21"/>
                <w:color w:val="auto"/>
                <w:vertAlign w:val="superscript"/>
              </w:rPr>
              <w:t>(1)</w:t>
            </w:r>
          </w:p>
        </w:tc>
        <w:tc>
          <w:tcPr>
            <w:tcW w:w="1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12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-382 bps</w:t>
            </w: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205 bps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349 bps</w:t>
            </w:r>
          </w:p>
        </w:tc>
        <w:tc>
          <w:tcPr>
            <w:tcW w:w="0" w:type="dxa"/>
            <w:vAlign w:val="bottom"/>
          </w:tcPr>
          <w:p>
            <w:pPr>
              <w:spacing w:after="0"/>
              <w:rPr>
                <w:sz w:val="1"/>
                <w:szCs w:val="1"/>
                <w:color w:val="auto"/>
              </w:rPr>
            </w:pPr>
          </w:p>
        </w:tc>
      </w:tr>
      <w:tr>
        <w:trPr>
          <w:trHeight w:val="189"/>
        </w:trPr>
        <w:tc>
          <w:tcPr>
            <w:tcW w:w="314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Structural Cost of risk </w:t>
            </w:r>
            <w:r>
              <w:rPr>
                <w:rFonts w:ascii="Times New Roman" w:cs="Times New Roman" w:eastAsia="Times New Roman" w:hAnsi="Times New Roman"/>
                <w:sz w:val="21"/>
                <w:szCs w:val="21"/>
                <w:color w:val="auto"/>
                <w:vertAlign w:val="superscript"/>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128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-405 bps</w:t>
            </w: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257 bps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80" w:type="dxa"/>
            <w:vAlign w:val="bottom"/>
          </w:tcPr>
          <w:p>
            <w:pPr>
              <w:spacing w:after="0"/>
              <w:rPr>
                <w:sz w:val="16"/>
                <w:szCs w:val="16"/>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441 bps</w:t>
            </w:r>
          </w:p>
        </w:tc>
        <w:tc>
          <w:tcPr>
            <w:tcW w:w="0" w:type="dxa"/>
            <w:vAlign w:val="bottom"/>
          </w:tcPr>
          <w:p>
            <w:pPr>
              <w:spacing w:after="0"/>
              <w:rPr>
                <w:sz w:val="1"/>
                <w:szCs w:val="1"/>
                <w:color w:val="auto"/>
              </w:rPr>
            </w:pPr>
          </w:p>
        </w:tc>
      </w:tr>
      <w:tr>
        <w:trPr>
          <w:trHeight w:val="126"/>
        </w:trPr>
        <w:tc>
          <w:tcPr>
            <w:tcW w:w="31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Provision for credit losses on loan portfolio, net of</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w:t>
            </w:r>
          </w:p>
        </w:tc>
        <w:tc>
          <w:tcPr>
            <w:tcW w:w="1280" w:type="dxa"/>
            <w:vAlign w:val="bottom"/>
            <w:gridSpan w:val="3"/>
            <w:vMerge w:val="restart"/>
            <w:shd w:val="clear" w:color="auto" w:fill="CCEEFF"/>
          </w:tcPr>
          <w:p>
            <w:pPr>
              <w:jc w:val="right"/>
              <w:ind w:right="400"/>
              <w:spacing w:after="0"/>
              <w:rPr>
                <w:sz w:val="20"/>
                <w:szCs w:val="20"/>
                <w:color w:val="auto"/>
              </w:rPr>
            </w:pPr>
            <w:r>
              <w:rPr>
                <w:rFonts w:ascii="Times New Roman" w:cs="Times New Roman" w:eastAsia="Times New Roman" w:hAnsi="Times New Roman"/>
                <w:sz w:val="14"/>
                <w:szCs w:val="14"/>
                <w:color w:val="auto"/>
              </w:rPr>
              <w:t>7320 bps</w:t>
            </w:r>
          </w:p>
        </w:tc>
        <w:tc>
          <w:tcPr>
            <w:tcW w:w="7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10960 bps</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w:t>
            </w:r>
          </w:p>
        </w:tc>
        <w:tc>
          <w:tcPr>
            <w:tcW w:w="1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89.4%</w:t>
            </w:r>
          </w:p>
        </w:tc>
        <w:tc>
          <w:tcPr>
            <w:tcW w:w="10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7030 bps</w:t>
            </w:r>
          </w:p>
        </w:tc>
        <w:tc>
          <w:tcPr>
            <w:tcW w:w="0" w:type="dxa"/>
            <w:vAlign w:val="bottom"/>
          </w:tcPr>
          <w:p>
            <w:pPr>
              <w:spacing w:after="0"/>
              <w:rPr>
                <w:sz w:val="1"/>
                <w:szCs w:val="1"/>
                <w:color w:val="auto"/>
              </w:rPr>
            </w:pPr>
          </w:p>
        </w:tc>
      </w:tr>
      <w:tr>
        <w:trPr>
          <w:trHeight w:val="171"/>
        </w:trPr>
        <w:tc>
          <w:tcPr>
            <w:tcW w:w="3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recoveries / Net interest income</w:t>
            </w:r>
          </w:p>
        </w:tc>
        <w:tc>
          <w:tcPr>
            <w:tcW w:w="10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280" w:type="dxa"/>
            <w:vAlign w:val="bottom"/>
            <w:gridSpan w:val="3"/>
            <w:vMerge w:val="continue"/>
            <w:shd w:val="clear" w:color="auto" w:fill="CCEEFF"/>
          </w:tcPr>
          <w:p>
            <w:pPr>
              <w:spacing w:after="0"/>
              <w:rPr>
                <w:sz w:val="14"/>
                <w:szCs w:val="14"/>
                <w:color w:val="auto"/>
              </w:rPr>
            </w:pPr>
          </w:p>
        </w:tc>
        <w:tc>
          <w:tcPr>
            <w:tcW w:w="720" w:type="dxa"/>
            <w:vAlign w:val="bottom"/>
            <w:gridSpan w:val="2"/>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Provision for credit losses on loan portfolio, net of recoveries / Total loans.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Structural Cost of risk excludes the provisions for credit losses on loan portfolio, net of recoveries and total loans from the Reactiva Peru and FAE Government Programs.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aforementioned scenario, Credicorp’s cost of risk fell 382 bps QoQ but increased 205 bps YoY and 349 bps YTD. If we exclude loans and provisions associated with disbursements under government programs, the cost of risk of the structural portfolio at Credicorp was situated at 4.36% in 3Q20 and at 6.00% YTD, which represented a drop of 405 bps QoQ and an increase of 257 bps YoY and 441 bps YTD.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3.2. Portfolio Quality: Delinquency ratios</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32"/>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Portfolio quality and Delinquency ratios</w:t>
            </w: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8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09"/>
        </w:trPr>
        <w:tc>
          <w:tcPr>
            <w:tcW w:w="4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QoQ</w:t>
            </w:r>
          </w:p>
        </w:tc>
        <w:tc>
          <w:tcPr>
            <w:tcW w:w="2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8"/>
                <w:szCs w:val="18"/>
                <w:color w:val="auto"/>
              </w:rPr>
            </w:pPr>
          </w:p>
        </w:tc>
      </w:tr>
      <w:tr>
        <w:trPr>
          <w:trHeight w:val="210"/>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loans (Quarter-end balance)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112,209,990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132,741,720</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136,148,711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21.3%</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Structural Loan Portfolio</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112,209,990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117,793,055</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111,873,600</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w:t>
            </w:r>
          </w:p>
        </w:tc>
        <w:tc>
          <w:tcPr>
            <w:tcW w:w="3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-0.3%</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loan losses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4,977,809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8,412,544</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9,656,383</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94.0%</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Write-offs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456,932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42,104</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20,249</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-51.9%</w:t>
            </w:r>
          </w:p>
        </w:tc>
        <w:tc>
          <w:tcPr>
            <w:tcW w:w="3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-95.6%</w:t>
            </w:r>
          </w:p>
        </w:tc>
      </w:tr>
      <w:tr>
        <w:trPr>
          <w:trHeight w:val="257"/>
        </w:trPr>
        <w:tc>
          <w:tcPr>
            <w:tcW w:w="458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Internal overdue loans (IOLs) </w:t>
            </w:r>
            <w:r>
              <w:rPr>
                <w:rFonts w:ascii="Times New Roman" w:cs="Times New Roman" w:eastAsia="Times New Roman" w:hAnsi="Times New Roman"/>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3,346,389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3,842,830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4,142,844</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w:t>
            </w:r>
          </w:p>
        </w:tc>
        <w:tc>
          <w:tcPr>
            <w:tcW w:w="32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56"/>
        </w:trPr>
        <w:tc>
          <w:tcPr>
            <w:tcW w:w="4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Internal overdue loans over 90-days </w:t>
            </w:r>
            <w:r>
              <w:rPr>
                <w:rFonts w:ascii="Times New Roman" w:cs="Times New Roman" w:eastAsia="Times New Roman" w:hAnsi="Times New Roman"/>
                <w:sz w:val="29"/>
                <w:szCs w:val="29"/>
                <w:color w:val="auto"/>
                <w:vertAlign w:val="superscript"/>
              </w:rPr>
              <w:t>(1)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2,539,751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1,987,988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2,336,000</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17.5%</w:t>
            </w:r>
          </w:p>
        </w:tc>
        <w:tc>
          <w:tcPr>
            <w:tcW w:w="3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Refinanced loans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1,225,691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1,179,031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1,539,484</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30.6%</w:t>
            </w:r>
          </w:p>
        </w:tc>
        <w:tc>
          <w:tcPr>
            <w:tcW w:w="3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56"/>
        </w:trPr>
        <w:tc>
          <w:tcPr>
            <w:tcW w:w="458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Non-performing loans (NPLs) </w:t>
            </w:r>
            <w:r>
              <w:rPr>
                <w:rFonts w:ascii="Times New Roman" w:cs="Times New Roman" w:eastAsia="Times New Roman" w:hAnsi="Times New Roman"/>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4,572,080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5,021,861</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5,682,328</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w:t>
            </w:r>
          </w:p>
        </w:tc>
        <w:tc>
          <w:tcPr>
            <w:tcW w:w="320" w:type="dxa"/>
            <w:vAlign w:val="bottom"/>
          </w:tcPr>
          <w:p>
            <w:pPr>
              <w:spacing w:after="0"/>
              <w:rPr>
                <w:sz w:val="22"/>
                <w:szCs w:val="22"/>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IOL ratio</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2.98%</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2.89%</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3.04%</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15 bps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 bps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Structural IOL ratio</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2.98%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3.26%</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3.70%</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44 bps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 bps</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IOL over 90-days ratio</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2.26%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1.72%</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22 bps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 bps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NPL ratio</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4.07%</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3.78%</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4.17%</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39 bps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 bps</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Structural NPL ratio</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4.07%</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4.26%</w:t>
            </w:r>
          </w:p>
        </w:tc>
        <w:tc>
          <w:tcPr>
            <w:tcW w:w="1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5.08%</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82 bps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 bps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Allowance for loan losses over Total loans</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6.34%</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7.09%</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80 bps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270 bps</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ratio of IOLs</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148.8%</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218.9%</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233.1%</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1420 bps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8430 bps</w:t>
            </w:r>
          </w:p>
        </w:tc>
      </w:tr>
      <w:tr>
        <w:trPr>
          <w:trHeight w:val="216"/>
        </w:trPr>
        <w:tc>
          <w:tcPr>
            <w:tcW w:w="4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Coverage ratio of IOL 90-days</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196.0%</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423.2%</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413.4%</w:t>
            </w:r>
          </w:p>
        </w:tc>
        <w:tc>
          <w:tcPr>
            <w:tcW w:w="166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-980 bps</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21740 bps</w:t>
            </w: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ratio of NPLs</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108.9%</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167.5%</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169.9%</w:t>
            </w:r>
          </w:p>
        </w:tc>
        <w:tc>
          <w:tcPr>
            <w:tcW w:w="166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240 bps</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6100 bps</w:t>
            </w:r>
          </w:p>
        </w:tc>
      </w:tr>
    </w:tbl>
    <w:p>
      <w:pPr>
        <w:spacing w:after="0" w:line="198" w:lineRule="exact"/>
        <w:rPr>
          <w:sz w:val="20"/>
          <w:szCs w:val="20"/>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overdue loans and loans under legal collection. (Quarter-end balances)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Non-performing loans include internal overdue loans and refinanced loans. (Quarter-end balances)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terms of delinquency ratios, it is important to note that:</w:t>
      </w:r>
    </w:p>
    <w:p>
      <w:pPr>
        <w:spacing w:after="0" w:line="225" w:lineRule="exact"/>
        <w:rPr>
          <w:sz w:val="20"/>
          <w:szCs w:val="20"/>
          <w:color w:val="auto"/>
        </w:rPr>
      </w:pPr>
    </w:p>
    <w:p>
      <w:pPr>
        <w:jc w:val="both"/>
        <w:ind w:left="880" w:hanging="494"/>
        <w:spacing w:after="0" w:line="258"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IOL Portfolio increased 7.8% QoQ and 23.8% YoY. This growth was driven mainly by Retail Banking, and by the Consumer and Credit Card segments in particular, and by Mibanco, which saw an uptick after a number of clients unable to service their debt once the grace period facilities had matured. The Wholesale segment also registered deterioration, mainly due to the evolution of a client in the Corporate segment from energy sector in particular. The aforementioned was attenuated by a reduction in the IOL portfolio at BCP Bolivia given that a large percentage of retail loans have been refinanced.</w:t>
      </w:r>
    </w:p>
    <w:p>
      <w:pPr>
        <w:spacing w:after="0" w:line="183"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of refinanced loans increased 30.6% QoQ and 25.6% YoY after clients in the consumer segment who were not eligible to use the facilities offered by Credicorp given that they were behind on their payments prior to February 15, or those who fell behind on payments after availing of the facilities offered, were offered refinancing options.</w:t>
      </w:r>
    </w:p>
    <w:p>
      <w:pPr>
        <w:spacing w:after="0" w:line="200" w:lineRule="exact"/>
        <w:rPr>
          <w:sz w:val="20"/>
          <w:szCs w:val="20"/>
          <w:color w:val="auto"/>
        </w:rPr>
      </w:pPr>
    </w:p>
    <w:p>
      <w:pPr>
        <w:spacing w:after="0" w:line="2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The total of written off loans continued to fall this quarter due to changes in Peruvian regulations, which required banks to stop classifying customers as a loss situation until September. It is important to mention that the expected provisions for the loans that would have been written off have already been included in the expected loss model and as of next quarter, the write-offs should return to pre-pandemic levels.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156845</wp:posOffset>
            </wp:positionV>
            <wp:extent cx="5254625" cy="20828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54625" cy="2082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020" w:right="140" w:firstLine="9"/>
        <w:spacing w:after="0" w:line="282" w:lineRule="auto"/>
        <w:tabs>
          <w:tab w:leader="none" w:pos="127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Structural Cost of risk excludes the provisions for credit losses on loan portfolio, net of recoveries and total loans from the Reactiva Peru and FAE Government Programs.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led the IOL and NPL ratios for the Total loans and Structural loans.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context of COVID-19, the balance of provisions over total loans increased 75 bps QoQ and 265 bps YoY. Additionally, the NPL Coverage ratio showed a significant YoY increase.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analyzing the evolution of the delinquency indicators, it is important to note that:</w:t>
      </w:r>
    </w:p>
    <w:p>
      <w:pPr>
        <w:spacing w:after="0" w:line="225" w:lineRule="exact"/>
        <w:rPr>
          <w:sz w:val="20"/>
          <w:szCs w:val="20"/>
          <w:color w:val="auto"/>
        </w:rPr>
      </w:pPr>
    </w:p>
    <w:p>
      <w:pPr>
        <w:ind w:left="880" w:right="20" w:hanging="494"/>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has offered its Retail Clients that, as of February 29th had less than 15 overdue days, the possibility of reprogramming and freezing their debts. In this context, the delinquency ratios for Retail segments fails to fully capture the portfolio’s real deterioration.</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delinquency ratios for the Wholesale, SME-Business and SME-Pyme segments are distorted by the presence of Reactiva Peru and FAE loans. For this reason, we are presenting adjusted ratios to isolate the effect and analyze the evolution of the quality of the structural loan portfolio.</w:t>
      </w:r>
    </w:p>
    <w:p>
      <w:pPr>
        <w:spacing w:after="0" w:line="175" w:lineRule="exact"/>
        <w:rPr>
          <w:rFonts w:ascii="Times New Roman" w:cs="Times New Roman" w:eastAsia="Times New Roman" w:hAnsi="Times New Roman"/>
          <w:sz w:val="18"/>
          <w:szCs w:val="18"/>
          <w:color w:val="auto"/>
        </w:rPr>
      </w:pPr>
    </w:p>
    <w:p>
      <w:pPr>
        <w:jc w:val="both"/>
        <w:ind w:left="880" w:hanging="494"/>
        <w:spacing w:after="0" w:line="258"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Traditional delinquency ratios (IOL and NPL ratios) continue to be distorted by the presence of loans with real estate collateral (commercial and residential properties). This means that a significant portion of loans that are more than 150 days past due cannot be written off (despite the fact that provisions have been set aside) given that a judicial process must be initiated to liquidate the collateral, which takes five years on average. Additionally, due to the change in the regulatory framework in March, loans without guarantees cannot be written off. This should regularize beginning next quarter.</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3.2.1. Delinquency indicators by business line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Wholesale Banking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156845</wp:posOffset>
            </wp:positionV>
            <wp:extent cx="6677660" cy="2400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67766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880" w:hanging="494"/>
        <w:spacing w:after="0"/>
        <w:tabs>
          <w:tab w:leader="none" w:pos="8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IOL and NPL ratios increased QoQ and YoY due to deterioration of one client in the Corporate Banking segment from the energy sectors</w:t>
      </w:r>
    </w:p>
    <w:p>
      <w:pPr>
        <w:spacing w:after="0" w:line="221" w:lineRule="exact"/>
        <w:rPr>
          <w:rFonts w:ascii="Times New Roman" w:cs="Times New Roman" w:eastAsia="Times New Roman" w:hAnsi="Times New Roman"/>
          <w:sz w:val="18"/>
          <w:szCs w:val="18"/>
          <w:color w:val="auto"/>
        </w:rPr>
      </w:pPr>
    </w:p>
    <w:p>
      <w:pPr>
        <w:ind w:left="4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SME-Business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156845</wp:posOffset>
            </wp:positionV>
            <wp:extent cx="6677660" cy="23742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7766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left="880" w:hanging="494"/>
        <w:spacing w:after="0" w:line="261" w:lineRule="auto"/>
        <w:tabs>
          <w:tab w:leader="none" w:pos="8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structural IOL and NPL ratios increased given that some clients fell a few days behind in their loan payments. In this segment, slight payment delays are usually remedied in the first few days of the month and as such, no provisions are triggered. It is important to note that this segment’s loan quality indicators are within the organization’s appetite for risk, whose objective is to maximize profitability while striking an adequate balance between risk and growth</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SME - Pyme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156845</wp:posOffset>
            </wp:positionV>
            <wp:extent cx="6609080" cy="2468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09080" cy="2468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ind w:left="500" w:hanging="494"/>
        <w:spacing w:after="0" w:line="266" w:lineRule="auto"/>
        <w:tabs>
          <w:tab w:leader="none" w:pos="5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SME-Pyme loan book, it is important to analyze the early delinquency ratio, which excludes loans that are overdue less than 60 days (volatile loans whose percentage of recovery is very high) and those overdue more than 150 days (loans that have been provisioned but which cannot be written off due to the existence of real estate collateral- commercial properties - that take five years on average to liquidate).</w:t>
      </w:r>
    </w:p>
    <w:p>
      <w:pPr>
        <w:spacing w:after="0" w:line="175" w:lineRule="exact"/>
        <w:rPr>
          <w:rFonts w:ascii="Times New Roman" w:cs="Times New Roman" w:eastAsia="Times New Roman" w:hAnsi="Times New Roman"/>
          <w:sz w:val="18"/>
          <w:szCs w:val="18"/>
          <w:color w:val="auto"/>
        </w:rPr>
      </w:pPr>
    </w:p>
    <w:p>
      <w:pPr>
        <w:jc w:val="both"/>
        <w:ind w:left="52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Similar to the situation in the Middle Market segment, the traditional and early delinquency ratios fell due to Reactiva Peru loans. If we exclude the increase in loans from government programs, the IOL and NPL ratios increased. This was due to the deterioration of clients that availed of the facilities offered by Credicorp but were unable to meet their debt obligations after grace periods expired. It is important to keep two things in mind when analyzing the SME segment, (i) the indicators for the IOL and NPL portfolios fail to reflect real deterioration given that some of clients with facilities are covered by a grace period through the initial months of 2021 and (ii) clients that have received a Reactiva Peru loan have registered significant improvements in their payment ratios.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Early delinquency has fallen due to the reprogramming facilities that Credicorp has offered its clients to attenuate the impact of COVID-19.</w:t>
      </w:r>
    </w:p>
    <w:p>
      <w:pPr>
        <w:spacing w:after="0" w:line="22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Mortgage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156845</wp:posOffset>
            </wp:positionV>
            <wp:extent cx="6591935" cy="24174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91935" cy="241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500" w:hanging="494"/>
        <w:spacing w:after="0" w:line="266" w:lineRule="auto"/>
        <w:tabs>
          <w:tab w:leader="none" w:pos="5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terms of Mortgage loans, it is important to remember that indicators are affected by the existence of real estate collateral (commercial properties). In these cases, the liquidation process can take up to 5 years, which impedes any attempt at write offs despite the fact that the loans are completely provisioned.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60"/>
          </w:cols>
          <w:pgMar w:left="700" w:top="900" w:right="339" w:bottom="1440" w:gutter="0" w:footer="0" w:header="0"/>
        </w:sectPr>
      </w:pPr>
    </w:p>
    <w:bookmarkStart w:id="26" w:name="page27"/>
    <w:bookmarkEnd w:id="26"/>
    <w:p>
      <w:pPr>
        <w:ind w:left="520" w:right="20"/>
        <w:spacing w:after="0" w:line="282" w:lineRule="auto"/>
        <w:rPr>
          <w:sz w:val="20"/>
          <w:szCs w:val="20"/>
          <w:color w:val="auto"/>
        </w:rPr>
      </w:pPr>
      <w:r>
        <w:rPr>
          <w:rFonts w:ascii="Times New Roman" w:cs="Times New Roman" w:eastAsia="Times New Roman" w:hAnsi="Times New Roman"/>
          <w:sz w:val="18"/>
          <w:szCs w:val="18"/>
          <w:color w:val="auto"/>
        </w:rPr>
        <w:t>Traditional delinquency an early delinquency ratios improved QoQ after more payment facilities were offered to clients in this segment in the last quarter.</w:t>
      </w:r>
    </w:p>
    <w:p>
      <w:pPr>
        <w:spacing w:after="0" w:line="15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Consumer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156845</wp:posOffset>
            </wp:positionV>
            <wp:extent cx="6660515" cy="2494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660515" cy="2494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500" w:hanging="494"/>
        <w:spacing w:after="0" w:line="266" w:lineRule="auto"/>
        <w:tabs>
          <w:tab w:leader="none" w:pos="5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consumer segment reported a significant increase in its delinquency ratios QoQ and YoY. The IOL portfolio increased after some clients were unable to recover their debt service capacity even with the facilities offered. It is important to note that some of the facilities granted have grace periods that will expire at the end of October.</w:t>
      </w:r>
    </w:p>
    <w:p>
      <w:pPr>
        <w:spacing w:after="0" w:line="175" w:lineRule="exact"/>
        <w:rPr>
          <w:rFonts w:ascii="Times New Roman" w:cs="Times New Roman" w:eastAsia="Times New Roman" w:hAnsi="Times New Roman"/>
          <w:sz w:val="18"/>
          <w:szCs w:val="18"/>
          <w:color w:val="auto"/>
        </w:rPr>
      </w:pPr>
    </w:p>
    <w:p>
      <w:pPr>
        <w:jc w:val="both"/>
        <w:ind w:left="5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IOL portfolio registered an increase after refinancing was extended to clients that had received loan facilities (mainly debt freezing or skips) but were unable to meet their debt obligations once the grace period ended. These clients have been offered structural reprogramming that is aligned with their debt service capacity.</w:t>
      </w:r>
    </w:p>
    <w:p>
      <w:pPr>
        <w:spacing w:after="0" w:line="176"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Early delinquency also increased QoQ and YoY given that some clients, which received at least one facility from Credicorp failed tot meet their debt obligations.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Credit Card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156845</wp:posOffset>
            </wp:positionV>
            <wp:extent cx="6686550" cy="2425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68655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ind w:left="500" w:hanging="494"/>
        <w:spacing w:after="0" w:line="266" w:lineRule="auto"/>
        <w:tabs>
          <w:tab w:leader="none" w:pos="5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Card segment posted an increase QoQ and YoY in its IOL and NLP ratios. The was primarily attributable to (i) an increase in IOL loans of clients and once the facilities of debt freezing and skips expired; and (ii) the drop in loans due to a decrease in the number of new credit cards.</w:t>
      </w:r>
    </w:p>
    <w:p>
      <w:pPr>
        <w:spacing w:after="0" w:line="175"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Early delinquency fell due to a decrease in the number of clients that presented deterioration after Credicorp offered facilities to attenuate the impact of COVID-19.</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700" w:top="931" w:right="339" w:bottom="1440" w:gutter="0" w:footer="0" w:header="0"/>
        </w:sectPr>
      </w:pPr>
    </w:p>
    <w:bookmarkStart w:id="27" w:name="page28"/>
    <w:bookmarkEnd w:id="27"/>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Mibanco – Delinquency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156845</wp:posOffset>
            </wp:positionV>
            <wp:extent cx="6677660" cy="26314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677660" cy="2631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both"/>
        <w:ind w:left="520" w:hanging="509"/>
        <w:spacing w:after="0" w:line="258" w:lineRule="auto"/>
        <w:tabs>
          <w:tab w:leader="none" w:pos="5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IOL and NPL ratios fell QoQ due to growth in loans through government programs. If we exclude these loans, both ratios increased QoQ and YoY. The latter was attributable to deterioration in the payment situation of clients that decided not to take the financial facilities offered by Mibanco. Refinanced loans also increased because clients that were delinquent prior to February 15 of 2020 could not, according to the regulatory framework, receive the same facilities as clients that were up to date in their payments, and as such, were included in the refinanced portfolio.</w:t>
      </w:r>
    </w:p>
    <w:p>
      <w:pPr>
        <w:spacing w:after="0" w:line="183" w:lineRule="exact"/>
        <w:rPr>
          <w:sz w:val="20"/>
          <w:szCs w:val="20"/>
          <w:color w:val="auto"/>
        </w:rPr>
      </w:pPr>
    </w:p>
    <w:p>
      <w:pPr>
        <w:ind w:left="520"/>
        <w:spacing w:after="0" w:line="282" w:lineRule="auto"/>
        <w:rPr>
          <w:sz w:val="20"/>
          <w:szCs w:val="20"/>
          <w:color w:val="auto"/>
        </w:rPr>
      </w:pPr>
      <w:r>
        <w:rPr>
          <w:rFonts w:ascii="Times New Roman" w:cs="Times New Roman" w:eastAsia="Times New Roman" w:hAnsi="Times New Roman"/>
          <w:sz w:val="18"/>
          <w:szCs w:val="18"/>
          <w:color w:val="auto"/>
        </w:rPr>
        <w:t>The cost of risk reduced QoQ but remained at high levels given the update of the expected loss model, as mentioned in section 3.1. Provisions for loan losses.</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BCP Bolivia – Delinquency ratios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00" w:hanging="494"/>
        <w:spacing w:after="0" w:line="282" w:lineRule="auto"/>
        <w:tabs>
          <w:tab w:leader="none" w:pos="50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BCP Bolivia continued to report improvements in its QoQ and YoY delinquency ratios after Bolivian law mandated automatic rescheduling of Retail Banking loans that deferred payments until December 2020, to attenuate the impact of COVID-19.</w:t>
      </w:r>
    </w:p>
    <w:p>
      <w:pPr>
        <w:spacing w:after="0" w:line="161" w:lineRule="exact"/>
        <w:rPr>
          <w:rFonts w:ascii="Times New Roman" w:cs="Times New Roman" w:eastAsia="Times New Roman" w:hAnsi="Times New Roman"/>
          <w:sz w:val="18"/>
          <w:szCs w:val="18"/>
          <w:color w:val="auto"/>
        </w:rPr>
      </w:pPr>
    </w:p>
    <w:p>
      <w:pPr>
        <w:ind w:left="5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risk registered a deterioration YoY due to an increase in provisions in the context of COVID-19, as indicated in section 3.1 Provisions for loan losses.</w:t>
      </w:r>
    </w:p>
    <w:p>
      <w:pPr>
        <w:spacing w:after="0" w:line="378" w:lineRule="exact"/>
        <w:rPr>
          <w:sz w:val="20"/>
          <w:szCs w:val="20"/>
          <w:color w:val="auto"/>
        </w:rPr>
      </w:pPr>
    </w:p>
    <w:p>
      <w:pPr>
        <w:ind w:left="106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700" w:top="1116" w:right="339" w:bottom="1440" w:gutter="0" w:footer="0" w:header="0"/>
        </w:sectPr>
      </w:pPr>
    </w:p>
    <w:bookmarkStart w:id="28" w:name="page29"/>
    <w:bookmarkEnd w:id="28"/>
    <w:p>
      <w:pPr>
        <w:ind w:left="460" w:hanging="452"/>
        <w:spacing w:after="0"/>
        <w:tabs>
          <w:tab w:leader="none" w:pos="4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Interest Income (NII)</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 3Q20, NII, the main component of income, began to recover and posted expansion of +10.2% QoQ. Interest income grew +8.3% QoQ, after having reported non-recurring charges for impairment due to frozen loans in 2Q20. Adjusted Interest Income fell -6,2%, driven mainly by an adjustment on interest income for the frozen loans in the last quarter, a drop in interest rates and a contraction in the structural portfolio. Interest Expenses grew +3.3% QoQ. If we exclude a non-recurring expense for bond exchange at BCP Stand-alone, adjusted interest expenses contracted -10.8% QoQ due to effective management of the funding mix and cost. As a result, adjusted NII fell -4.6% QoQ. In terms of Margins, NIM and Structural NIM situated at 4.05% and 4.46% respectively this quarter. Risk-adjusted NIM grew +279bps QoQ in line with an expansion in NII and a reduction in provisions.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Net interest income</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gridSpan w:val="4"/>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YTD</w:t>
            </w: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54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 000</w:t>
            </w:r>
          </w:p>
        </w:tc>
        <w:tc>
          <w:tcPr>
            <w:tcW w:w="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200" w:type="dxa"/>
            <w:vAlign w:val="bottom"/>
            <w:tcBorders>
              <w:top w:val="single" w:sz="8" w:color="auto"/>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00" w:type="dxa"/>
            <w:vAlign w:val="bottom"/>
            <w:tcBorders>
              <w:bottom w:val="single" w:sz="8" w:color="CCEEFF"/>
            </w:tcBorders>
          </w:tcPr>
          <w:p>
            <w:pPr>
              <w:spacing w:after="0"/>
              <w:rPr>
                <w:sz w:val="13"/>
                <w:szCs w:val="13"/>
                <w:color w:val="auto"/>
              </w:rPr>
            </w:pPr>
          </w:p>
        </w:tc>
        <w:tc>
          <w:tcPr>
            <w:tcW w:w="560" w:type="dxa"/>
            <w:vAlign w:val="bottom"/>
            <w:tcBorders>
              <w:top w:val="single" w:sz="8" w:color="auto"/>
              <w:bottom w:val="single" w:sz="8" w:color="auto"/>
            </w:tcBorders>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2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2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Sep-19</w:t>
            </w:r>
          </w:p>
        </w:tc>
        <w:tc>
          <w:tcPr>
            <w:tcW w:w="28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Sep-20</w:t>
            </w:r>
          </w:p>
        </w:tc>
        <w:tc>
          <w:tcPr>
            <w:tcW w:w="20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Sep-20 /Sep-19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5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3,123,672</w:t>
            </w: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2,727,369</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2,953,570</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8.3%</w:t>
            </w:r>
          </w:p>
        </w:tc>
        <w:tc>
          <w:tcPr>
            <w:tcW w:w="82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-5.4%</w:t>
            </w: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9,208,969</w:t>
            </w:r>
          </w:p>
        </w:tc>
        <w:tc>
          <w:tcPr>
            <w:tcW w:w="280" w:type="dxa"/>
            <w:vAlign w:val="bottom"/>
            <w:tcBorders>
              <w:right w:val="single" w:sz="8" w:color="CCEEFF"/>
            </w:tcBorders>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8,844,548</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w:t>
            </w:r>
          </w:p>
        </w:tc>
        <w:tc>
          <w:tcPr>
            <w:tcW w:w="0" w:type="dxa"/>
            <w:vAlign w:val="bottom"/>
          </w:tcPr>
          <w:p>
            <w:pPr>
              <w:spacing w:after="0"/>
              <w:rPr>
                <w:sz w:val="1"/>
                <w:szCs w:val="1"/>
                <w:color w:val="auto"/>
              </w:rPr>
            </w:pPr>
          </w:p>
        </w:tc>
      </w:tr>
      <w:tr>
        <w:trPr>
          <w:trHeight w:val="149"/>
        </w:trPr>
        <w:tc>
          <w:tcPr>
            <w:tcW w:w="3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loans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2,701,117</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2,353,285</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2,578,362</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7,896,052</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7,701,997</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Dividends on investments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2,915</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4,867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8,871</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82.3%</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204.3%</w:t>
            </w:r>
          </w:p>
        </w:tc>
        <w:tc>
          <w:tcPr>
            <w:tcW w:w="108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21,496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21,617</w:t>
            </w:r>
          </w:p>
        </w:tc>
        <w:tc>
          <w:tcPr>
            <w:tcW w:w="10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0" w:type="dxa"/>
            <w:vAlign w:val="bottom"/>
          </w:tcPr>
          <w:p>
            <w:pPr>
              <w:spacing w:after="0"/>
              <w:rPr>
                <w:sz w:val="1"/>
                <w:szCs w:val="1"/>
                <w:color w:val="auto"/>
              </w:rPr>
            </w:pPr>
          </w:p>
        </w:tc>
      </w:tr>
      <w:tr>
        <w:trPr>
          <w:trHeight w:val="148"/>
        </w:trPr>
        <w:tc>
          <w:tcPr>
            <w:tcW w:w="3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deposits with banks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79,723</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9,264</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7,981</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-90.0%</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251,899</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66,357</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-73.7%</w:t>
            </w: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securities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325,311</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350,617</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347,309</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-0.9%</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08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1,000,029</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1,020,661</w:t>
            </w:r>
          </w:p>
        </w:tc>
        <w:tc>
          <w:tcPr>
            <w:tcW w:w="10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48"/>
        </w:trPr>
        <w:tc>
          <w:tcPr>
            <w:tcW w:w="3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interest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14,606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9,336</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11,047</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39,493</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33,916</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49"/>
        </w:trPr>
        <w:tc>
          <w:tcPr>
            <w:tcW w:w="36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Interest expense</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847,272</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766,241</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791,875</w:t>
            </w: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3.3%</w:t>
            </w:r>
          </w:p>
        </w:tc>
        <w:tc>
          <w:tcPr>
            <w:tcW w:w="8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-6.5%</w:t>
            </w:r>
          </w:p>
        </w:tc>
        <w:tc>
          <w:tcPr>
            <w:tcW w:w="108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2,482,998</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2,342,426</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-5.7%</w:t>
            </w:r>
          </w:p>
        </w:tc>
        <w:tc>
          <w:tcPr>
            <w:tcW w:w="0" w:type="dxa"/>
            <w:vAlign w:val="bottom"/>
          </w:tcPr>
          <w:p>
            <w:pPr>
              <w:spacing w:after="0"/>
              <w:rPr>
                <w:sz w:val="1"/>
                <w:szCs w:val="1"/>
                <w:color w:val="auto"/>
              </w:rPr>
            </w:pPr>
          </w:p>
        </w:tc>
      </w:tr>
      <w:tr>
        <w:trPr>
          <w:trHeight w:val="148"/>
        </w:trPr>
        <w:tc>
          <w:tcPr>
            <w:tcW w:w="3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deposits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372,822</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320,169</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258,838</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-30.6%</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1,091,653</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943,114</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148"/>
        </w:trPr>
        <w:tc>
          <w:tcPr>
            <w:tcW w:w="3600" w:type="dxa"/>
            <w:vAlign w:val="bottom"/>
            <w:gridSpan w:val="2"/>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borrow ed funds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151,221</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157,819</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143,739</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8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80" w:type="dxa"/>
            <w:vAlign w:val="bottom"/>
            <w:tcBorders>
              <w:right w:val="single" w:sz="8" w:color="CCEEFF"/>
            </w:tcBorders>
            <w:gridSpan w:val="2"/>
            <w:shd w:val="clear" w:color="auto" w:fill="CCEEFF"/>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449,356</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438,684</w:t>
            </w:r>
          </w:p>
        </w:tc>
        <w:tc>
          <w:tcPr>
            <w:tcW w:w="10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48"/>
        </w:trPr>
        <w:tc>
          <w:tcPr>
            <w:tcW w:w="360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on bonds and subordinated notes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236,567</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199,347</w:t>
            </w:r>
          </w:p>
        </w:tc>
        <w:tc>
          <w:tcPr>
            <w:tcW w:w="10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301,347</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51.2%</w:t>
            </w:r>
          </w:p>
        </w:tc>
        <w:tc>
          <w:tcPr>
            <w:tcW w:w="8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08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color w:val="auto"/>
              </w:rPr>
              <w:t>690,934</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698,809</w:t>
            </w: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3600" w:type="dxa"/>
            <w:vAlign w:val="bottom"/>
            <w:gridSpan w:val="2"/>
            <w:shd w:val="clear" w:color="auto" w:fill="CCEEFF"/>
          </w:tcPr>
          <w:p>
            <w:pPr>
              <w:ind w:left="180"/>
              <w:spacing w:after="0" w:line="202" w:lineRule="exact"/>
              <w:rPr>
                <w:sz w:val="20"/>
                <w:szCs w:val="20"/>
                <w:color w:val="auto"/>
              </w:rPr>
            </w:pPr>
            <w:r>
              <w:rPr>
                <w:rFonts w:ascii="Times New Roman" w:cs="Times New Roman" w:eastAsia="Times New Roman" w:hAnsi="Times New Roman"/>
                <w:sz w:val="14"/>
                <w:szCs w:val="14"/>
                <w:color w:val="auto"/>
              </w:rPr>
              <w:t xml:space="preserve">Other interest expense </w:t>
            </w:r>
            <w:r>
              <w:rPr>
                <w:rFonts w:ascii="Times New Roman" w:cs="Times New Roman" w:eastAsia="Times New Roman" w:hAnsi="Times New Roman"/>
                <w:sz w:val="23"/>
                <w:szCs w:val="23"/>
                <w:color w:val="auto"/>
                <w:vertAlign w:val="superscript"/>
              </w:rPr>
              <w:t>(1)(3)</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86,662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88,906</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87,951</w:t>
            </w: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-1.1%</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1.5%</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color w:val="auto"/>
              </w:rPr>
              <w:t>251,055</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261,819</w:t>
            </w: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Net interest income </w:t>
            </w:r>
            <w:r>
              <w:rPr>
                <w:rFonts w:ascii="Times New Roman" w:cs="Times New Roman" w:eastAsia="Times New Roman" w:hAnsi="Times New Roman"/>
                <w:sz w:val="23"/>
                <w:szCs w:val="23"/>
                <w:color w:val="auto"/>
                <w:vertAlign w:val="superscript"/>
              </w:rPr>
              <w:t>(1)(3)</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2"/>
            <w:vMerge w:val="continue"/>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2,276,400</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1,961,128</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2,161,695</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10.2%</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-5.0%</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6,725,971</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6,502,122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-3.3%</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Risk-adjusted Net interest income </w:t>
            </w:r>
            <w:r>
              <w:rPr>
                <w:rFonts w:ascii="Times New Roman" w:cs="Times New Roman" w:eastAsia="Times New Roman" w:hAnsi="Times New Roman"/>
                <w:sz w:val="23"/>
                <w:szCs w:val="23"/>
                <w:color w:val="auto"/>
                <w:vertAlign w:val="superscript"/>
              </w:rPr>
              <w:t>(1)(3)</w:t>
            </w: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2"/>
            <w:vMerge w:val="continue"/>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1,773,628</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(579,329)</w:t>
            </w: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855,790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n.a.</w:t>
            </w: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-51.7%</w:t>
            </w:r>
          </w:p>
        </w:tc>
        <w:tc>
          <w:tcPr>
            <w:tcW w:w="108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5,391,694</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1,314,279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-75.6%</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Average interest earning assets </w:t>
            </w:r>
            <w:r>
              <w:rPr>
                <w:rFonts w:ascii="Times New Roman" w:cs="Times New Roman" w:eastAsia="Times New Roman" w:hAnsi="Times New Roman"/>
                <w:sz w:val="23"/>
                <w:szCs w:val="23"/>
                <w:color w:val="auto"/>
                <w:vertAlign w:val="superscript"/>
              </w:rPr>
              <w:t>(1)</w:t>
            </w: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gridSpan w:val="2"/>
            <w:vMerge w:val="continue"/>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168,631,427</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194,719,984</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213,481,060</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9.6%</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26.6%</w:t>
            </w:r>
          </w:p>
        </w:tc>
        <w:tc>
          <w:tcPr>
            <w:tcW w:w="10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166,952,088</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196,742,569</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17.8%</w:t>
            </w:r>
          </w:p>
        </w:tc>
        <w:tc>
          <w:tcPr>
            <w:tcW w:w="0" w:type="dxa"/>
            <w:vAlign w:val="bottom"/>
          </w:tcPr>
          <w:p>
            <w:pPr>
              <w:spacing w:after="0"/>
              <w:rPr>
                <w:sz w:val="1"/>
                <w:szCs w:val="1"/>
                <w:color w:val="auto"/>
              </w:rPr>
            </w:pPr>
          </w:p>
        </w:tc>
      </w:tr>
      <w:tr>
        <w:trPr>
          <w:trHeight w:val="20"/>
        </w:trPr>
        <w:tc>
          <w:tcPr>
            <w:tcW w:w="3600" w:type="dxa"/>
            <w:vAlign w:val="bottom"/>
            <w:gridSpan w:val="2"/>
            <w:vMerge w:val="restart"/>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Net interest margin </w:t>
            </w:r>
            <w:r>
              <w:rPr>
                <w:rFonts w:ascii="Times New Roman" w:cs="Times New Roman" w:eastAsia="Times New Roman" w:hAnsi="Times New Roman"/>
                <w:sz w:val="21"/>
                <w:szCs w:val="21"/>
                <w:color w:val="auto"/>
                <w:vertAlign w:val="superscript"/>
              </w:rPr>
              <w:t>(1)(2)(3)</w:t>
            </w: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00" w:type="dxa"/>
            <w:vAlign w:val="bottom"/>
            <w:gridSpan w:val="2"/>
            <w:vMerge w:val="continue"/>
            <w:shd w:val="clear" w:color="auto" w:fill="CCEEFF"/>
          </w:tcPr>
          <w:p>
            <w:pPr>
              <w:spacing w:after="0"/>
              <w:rPr>
                <w:sz w:val="14"/>
                <w:szCs w:val="14"/>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5.40%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4.03%</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4.05%</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2bps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-135bps</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5.37%</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4.41%</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-96bps</w:t>
            </w:r>
          </w:p>
        </w:tc>
        <w:tc>
          <w:tcPr>
            <w:tcW w:w="0" w:type="dxa"/>
            <w:vAlign w:val="bottom"/>
          </w:tcPr>
          <w:p>
            <w:pPr>
              <w:spacing w:after="0"/>
              <w:rPr>
                <w:sz w:val="1"/>
                <w:szCs w:val="1"/>
                <w:color w:val="auto"/>
              </w:rPr>
            </w:pPr>
          </w:p>
        </w:tc>
      </w:tr>
      <w:tr>
        <w:trPr>
          <w:trHeight w:val="189"/>
        </w:trPr>
        <w:tc>
          <w:tcPr>
            <w:tcW w:w="36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NIM on loans </w:t>
            </w:r>
            <w:r>
              <w:rPr>
                <w:rFonts w:ascii="Times New Roman" w:cs="Times New Roman" w:eastAsia="Times New Roman" w:hAnsi="Times New Roman"/>
                <w:sz w:val="21"/>
                <w:szCs w:val="21"/>
                <w:color w:val="auto"/>
                <w:vertAlign w:val="superscript"/>
              </w:rPr>
              <w:t>(1)(2)(3)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7.74%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5.85%</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6.19%</w:t>
            </w: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34bps</w:t>
            </w: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-155bps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7.46%</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6.57%</w:t>
            </w: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-89bps</w:t>
            </w:r>
          </w:p>
        </w:tc>
        <w:tc>
          <w:tcPr>
            <w:tcW w:w="0" w:type="dxa"/>
            <w:vAlign w:val="bottom"/>
          </w:tcPr>
          <w:p>
            <w:pPr>
              <w:spacing w:after="0"/>
              <w:rPr>
                <w:sz w:val="1"/>
                <w:szCs w:val="1"/>
                <w:color w:val="auto"/>
              </w:rPr>
            </w:pPr>
          </w:p>
        </w:tc>
      </w:tr>
      <w:tr>
        <w:trPr>
          <w:trHeight w:val="189"/>
        </w:trPr>
        <w:tc>
          <w:tcPr>
            <w:tcW w:w="36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b w:val="1"/>
                <w:bCs w:val="1"/>
                <w:color w:val="auto"/>
              </w:rPr>
              <w:t xml:space="preserve">Risk-adjusted Net interest margin </w:t>
            </w:r>
            <w:r>
              <w:rPr>
                <w:rFonts w:ascii="Times New Roman" w:cs="Times New Roman" w:eastAsia="Times New Roman" w:hAnsi="Times New Roman"/>
                <w:sz w:val="21"/>
                <w:szCs w:val="21"/>
                <w:color w:val="auto"/>
                <w:vertAlign w:val="superscript"/>
              </w:rPr>
              <w:t>(1)(2)(3)</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4.21%</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-1.19%</w:t>
            </w: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1.60%</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279bps</w:t>
            </w:r>
          </w:p>
        </w:tc>
        <w:tc>
          <w:tcPr>
            <w:tcW w:w="8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-261bps</w:t>
            </w:r>
          </w:p>
        </w:tc>
        <w:tc>
          <w:tcPr>
            <w:tcW w:w="10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4.31%</w:t>
            </w: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0.89%</w:t>
            </w:r>
          </w:p>
        </w:tc>
        <w:tc>
          <w:tcPr>
            <w:tcW w:w="10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-342bps</w:t>
            </w:r>
          </w:p>
        </w:tc>
        <w:tc>
          <w:tcPr>
            <w:tcW w:w="0" w:type="dxa"/>
            <w:vAlign w:val="bottom"/>
          </w:tcPr>
          <w:p>
            <w:pPr>
              <w:spacing w:after="0"/>
              <w:rPr>
                <w:sz w:val="1"/>
                <w:szCs w:val="1"/>
                <w:color w:val="auto"/>
              </w:rPr>
            </w:pPr>
          </w:p>
        </w:tc>
      </w:tr>
      <w:tr>
        <w:trPr>
          <w:trHeight w:val="315"/>
        </w:trPr>
        <w:tc>
          <w:tcPr>
            <w:tcW w:w="3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xml:space="preserve">Net provisions for loan losses / Net interest income </w:t>
            </w:r>
            <w:r>
              <w:rPr>
                <w:rFonts w:ascii="Times New Roman" w:cs="Times New Roman" w:eastAsia="Times New Roman" w:hAnsi="Times New Roman"/>
                <w:sz w:val="23"/>
                <w:szCs w:val="23"/>
                <w:color w:val="auto"/>
                <w:vertAlign w:val="superscript"/>
              </w:rPr>
              <w:t>(1)(2)(3)</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22.09%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129.54%</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60.41%</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-69.1%</w:t>
            </w: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38.3%</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19.84%</w:t>
            </w: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79.79%</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59.95%</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differ from previously reported, please consider the data presented on this report.</w:t>
      </w:r>
    </w:p>
    <w:p>
      <w:pPr>
        <w:spacing w:after="0" w:line="3" w:lineRule="exact"/>
        <w:rPr>
          <w:rFonts w:ascii="Times New Roman" w:cs="Times New Roman" w:eastAsia="Times New Roman" w:hAnsi="Times New Roman"/>
          <w:sz w:val="14"/>
          <w:szCs w:val="14"/>
          <w:color w:val="auto"/>
        </w:rPr>
      </w:pPr>
    </w:p>
    <w:p>
      <w:pPr>
        <w:ind w:left="200" w:hanging="192"/>
        <w:spacing w:after="0" w:line="221" w:lineRule="auto"/>
        <w:tabs>
          <w:tab w:leader="none" w:pos="2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w:t>
      </w:r>
    </w:p>
    <w:p>
      <w:pPr>
        <w:ind w:left="220" w:hanging="212"/>
        <w:spacing w:after="0"/>
        <w:tabs>
          <w:tab w:leader="none" w:pos="22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differ from those presented previously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4.1. Interest Income</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7"/>
          <w:szCs w:val="17"/>
          <w:b w:val="1"/>
          <w:bCs w:val="1"/>
          <w:color w:val="auto"/>
        </w:rPr>
        <w:t>Interest Income - LC</w:t>
      </w:r>
    </w:p>
    <w:p>
      <w:pPr>
        <w:spacing w:after="0" w:line="43" w:lineRule="exact"/>
        <w:rPr>
          <w:sz w:val="20"/>
          <w:szCs w:val="20"/>
          <w:color w:val="auto"/>
        </w:rPr>
      </w:pPr>
    </w:p>
    <w:p>
      <w:pPr>
        <w:jc w:val="center"/>
        <w:ind w:right="126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Interest Income – FC</w:t>
      </w:r>
    </w:p>
    <w:p>
      <w:pPr>
        <w:spacing w:after="0" w:line="43" w:lineRule="exact"/>
        <w:rPr>
          <w:sz w:val="20"/>
          <w:szCs w:val="20"/>
          <w:color w:val="auto"/>
        </w:rPr>
      </w:pPr>
    </w:p>
    <w:p>
      <w:pPr>
        <w:jc w:val="center"/>
        <w:ind w:right="200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142875</wp:posOffset>
            </wp:positionV>
            <wp:extent cx="6557645" cy="23742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57645" cy="23742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00" w:space="720"/>
            <w:col w:w="36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QoQ analysis</w:t>
      </w:r>
      <w:r>
        <w:rPr>
          <w:rFonts w:ascii="Times New Roman" w:cs="Times New Roman" w:eastAsia="Times New Roman" w:hAnsi="Times New Roman"/>
          <w:sz w:val="18"/>
          <w:szCs w:val="18"/>
          <w:color w:val="auto"/>
        </w:rPr>
        <w:t>, +8.3% growth in Interest Income was attributable to a +9.6% increase in interest on loans, which was in turn due to:</w:t>
      </w:r>
    </w:p>
    <w:p>
      <w:pPr>
        <w:spacing w:after="0" w:line="229" w:lineRule="exact"/>
        <w:rPr>
          <w:sz w:val="20"/>
          <w:szCs w:val="20"/>
          <w:color w:val="auto"/>
        </w:rPr>
      </w:pPr>
    </w:p>
    <w:p>
      <w:pPr>
        <w:ind w:left="880" w:hanging="494"/>
        <w:spacing w:after="0" w:line="282" w:lineRule="auto"/>
        <w:tabs>
          <w:tab w:leader="none" w:pos="8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non-recurring expense of S/324 million reported in 2Q20, which was attributable to impairment of frozen loans impairment in April and May.</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9" w:name="page30"/>
    <w:bookmarkEnd w:id="29"/>
    <w:p>
      <w:pPr>
        <w:ind w:left="880" w:hanging="494"/>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slight acceleration in growth in average daily loan balances (+4.5%) was led by Retail Banking and by SME-Business (+33.0%) and SME-Pyme (+34.7%) in particular, where balances were bolstered by inflows of government loans.</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segment mix: SME-Business and SME-Pyme reported higher growth in loans than that registered for Wholesale Banking. Although both received inflows of loans under Reactiva 2, the SME-Business and SME-Pyme segments received the majority of the funding available through this tranche.</w:t>
      </w:r>
    </w:p>
    <w:p>
      <w:pPr>
        <w:spacing w:after="0" w:line="17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currency mix: the contraction in average daily balances of FC loans was offset by the expansion in average daily balances of MN loans, which offer higher margins.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Adjusted interest income contracted -6.2% QoQ, which was attributable to an adjustment in interest on loans due to the non-recurring charge from the frozen loans in 2Q20, decrease in structural loan portfolio and a drop in market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interest income fell -5.4% due to:</w:t>
      </w:r>
    </w:p>
    <w:p>
      <w:pPr>
        <w:spacing w:after="0" w:line="229" w:lineRule="exact"/>
        <w:rPr>
          <w:sz w:val="20"/>
          <w:szCs w:val="20"/>
          <w:color w:val="auto"/>
        </w:rPr>
      </w:pPr>
    </w:p>
    <w:p>
      <w:pPr>
        <w:ind w:left="880" w:hanging="494"/>
        <w:spacing w:after="0"/>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-4.5% contraction in interest on loans, which was attributable to the fact that government loans carry lower interest rates.</w:t>
      </w:r>
    </w:p>
    <w:p>
      <w:pPr>
        <w:spacing w:after="0" w:line="225"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-90.0% (-S/71 million) reduction in interest income on deposits with banks after the remuneration rate for the reserve fund contracted and the voluntary reserve fund at BCR was drawn down; funds from the latter were used to purchase investments seeking to capitalize on the excess liquidity.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YTD, </w:t>
      </w:r>
      <w:r>
        <w:rPr>
          <w:rFonts w:ascii="Times New Roman" w:cs="Times New Roman" w:eastAsia="Times New Roman" w:hAnsi="Times New Roman"/>
          <w:sz w:val="18"/>
          <w:szCs w:val="18"/>
          <w:color w:val="auto"/>
        </w:rPr>
        <w:t>interest income fell -4.0%, which was attributable to:</w:t>
      </w:r>
    </w:p>
    <w:p>
      <w:pPr>
        <w:spacing w:after="0" w:line="229" w:lineRule="exact"/>
        <w:rPr>
          <w:sz w:val="20"/>
          <w:szCs w:val="20"/>
          <w:color w:val="auto"/>
        </w:rPr>
      </w:pPr>
    </w:p>
    <w:p>
      <w:pPr>
        <w:ind w:left="1140" w:hanging="498"/>
        <w:spacing w:after="0" w:line="282" w:lineRule="auto"/>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in interest on deposits in other banks (-73.7%) after the renumeration rate on the legal reserve fell and the voluntary reserve fund was drawn down.</w:t>
      </w:r>
    </w:p>
    <w:p>
      <w:pPr>
        <w:spacing w:after="0" w:line="161" w:lineRule="exact"/>
        <w:rPr>
          <w:rFonts w:ascii="Times New Roman" w:cs="Times New Roman" w:eastAsia="Times New Roman" w:hAnsi="Times New Roman"/>
          <w:sz w:val="18"/>
          <w:szCs w:val="18"/>
          <w:color w:val="auto"/>
        </w:rPr>
      </w:pPr>
    </w:p>
    <w:p>
      <w:pPr>
        <w:ind w:left="1140" w:hanging="498"/>
        <w:spacing w:after="0"/>
        <w:tabs>
          <w:tab w:leader="none" w:pos="11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on loans, which fell -2.5% due to:</w:t>
      </w:r>
    </w:p>
    <w:p>
      <w:pPr>
        <w:spacing w:after="0" w:line="225"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for S/323.4 million in 2Q20, which were generated by frozen installments in the months of April and May.</w:t>
      </w:r>
    </w:p>
    <w:p>
      <w:pPr>
        <w:spacing w:after="0" w:line="225"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under government programs, which drove strong growth in volume but also pressured interest rates downward.</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Slight growth of +2.1% in interest on securities, which was attributable to 52.2% growth in total investments YoY (representing +94.74% of Fair value through other comprehensive income investments at BCP Stand-alone), was insufficient to offset the results outlined above.</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4.2. Interest Expenses</w:t>
      </w:r>
    </w:p>
    <w:p>
      <w:pPr>
        <w:sectPr>
          <w:pgSz w:w="11900" w:h="16838" w:orient="portrait"/>
          <w:cols w:equalWidth="0" w:num="1">
            <w:col w:w="11240"/>
          </w:cols>
          <w:pgMar w:left="320" w:top="900" w:right="339" w:bottom="1440" w:gutter="0" w:footer="0" w:header="0"/>
        </w:sectPr>
      </w:pPr>
    </w:p>
    <w:p>
      <w:pPr>
        <w:spacing w:after="0" w:line="2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Interest Expenses – LC</w:t>
      </w:r>
    </w:p>
    <w:p>
      <w:pPr>
        <w:spacing w:after="0" w:line="4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142875</wp:posOffset>
            </wp:positionV>
            <wp:extent cx="6566535" cy="2117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566535" cy="2117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b w:val="1"/>
          <w:bCs w:val="1"/>
          <w:color w:val="auto"/>
        </w:rPr>
        <w:t>Interest Expenses – FC</w:t>
      </w:r>
    </w:p>
    <w:p>
      <w:pPr>
        <w:spacing w:after="0" w:line="31" w:lineRule="exact"/>
        <w:rPr>
          <w:sz w:val="20"/>
          <w:szCs w:val="20"/>
          <w:color w:val="auto"/>
        </w:rPr>
      </w:pPr>
    </w:p>
    <w:p>
      <w:pPr>
        <w:jc w:val="center"/>
        <w:ind w:right="1920"/>
        <w:spacing w:after="0"/>
        <w:rPr>
          <w:sz w:val="20"/>
          <w:szCs w:val="20"/>
          <w:color w:val="auto"/>
        </w:rPr>
      </w:pPr>
      <w:r>
        <w:rPr>
          <w:rFonts w:ascii="Times New Roman" w:cs="Times New Roman" w:eastAsia="Times New Roman" w:hAnsi="Times New Roman"/>
          <w:sz w:val="18"/>
          <w:szCs w:val="18"/>
          <w:color w:val="auto"/>
        </w:rPr>
        <w:t>(S/ millions)</w:t>
      </w:r>
    </w:p>
    <w:p>
      <w:pPr>
        <w:spacing w:after="0" w:line="200" w:lineRule="exact"/>
        <w:rPr>
          <w:sz w:val="20"/>
          <w:szCs w:val="20"/>
          <w:color w:val="auto"/>
        </w:rPr>
      </w:pPr>
    </w:p>
    <w:p>
      <w:pPr>
        <w:sectPr>
          <w:pgSz w:w="11900" w:h="16838" w:orient="portrait"/>
          <w:cols w:equalWidth="0" w:num="2">
            <w:col w:w="6820" w:space="720"/>
            <w:col w:w="370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QoQ analysis,</w:t>
      </w:r>
      <w:r>
        <w:rPr>
          <w:rFonts w:ascii="Times New Roman" w:cs="Times New Roman" w:eastAsia="Times New Roman" w:hAnsi="Times New Roman"/>
          <w:sz w:val="18"/>
          <w:szCs w:val="18"/>
          <w:color w:val="auto"/>
        </w:rPr>
        <w:t xml:space="preserve"> interest expenses increased +3.3%, due to an increase in interest on bonds and subordinated notes (+ 51.2%) after an extraordinary expense of S / 108 million was reported for a bond issuance in July through BCP Stand-alone’s liability management strategy. The adjusted interest expense contracted -10.8%, which was attributable to a decrease in market rates and adequate management of the funding mix and cost.</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part of our debt liability management strategy, in the month of July, BCP Stand-alone executed an international issuance of subordinated debt for US$850.0MM at a rate of 3.125% with maturity in 2030. This allowed the bank to repurchase of two issuances with maturities in 2026 and 2027 ($768 millions) and coupon rates of 6.87% and 6.125% respectively. Thus, it was possible to extend the duration of subordinated debt at a lower cost.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Lower interest expenses on deposits, which were down -19.2% QoQ, were insufficient to offset the aforementioned increase in interest expenses on bonds and subordinated notes. The decrease in expenses on deposits was driven by:</w:t>
      </w:r>
    </w:p>
    <w:p>
      <w:pPr>
        <w:spacing w:after="0" w:line="162" w:lineRule="exact"/>
        <w:rPr>
          <w:sz w:val="20"/>
          <w:szCs w:val="20"/>
          <w:color w:val="auto"/>
        </w:rPr>
      </w:pPr>
    </w:p>
    <w:p>
      <w:pPr>
        <w:ind w:left="880" w:hanging="494"/>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improvement in the deposit mix given that non-interest-bearing deposits and savings deposits grew materially, facilitating a subsequent reduction in more costly alternatives.</w:t>
      </w:r>
    </w:p>
    <w:p>
      <w:pPr>
        <w:spacing w:after="0" w:line="161"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effect given that rates in both LC and FC followed a downward trend in recent quarters, which led to a subsequent decrease in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analysis,</w:t>
      </w:r>
      <w:r>
        <w:rPr>
          <w:rFonts w:ascii="Times New Roman" w:cs="Times New Roman" w:eastAsia="Times New Roman" w:hAnsi="Times New Roman"/>
          <w:sz w:val="18"/>
          <w:szCs w:val="18"/>
          <w:color w:val="auto"/>
        </w:rPr>
        <w:t xml:space="preserve"> interest expenses fell -6.5%, which was attributable to:</w:t>
      </w:r>
    </w:p>
    <w:p>
      <w:pPr>
        <w:spacing w:after="0" w:line="229" w:lineRule="exact"/>
        <w:rPr>
          <w:sz w:val="20"/>
          <w:szCs w:val="20"/>
          <w:color w:val="auto"/>
        </w:rPr>
      </w:pPr>
    </w:p>
    <w:p>
      <w:pPr>
        <w:ind w:left="880" w:right="20" w:hanging="494"/>
        <w:spacing w:after="0" w:line="282" w:lineRule="auto"/>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contraction in interest expenses on deposits due to a decrease in more costly deposit alternatives, including time deposits, severance deposits and interest-bearing deposits.</w:t>
      </w:r>
    </w:p>
    <w:p>
      <w:pPr>
        <w:spacing w:after="0" w:line="161"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-4.9% decrease in interest expenses on loans after loans issued by foreign financial institutions and repos of CDs with BCR expired.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aforementioned was partially offset by a +27.4% increase in interest expenses on bonds and subordinated notes, which correspond to premium payments on the repurchase of bonds. Excluding the extraordinary expense, adjusted expense fell -19.0%.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YTD, </w:t>
      </w:r>
      <w:r>
        <w:rPr>
          <w:rFonts w:ascii="Times New Roman" w:cs="Times New Roman" w:eastAsia="Times New Roman" w:hAnsi="Times New Roman"/>
          <w:sz w:val="18"/>
          <w:szCs w:val="18"/>
          <w:color w:val="auto"/>
        </w:rPr>
        <w:t>interest expenses fell -5.7%, which was attributable to a -13.6% contraction in interest on deposits. The main factors that drove this decrease were:</w:t>
      </w:r>
    </w:p>
    <w:p>
      <w:pPr>
        <w:spacing w:after="0" w:line="229" w:lineRule="exact"/>
        <w:rPr>
          <w:sz w:val="20"/>
          <w:szCs w:val="20"/>
          <w:color w:val="auto"/>
        </w:rPr>
      </w:pPr>
    </w:p>
    <w:p>
      <w:pPr>
        <w:ind w:left="880" w:hanging="494"/>
        <w:spacing w:after="0" w:line="282" w:lineRule="auto"/>
        <w:tabs>
          <w:tab w:leader="none" w:pos="8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mix: although total deposits increased 27.8% YoY, interest expenses fell after the volume of more expensive deposit types. Time deposits and severance indemnity deposit fell -10.3% and -1.1% respectively.</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1" w:name="page32"/>
    <w:bookmarkEnd w:id="31"/>
    <w:p>
      <w:pPr>
        <w:jc w:val="both"/>
        <w:ind w:right="1080" w:firstLine="386"/>
        <w:spacing w:after="0" w:line="499" w:lineRule="auto"/>
        <w:tabs>
          <w:tab w:leader="none" w:pos="87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effect: rates have followed a downward trend in both currencies due to the economic contraction generated by the pandemic. Additionally, there was a -2.4% drop in interest expenses on loans after loans with foreign financial institutions and repos with BCR expired. After excluding extraordinary expense for bond issuance in BCP Stand-alone, adjusted expense fell -10.0%.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4.3. Net Interest Margin (NIM) and Risk-Adjusted NIM</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Credicorp’s NIM and Risk-Adjusted NIM </w:t>
      </w:r>
      <w:r>
        <w:rPr>
          <w:rFonts w:ascii="Times New Roman" w:cs="Times New Roman" w:eastAsia="Times New Roman" w:hAnsi="Times New Roman"/>
          <w:sz w:val="29"/>
          <w:szCs w:val="29"/>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100330</wp:posOffset>
            </wp:positionV>
            <wp:extent cx="7089140" cy="2331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91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20" w:firstLine="8"/>
        <w:spacing w:after="0" w:line="282" w:lineRule="auto"/>
        <w:tabs>
          <w:tab w:leader="none" w:pos="25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Starting on 1Q17, we exclude derivatives from the NII result. For comparative purposes, figures starting from 1Q16 have been recalculated with the new methodology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NIM </w:t>
      </w:r>
      <w:r>
        <w:rPr>
          <w:rFonts w:ascii="Times New Roman" w:cs="Times New Roman" w:eastAsia="Times New Roman" w:hAnsi="Times New Roman"/>
          <w:sz w:val="18"/>
          <w:szCs w:val="18"/>
          <w:color w:val="auto"/>
        </w:rPr>
        <w:t>fell YoY and YTD, which was attributable to:</w:t>
      </w:r>
    </w:p>
    <w:p>
      <w:pPr>
        <w:spacing w:after="0" w:line="229" w:lineRule="exact"/>
        <w:rPr>
          <w:sz w:val="20"/>
          <w:szCs w:val="20"/>
          <w:color w:val="auto"/>
        </w:rPr>
      </w:pPr>
    </w:p>
    <w:p>
      <w:pPr>
        <w:ind w:left="880" w:hanging="494"/>
        <w:spacing w:after="0" w:line="282" w:lineRule="auto"/>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Structural NIM, which was 4.46% this quarter and 4.93% YTD; this represented a -94bps decline YoY and -44bps YTD. The decrease in the margin was driven by:</w:t>
      </w:r>
    </w:p>
    <w:p>
      <w:pPr>
        <w:spacing w:after="0" w:line="161"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drop in market rates in both LC and FC.</w:t>
      </w:r>
    </w:p>
    <w:p>
      <w:pPr>
        <w:spacing w:after="0" w:line="225" w:lineRule="exact"/>
        <w:rPr>
          <w:rFonts w:ascii="Times New Roman" w:cs="Times New Roman" w:eastAsia="Times New Roman" w:hAnsi="Times New Roman"/>
          <w:sz w:val="18"/>
          <w:szCs w:val="18"/>
          <w:color w:val="auto"/>
        </w:rPr>
      </w:pPr>
    </w:p>
    <w:p>
      <w:pPr>
        <w:ind w:left="1260" w:hanging="240"/>
        <w:spacing w:after="0" w:line="282" w:lineRule="auto"/>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interest-earning assets, which was characterized by a decrease in the share of loans (66% in 3Q19 versus 59% in 3Q20) versus an increase in the share of investments (21% in 3Q19 versus 24% in 3Q20).</w:t>
      </w:r>
    </w:p>
    <w:p>
      <w:pPr>
        <w:spacing w:after="0" w:line="161"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Programs vs Structural Loan mix. The impact of Government Programs loans on NIM is -35bps.</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Non-recurring events:</w:t>
      </w:r>
    </w:p>
    <w:p>
      <w:pPr>
        <w:spacing w:after="0" w:line="225"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income related to the zero-interest-rate loan impairment, and</w:t>
      </w:r>
    </w:p>
    <w:p>
      <w:pPr>
        <w:spacing w:after="0" w:line="27" w:lineRule="exact"/>
        <w:rPr>
          <w:rFonts w:ascii="Times New Roman" w:cs="Times New Roman" w:eastAsia="Times New Roman" w:hAnsi="Times New Roman"/>
          <w:sz w:val="18"/>
          <w:szCs w:val="18"/>
          <w:color w:val="auto"/>
        </w:rPr>
      </w:pPr>
    </w:p>
    <w:p>
      <w:pPr>
        <w:ind w:left="1260" w:hanging="240"/>
        <w:spacing w:after="0"/>
        <w:tabs>
          <w:tab w:leader="none" w:pos="12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expense related to the bond exchange at BCP Stand-alone.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combined effect of both events impacts NIM by - 6pbs.</w:t>
      </w:r>
    </w:p>
    <w:p>
      <w:pPr>
        <w:spacing w:after="0" w:line="22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Risk-adjusted NIM </w:t>
      </w:r>
      <w:r>
        <w:rPr>
          <w:rFonts w:ascii="Times New Roman" w:cs="Times New Roman" w:eastAsia="Times New Roman" w:hAnsi="Times New Roman"/>
          <w:sz w:val="18"/>
          <w:szCs w:val="18"/>
          <w:color w:val="auto"/>
        </w:rPr>
        <w:t>contracted -261bps YoY and -342bps YTD in line with increase in provisions. Nevertheless, risk-adjusted NIM improved +279bps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QoQ due to growth in NII (+10.2%) and a decrease in provisions (-48.6%) last quarter.</w:t>
      </w:r>
    </w:p>
    <w:p>
      <w:pPr>
        <w:spacing w:after="0" w:line="375"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333"/>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NIM on loans registered slight growth of +34bps QoQ but contracted -155bps YoY</w:t>
            </w:r>
          </w:p>
        </w:tc>
        <w:tc>
          <w:tcPr>
            <w:tcW w:w="22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w w:val="95"/>
              </w:rPr>
              <w:t xml:space="preserve">NIM on loans </w:t>
            </w:r>
            <w:r>
              <w:rPr>
                <w:rFonts w:ascii="Times New Roman" w:cs="Times New Roman" w:eastAsia="Times New Roman" w:hAnsi="Times New Roman"/>
                <w:sz w:val="29"/>
                <w:szCs w:val="29"/>
                <w:b w:val="1"/>
                <w:bCs w:val="1"/>
                <w:color w:val="auto"/>
                <w:w w:val="95"/>
                <w:vertAlign w:val="superscript"/>
              </w:rPr>
              <w:t>(2)</w:t>
            </w: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and -89bps YTD.</w:t>
            </w:r>
          </w:p>
        </w:tc>
        <w:tc>
          <w:tcPr>
            <w:tcW w:w="2240" w:type="dxa"/>
            <w:vAlign w:val="bottom"/>
          </w:tcPr>
          <w:p>
            <w:pPr>
              <w:spacing w:after="0"/>
              <w:rPr>
                <w:sz w:val="20"/>
                <w:szCs w:val="20"/>
                <w:color w:val="auto"/>
              </w:rPr>
            </w:pPr>
          </w:p>
        </w:tc>
      </w:tr>
      <w:tr>
        <w:trPr>
          <w:trHeight w:val="409"/>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This contraction was driven by lower margins due to the influx of low-interest loans</w:t>
            </w:r>
          </w:p>
        </w:tc>
        <w:tc>
          <w:tcPr>
            <w:tcW w:w="2240" w:type="dxa"/>
            <w:vAlign w:val="bottom"/>
          </w:tcPr>
          <w:p>
            <w:pPr>
              <w:spacing w:after="0"/>
              <w:rPr>
                <w:sz w:val="24"/>
                <w:szCs w:val="24"/>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from government reactivation programs. In 3Q20, SME-Business and SME-Pyme</w:t>
            </w:r>
          </w:p>
        </w:tc>
        <w:tc>
          <w:tcPr>
            <w:tcW w:w="224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were the primary recipients of government loans. This spurred a slight increase in NIM</w:t>
            </w:r>
          </w:p>
        </w:tc>
        <w:tc>
          <w:tcPr>
            <w:tcW w:w="224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on loans with regard to last quarter, when loan placements were concentrated in</w:t>
            </w:r>
          </w:p>
        </w:tc>
        <w:tc>
          <w:tcPr>
            <w:tcW w:w="224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Middle Market Banking, which generates lower margins than SME segments. It is</w:t>
            </w:r>
          </w:p>
        </w:tc>
        <w:tc>
          <w:tcPr>
            <w:tcW w:w="224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important to note that Mibanco continues to grant government loans, whose rates are</w:t>
            </w:r>
          </w:p>
        </w:tc>
        <w:tc>
          <w:tcPr>
            <w:tcW w:w="2240" w:type="dxa"/>
            <w:vAlign w:val="bottom"/>
          </w:tcPr>
          <w:p>
            <w:pPr>
              <w:spacing w:after="0"/>
              <w:rPr>
                <w:sz w:val="18"/>
                <w:szCs w:val="18"/>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considerably below those offered through the structural portfolio.</w:t>
            </w:r>
          </w:p>
        </w:tc>
        <w:tc>
          <w:tcPr>
            <w:tcW w:w="2240" w:type="dxa"/>
            <w:vAlign w:val="bottom"/>
          </w:tcPr>
          <w:p>
            <w:pPr>
              <w:spacing w:after="0"/>
              <w:rPr>
                <w:sz w:val="20"/>
                <w:szCs w:val="20"/>
                <w:color w:val="auto"/>
              </w:rPr>
            </w:pPr>
          </w:p>
        </w:tc>
      </w:tr>
      <w:tr>
        <w:trPr>
          <w:trHeight w:val="41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NIM on loans in the structural portfolio was situated at 7.04% this quarter, which</w:t>
            </w:r>
          </w:p>
        </w:tc>
        <w:tc>
          <w:tcPr>
            <w:tcW w:w="2240" w:type="dxa"/>
            <w:vAlign w:val="bottom"/>
          </w:tcPr>
          <w:p>
            <w:pPr>
              <w:spacing w:after="0"/>
              <w:rPr>
                <w:sz w:val="24"/>
                <w:szCs w:val="24"/>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represented a drop of -34bps OoQ, -70bps YoY. This evolution was driven by an</w:t>
            </w:r>
          </w:p>
        </w:tc>
        <w:tc>
          <w:tcPr>
            <w:tcW w:w="2240" w:type="dxa"/>
            <w:vAlign w:val="bottom"/>
          </w:tcPr>
          <w:p>
            <w:pPr>
              <w:spacing w:after="0"/>
              <w:rPr>
                <w:sz w:val="18"/>
                <w:szCs w:val="18"/>
                <w:color w:val="auto"/>
              </w:rPr>
            </w:pPr>
          </w:p>
        </w:tc>
      </w:tr>
      <w:tr>
        <w:trPr>
          <w:trHeight w:val="216"/>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adjustment of interest for frozen loans and decrease in market rates in both LC and</w:t>
            </w:r>
          </w:p>
        </w:tc>
        <w:tc>
          <w:tcPr>
            <w:tcW w:w="2240" w:type="dxa"/>
            <w:vAlign w:val="bottom"/>
          </w:tcPr>
          <w:p>
            <w:pPr>
              <w:spacing w:after="0"/>
              <w:rPr>
                <w:sz w:val="18"/>
                <w:szCs w:val="18"/>
                <w:color w:val="auto"/>
              </w:rPr>
            </w:pPr>
          </w:p>
        </w:tc>
      </w:tr>
      <w:tr>
        <w:trPr>
          <w:trHeight w:val="234"/>
        </w:trPr>
        <w:tc>
          <w:tcPr>
            <w:tcW w:w="7240" w:type="dxa"/>
            <w:vAlign w:val="bottom"/>
          </w:tcPr>
          <w:p>
            <w:pPr>
              <w:spacing w:after="0"/>
              <w:rPr>
                <w:sz w:val="20"/>
                <w:szCs w:val="20"/>
                <w:color w:val="auto"/>
              </w:rPr>
            </w:pPr>
            <w:r>
              <w:rPr>
                <w:rFonts w:ascii="Times New Roman" w:cs="Times New Roman" w:eastAsia="Times New Roman" w:hAnsi="Times New Roman"/>
                <w:sz w:val="18"/>
                <w:szCs w:val="18"/>
                <w:color w:val="auto"/>
              </w:rPr>
              <w:t>FC.</w:t>
            </w:r>
          </w:p>
        </w:tc>
        <w:tc>
          <w:tcPr>
            <w:tcW w:w="2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-2056765</wp:posOffset>
            </wp:positionV>
            <wp:extent cx="2768600" cy="2057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68600" cy="205740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is important to also analyze NIM by line of business. The chart below shows the interest margins for each of Credicorp’s business lines.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Universal</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5"/>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NIM Breakdown</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200"/>
              <w:spacing w:after="0" w:line="276" w:lineRule="exact"/>
              <w:rPr>
                <w:sz w:val="20"/>
                <w:szCs w:val="20"/>
                <w:color w:val="auto"/>
              </w:rPr>
            </w:pPr>
            <w:r>
              <w:rPr>
                <w:rFonts w:ascii="Times New Roman" w:cs="Times New Roman" w:eastAsia="Times New Roman" w:hAnsi="Times New Roman"/>
                <w:sz w:val="18"/>
                <w:szCs w:val="18"/>
                <w:b w:val="1"/>
                <w:bCs w:val="1"/>
                <w:color w:val="auto"/>
              </w:rPr>
              <w:t>Banking</w:t>
            </w:r>
            <w:r>
              <w:rPr>
                <w:rFonts w:ascii="Times New Roman" w:cs="Times New Roman" w:eastAsia="Times New Roman" w:hAnsi="Times New Roman"/>
                <w:sz w:val="29"/>
                <w:szCs w:val="29"/>
                <w:b w:val="1"/>
                <w:bCs w:val="1"/>
                <w:color w:val="auto"/>
                <w:vertAlign w:val="superscript"/>
              </w:rPr>
              <w:t>(1)</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Microfinance</w:t>
            </w:r>
            <w:r>
              <w:rPr>
                <w:rFonts w:ascii="Times New Roman" w:cs="Times New Roman" w:eastAsia="Times New Roman" w:hAnsi="Times New Roman"/>
                <w:sz w:val="29"/>
                <w:szCs w:val="29"/>
                <w:b w:val="1"/>
                <w:bCs w:val="1"/>
                <w:color w:val="auto"/>
                <w:w w:val="95"/>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140"/>
              <w:spacing w:after="0" w:line="276" w:lineRule="exact"/>
              <w:rPr>
                <w:sz w:val="20"/>
                <w:szCs w:val="20"/>
                <w:color w:val="auto"/>
              </w:rPr>
            </w:pPr>
            <w:r>
              <w:rPr>
                <w:rFonts w:ascii="Times New Roman" w:cs="Times New Roman" w:eastAsia="Times New Roman" w:hAnsi="Times New Roman"/>
                <w:sz w:val="18"/>
                <w:szCs w:val="18"/>
                <w:b w:val="1"/>
                <w:bCs w:val="1"/>
                <w:color w:val="auto"/>
              </w:rPr>
              <w:t>Credicorp</w:t>
            </w:r>
            <w:r>
              <w:rPr>
                <w:rFonts w:ascii="Times New Roman" w:cs="Times New Roman" w:eastAsia="Times New Roman" w:hAnsi="Times New Roman"/>
                <w:sz w:val="29"/>
                <w:szCs w:val="29"/>
                <w:b w:val="1"/>
                <w:bCs w:val="1"/>
                <w:color w:val="auto"/>
                <w:vertAlign w:val="superscript"/>
              </w:rPr>
              <w:t>(3)</w:t>
            </w:r>
          </w:p>
        </w:tc>
        <w:tc>
          <w:tcPr>
            <w:tcW w:w="180" w:type="dxa"/>
            <w:vAlign w:val="bottom"/>
            <w:tcBorders>
              <w:bottom w:val="single" w:sz="8" w:color="CCEEFF"/>
            </w:tcBorders>
          </w:tcPr>
          <w:p>
            <w:pPr>
              <w:spacing w:after="0"/>
              <w:rPr>
                <w:sz w:val="23"/>
                <w:szCs w:val="23"/>
                <w:color w:val="auto"/>
              </w:rPr>
            </w:pPr>
          </w:p>
        </w:tc>
      </w:tr>
      <w:tr>
        <w:trPr>
          <w:trHeight w:val="209"/>
        </w:trPr>
        <w:tc>
          <w:tcPr>
            <w:tcW w:w="6720" w:type="dxa"/>
            <w:vAlign w:val="bottom"/>
            <w:shd w:val="clear" w:color="auto" w:fill="CCEEFF"/>
          </w:tcPr>
          <w:p>
            <w:pPr>
              <w:jc w:val="center"/>
              <w:ind w:right="5870"/>
              <w:spacing w:after="0"/>
              <w:rPr>
                <w:sz w:val="20"/>
                <w:szCs w:val="20"/>
                <w:color w:val="auto"/>
              </w:rPr>
            </w:pPr>
            <w:r>
              <w:rPr>
                <w:rFonts w:ascii="Times New Roman" w:cs="Times New Roman" w:eastAsia="Times New Roman" w:hAnsi="Times New Roman"/>
                <w:sz w:val="18"/>
                <w:szCs w:val="18"/>
                <w:b w:val="1"/>
                <w:bCs w:val="1"/>
                <w:color w:val="auto"/>
                <w:w w:val="97"/>
              </w:rPr>
              <w:t>3Q19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4.76%</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15.16%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w:t>
            </w:r>
          </w:p>
        </w:tc>
      </w:tr>
      <w:tr>
        <w:trPr>
          <w:trHeight w:val="216"/>
        </w:trPr>
        <w:tc>
          <w:tcPr>
            <w:tcW w:w="6820" w:type="dxa"/>
            <w:vAlign w:val="bottom"/>
            <w:gridSpan w:val="2"/>
          </w:tcPr>
          <w:p>
            <w:pPr>
              <w:jc w:val="center"/>
              <w:ind w:right="6060"/>
              <w:spacing w:after="0"/>
              <w:rPr>
                <w:sz w:val="20"/>
                <w:szCs w:val="20"/>
                <w:color w:val="auto"/>
              </w:rPr>
            </w:pPr>
            <w:r>
              <w:rPr>
                <w:rFonts w:ascii="Times New Roman" w:cs="Times New Roman" w:eastAsia="Times New Roman" w:hAnsi="Times New Roman"/>
                <w:sz w:val="18"/>
                <w:szCs w:val="18"/>
                <w:b w:val="1"/>
                <w:bCs w:val="1"/>
                <w:color w:val="auto"/>
                <w:w w:val="97"/>
              </w:rPr>
              <w:t>2Q20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3.71%</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4.03%</w:t>
            </w:r>
          </w:p>
        </w:tc>
      </w:tr>
      <w:tr>
        <w:trPr>
          <w:trHeight w:val="216"/>
        </w:trPr>
        <w:tc>
          <w:tcPr>
            <w:tcW w:w="6820" w:type="dxa"/>
            <w:vAlign w:val="bottom"/>
            <w:gridSpan w:val="2"/>
            <w:shd w:val="clear" w:color="auto" w:fill="CCEEFF"/>
          </w:tcPr>
          <w:p>
            <w:pPr>
              <w:jc w:val="center"/>
              <w:ind w:right="6060"/>
              <w:spacing w:after="0"/>
              <w:rPr>
                <w:sz w:val="20"/>
                <w:szCs w:val="20"/>
                <w:color w:val="auto"/>
              </w:rPr>
            </w:pPr>
            <w:r>
              <w:rPr>
                <w:rFonts w:ascii="Times New Roman" w:cs="Times New Roman" w:eastAsia="Times New Roman" w:hAnsi="Times New Roman"/>
                <w:sz w:val="18"/>
                <w:szCs w:val="18"/>
                <w:b w:val="1"/>
                <w:bCs w:val="1"/>
                <w:color w:val="auto"/>
                <w:w w:val="97"/>
              </w:rPr>
              <w:t>3Q20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r>
      <w:tr>
        <w:trPr>
          <w:trHeight w:val="216"/>
        </w:trPr>
        <w:tc>
          <w:tcPr>
            <w:tcW w:w="6820" w:type="dxa"/>
            <w:vAlign w:val="bottom"/>
            <w:gridSpan w:val="2"/>
          </w:tcPr>
          <w:p>
            <w:pPr>
              <w:jc w:val="center"/>
              <w:ind w:right="6120"/>
              <w:spacing w:after="0"/>
              <w:rPr>
                <w:sz w:val="20"/>
                <w:szCs w:val="20"/>
                <w:color w:val="auto"/>
              </w:rPr>
            </w:pPr>
            <w:r>
              <w:rPr>
                <w:rFonts w:ascii="Times New Roman" w:cs="Times New Roman" w:eastAsia="Times New Roman" w:hAnsi="Times New Roman"/>
                <w:sz w:val="18"/>
                <w:szCs w:val="18"/>
                <w:b w:val="1"/>
                <w:bCs w:val="1"/>
                <w:color w:val="auto"/>
              </w:rPr>
              <w:t>Sep 2019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4.68%</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14.86%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5.37%</w:t>
            </w:r>
          </w:p>
        </w:tc>
      </w:tr>
      <w:tr>
        <w:trPr>
          <w:trHeight w:val="216"/>
        </w:trPr>
        <w:tc>
          <w:tcPr>
            <w:tcW w:w="6820" w:type="dxa"/>
            <w:vAlign w:val="bottom"/>
            <w:gridSpan w:val="2"/>
            <w:shd w:val="clear" w:color="auto" w:fill="CCEEFF"/>
          </w:tcPr>
          <w:p>
            <w:pPr>
              <w:jc w:val="center"/>
              <w:ind w:right="6120"/>
              <w:spacing w:after="0"/>
              <w:rPr>
                <w:sz w:val="20"/>
                <w:szCs w:val="20"/>
                <w:color w:val="auto"/>
              </w:rPr>
            </w:pPr>
            <w:r>
              <w:rPr>
                <w:rFonts w:ascii="Times New Roman" w:cs="Times New Roman" w:eastAsia="Times New Roman" w:hAnsi="Times New Roman"/>
                <w:sz w:val="18"/>
                <w:szCs w:val="18"/>
                <w:b w:val="1"/>
                <w:bCs w:val="1"/>
                <w:color w:val="auto"/>
              </w:rPr>
              <w:t>Sep 2020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3.91%</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NIM: Annualized Net interest income / Average period end and period beginning interest earning assets.</w:t>
      </w:r>
    </w:p>
    <w:p>
      <w:pPr>
        <w:spacing w:after="0" w:line="27" w:lineRule="exact"/>
        <w:rPr>
          <w:sz w:val="20"/>
          <w:szCs w:val="20"/>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Banking includes BCP Stand-alone and BCP Bolivia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Microfinance includes Mibanco, Encumbra and Bancompartir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also includes Credicorp Capital, Prima, Grupo Credito and Eliminations for consolidation purposes.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YoY evolution and YTD, Credicorp reported a reduction in NIM, which was attributable to deterioration in both Universal Banking and Microfinance. Universal Banking represents 73% of net interest income while Microfinance accounts for 21%.</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 xml:space="preserve">NIM for </w:t>
      </w:r>
      <w:r>
        <w:rPr>
          <w:rFonts w:ascii="Times New Roman" w:cs="Times New Roman" w:eastAsia="Times New Roman" w:hAnsi="Times New Roman"/>
          <w:sz w:val="18"/>
          <w:szCs w:val="18"/>
          <w:b w:val="1"/>
          <w:bCs w:val="1"/>
          <w:color w:val="auto"/>
        </w:rPr>
        <w:t>Universal Banking</w:t>
      </w:r>
      <w:r>
        <w:rPr>
          <w:rFonts w:ascii="Times New Roman" w:cs="Times New Roman" w:eastAsia="Times New Roman" w:hAnsi="Times New Roman"/>
          <w:sz w:val="18"/>
          <w:szCs w:val="18"/>
          <w:color w:val="auto"/>
        </w:rPr>
        <w:t xml:space="preserve"> deteriorated -18bps QoQ, -123pbs YoY and -77bps YTD. This was attributable, on one hand to the fact that government relief loans were offered at very low rates, and on the other hand, to a drop in both LC and FC rates in the market.</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NIM for </w:t>
      </w:r>
      <w:r>
        <w:rPr>
          <w:rFonts w:ascii="Times New Roman" w:cs="Times New Roman" w:eastAsia="Times New Roman" w:hAnsi="Times New Roman"/>
          <w:sz w:val="18"/>
          <w:szCs w:val="18"/>
          <w:b w:val="1"/>
          <w:bCs w:val="1"/>
          <w:color w:val="auto"/>
        </w:rPr>
        <w:t>Microfinance</w:t>
      </w:r>
      <w:r>
        <w:rPr>
          <w:rFonts w:ascii="Times New Roman" w:cs="Times New Roman" w:eastAsia="Times New Roman" w:hAnsi="Times New Roman"/>
          <w:sz w:val="18"/>
          <w:szCs w:val="18"/>
          <w:color w:val="auto"/>
        </w:rPr>
        <w:t xml:space="preserve"> grew +310bps QoQ but fell -305bps YoY and -316 YTD. Growth at the QoQ level was attributable to expenses incurred for debt freezing in the second quarter, while the decrease in the YoY and YTD analysis was attributable to low-interest government loans and a one-off expense in the second quarter.</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It is also important to look at risk-adjusted NIM by business line. The table below summarizes the risk-adjusted net interest margins for each of the business lines at Credicorp.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33" w:lineRule="exact"/>
        <w:rPr>
          <w:sz w:val="20"/>
          <w:szCs w:val="20"/>
          <w:color w:val="auto"/>
        </w:rPr>
      </w:pPr>
    </w:p>
    <w:p>
      <w:pPr>
        <w:ind w:left="220" w:hanging="212"/>
        <w:spacing w:after="0"/>
        <w:tabs>
          <w:tab w:leader="none" w:pos="220" w:val="left"/>
        </w:tabs>
        <w:numPr>
          <w:ilvl w:val="0"/>
          <w:numId w:val="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6"/>
          <w:szCs w:val="16"/>
          <w:color w:val="auto"/>
        </w:rPr>
        <w:t>NIM on loans is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137160</wp:posOffset>
            </wp:positionV>
            <wp:extent cx="4671695" cy="3257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671695"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share of loans within total earning assets is calculated by dividing the average of the beginning and closing balances of total loans for the reporting period, by the average of the beginning and closing balances of the interest earning assets for the reporting period.</w:t>
      </w:r>
    </w:p>
    <w:p>
      <w:pPr>
        <w:spacing w:after="0" w:line="378"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0"/>
        </w:trPr>
        <w:tc>
          <w:tcPr>
            <w:tcW w:w="6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Universal</w:t>
            </w:r>
          </w:p>
        </w:tc>
        <w:tc>
          <w:tcPr>
            <w:tcW w:w="1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75"/>
        </w:trPr>
        <w:tc>
          <w:tcPr>
            <w:tcW w:w="6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Risk Adjusted NIM Breakdown</w:t>
            </w:r>
          </w:p>
        </w:tc>
        <w:tc>
          <w:tcPr>
            <w:tcW w:w="10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jc w:val="center"/>
              <w:spacing w:after="0" w:line="276" w:lineRule="exact"/>
              <w:rPr>
                <w:sz w:val="20"/>
                <w:szCs w:val="20"/>
                <w:color w:val="auto"/>
              </w:rPr>
            </w:pPr>
            <w:r>
              <w:rPr>
                <w:rFonts w:ascii="Times New Roman" w:cs="Times New Roman" w:eastAsia="Times New Roman" w:hAnsi="Times New Roman"/>
                <w:sz w:val="18"/>
                <w:szCs w:val="18"/>
                <w:b w:val="1"/>
                <w:bCs w:val="1"/>
                <w:color w:val="auto"/>
                <w:w w:val="95"/>
              </w:rPr>
              <w:t>Banking</w:t>
            </w:r>
            <w:r>
              <w:rPr>
                <w:rFonts w:ascii="Times New Roman" w:cs="Times New Roman" w:eastAsia="Times New Roman" w:hAnsi="Times New Roman"/>
                <w:sz w:val="29"/>
                <w:szCs w:val="29"/>
                <w:b w:val="1"/>
                <w:bCs w:val="1"/>
                <w:color w:val="auto"/>
                <w:w w:val="95"/>
                <w:vertAlign w:val="superscript"/>
              </w:rPr>
              <w:t>(1)</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20"/>
              <w:spacing w:after="0" w:line="276" w:lineRule="exact"/>
              <w:rPr>
                <w:sz w:val="20"/>
                <w:szCs w:val="20"/>
                <w:color w:val="auto"/>
              </w:rPr>
            </w:pPr>
            <w:r>
              <w:rPr>
                <w:rFonts w:ascii="Times New Roman" w:cs="Times New Roman" w:eastAsia="Times New Roman" w:hAnsi="Times New Roman"/>
                <w:sz w:val="18"/>
                <w:szCs w:val="18"/>
                <w:b w:val="1"/>
                <w:bCs w:val="1"/>
                <w:color w:val="auto"/>
                <w:w w:val="95"/>
              </w:rPr>
              <w:t>Microfinance</w:t>
            </w:r>
            <w:r>
              <w:rPr>
                <w:rFonts w:ascii="Times New Roman" w:cs="Times New Roman" w:eastAsia="Times New Roman" w:hAnsi="Times New Roman"/>
                <w:sz w:val="29"/>
                <w:szCs w:val="29"/>
                <w:b w:val="1"/>
                <w:bCs w:val="1"/>
                <w:color w:val="auto"/>
                <w:w w:val="95"/>
                <w:vertAlign w:val="superscript"/>
              </w:rPr>
              <w:t>(2)</w:t>
            </w:r>
          </w:p>
        </w:tc>
        <w:tc>
          <w:tcPr>
            <w:tcW w:w="260" w:type="dxa"/>
            <w:vAlign w:val="bottom"/>
            <w:tcBorders>
              <w:bottom w:val="single" w:sz="8" w:color="CCEEFF"/>
            </w:tcBorders>
          </w:tcPr>
          <w:p>
            <w:pPr>
              <w:spacing w:after="0"/>
              <w:rPr>
                <w:sz w:val="23"/>
                <w:szCs w:val="23"/>
                <w:color w:val="auto"/>
              </w:rPr>
            </w:pPr>
          </w:p>
        </w:tc>
        <w:tc>
          <w:tcPr>
            <w:tcW w:w="1240" w:type="dxa"/>
            <w:vAlign w:val="bottom"/>
            <w:tcBorders>
              <w:bottom w:val="single" w:sz="8" w:color="auto"/>
            </w:tcBorders>
          </w:tcPr>
          <w:p>
            <w:pPr>
              <w:ind w:left="140"/>
              <w:spacing w:after="0" w:line="276" w:lineRule="exact"/>
              <w:rPr>
                <w:sz w:val="20"/>
                <w:szCs w:val="20"/>
                <w:color w:val="auto"/>
              </w:rPr>
            </w:pPr>
            <w:r>
              <w:rPr>
                <w:rFonts w:ascii="Times New Roman" w:cs="Times New Roman" w:eastAsia="Times New Roman" w:hAnsi="Times New Roman"/>
                <w:sz w:val="18"/>
                <w:szCs w:val="18"/>
                <w:b w:val="1"/>
                <w:bCs w:val="1"/>
                <w:color w:val="auto"/>
              </w:rPr>
              <w:t>Credicorp</w:t>
            </w:r>
            <w:r>
              <w:rPr>
                <w:rFonts w:ascii="Times New Roman" w:cs="Times New Roman" w:eastAsia="Times New Roman" w:hAnsi="Times New Roman"/>
                <w:sz w:val="29"/>
                <w:szCs w:val="29"/>
                <w:b w:val="1"/>
                <w:bCs w:val="1"/>
                <w:color w:val="auto"/>
                <w:vertAlign w:val="superscript"/>
              </w:rPr>
              <w:t>(3)</w:t>
            </w:r>
          </w:p>
        </w:tc>
        <w:tc>
          <w:tcPr>
            <w:tcW w:w="180" w:type="dxa"/>
            <w:vAlign w:val="bottom"/>
            <w:tcBorders>
              <w:bottom w:val="single" w:sz="8" w:color="CCEEFF"/>
            </w:tcBorders>
          </w:tcPr>
          <w:p>
            <w:pPr>
              <w:spacing w:after="0"/>
              <w:rPr>
                <w:sz w:val="23"/>
                <w:szCs w:val="23"/>
                <w:color w:val="auto"/>
              </w:rPr>
            </w:pPr>
          </w:p>
        </w:tc>
      </w:tr>
      <w:tr>
        <w:trPr>
          <w:trHeight w:val="209"/>
        </w:trPr>
        <w:tc>
          <w:tcPr>
            <w:tcW w:w="6720" w:type="dxa"/>
            <w:vAlign w:val="bottom"/>
            <w:shd w:val="clear" w:color="auto" w:fill="CCEEFF"/>
          </w:tcPr>
          <w:p>
            <w:pPr>
              <w:jc w:val="center"/>
              <w:ind w:right="5870"/>
              <w:spacing w:after="0"/>
              <w:rPr>
                <w:sz w:val="20"/>
                <w:szCs w:val="20"/>
                <w:color w:val="auto"/>
              </w:rPr>
            </w:pPr>
            <w:r>
              <w:rPr>
                <w:rFonts w:ascii="Times New Roman" w:cs="Times New Roman" w:eastAsia="Times New Roman" w:hAnsi="Times New Roman"/>
                <w:sz w:val="18"/>
                <w:szCs w:val="18"/>
                <w:b w:val="1"/>
                <w:bCs w:val="1"/>
                <w:color w:val="auto"/>
                <w:w w:val="97"/>
              </w:rPr>
              <w:t>3Q19</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4.21%</w:t>
            </w:r>
          </w:p>
        </w:tc>
      </w:tr>
      <w:tr>
        <w:trPr>
          <w:trHeight w:val="216"/>
        </w:trPr>
        <w:tc>
          <w:tcPr>
            <w:tcW w:w="6820" w:type="dxa"/>
            <w:vAlign w:val="bottom"/>
            <w:gridSpan w:val="2"/>
          </w:tcPr>
          <w:p>
            <w:pPr>
              <w:jc w:val="center"/>
              <w:ind w:right="6060"/>
              <w:spacing w:after="0"/>
              <w:rPr>
                <w:sz w:val="20"/>
                <w:szCs w:val="20"/>
                <w:color w:val="auto"/>
              </w:rPr>
            </w:pPr>
            <w:r>
              <w:rPr>
                <w:rFonts w:ascii="Times New Roman" w:cs="Times New Roman" w:eastAsia="Times New Roman" w:hAnsi="Times New Roman"/>
                <w:sz w:val="18"/>
                <w:szCs w:val="18"/>
                <w:b w:val="1"/>
                <w:bCs w:val="1"/>
                <w:color w:val="auto"/>
                <w:w w:val="97"/>
              </w:rPr>
              <w:t>2Q20</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r>
      <w:tr>
        <w:trPr>
          <w:trHeight w:val="216"/>
        </w:trPr>
        <w:tc>
          <w:tcPr>
            <w:tcW w:w="6820" w:type="dxa"/>
            <w:vAlign w:val="bottom"/>
            <w:gridSpan w:val="2"/>
            <w:shd w:val="clear" w:color="auto" w:fill="CCEEFF"/>
          </w:tcPr>
          <w:p>
            <w:pPr>
              <w:jc w:val="center"/>
              <w:ind w:right="6060"/>
              <w:spacing w:after="0"/>
              <w:rPr>
                <w:sz w:val="20"/>
                <w:szCs w:val="20"/>
                <w:color w:val="auto"/>
              </w:rPr>
            </w:pPr>
            <w:r>
              <w:rPr>
                <w:rFonts w:ascii="Times New Roman" w:cs="Times New Roman" w:eastAsia="Times New Roman" w:hAnsi="Times New Roman"/>
                <w:sz w:val="18"/>
                <w:szCs w:val="18"/>
                <w:b w:val="1"/>
                <w:bCs w:val="1"/>
                <w:color w:val="auto"/>
                <w:w w:val="97"/>
              </w:rPr>
              <w:t>3Q20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1.53%</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0.99%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1.60%</w:t>
            </w:r>
          </w:p>
        </w:tc>
      </w:tr>
      <w:tr>
        <w:trPr>
          <w:trHeight w:val="216"/>
        </w:trPr>
        <w:tc>
          <w:tcPr>
            <w:tcW w:w="6820" w:type="dxa"/>
            <w:vAlign w:val="bottom"/>
            <w:gridSpan w:val="2"/>
          </w:tcPr>
          <w:p>
            <w:pPr>
              <w:jc w:val="center"/>
              <w:ind w:right="6120"/>
              <w:spacing w:after="0"/>
              <w:rPr>
                <w:sz w:val="20"/>
                <w:szCs w:val="20"/>
                <w:color w:val="auto"/>
              </w:rPr>
            </w:pPr>
            <w:r>
              <w:rPr>
                <w:rFonts w:ascii="Times New Roman" w:cs="Times New Roman" w:eastAsia="Times New Roman" w:hAnsi="Times New Roman"/>
                <w:sz w:val="18"/>
                <w:szCs w:val="18"/>
                <w:b w:val="1"/>
                <w:bCs w:val="1"/>
                <w:color w:val="auto"/>
              </w:rPr>
              <w:t>Sep 2019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3.69%</w:t>
            </w: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4.31%</w:t>
            </w:r>
          </w:p>
        </w:tc>
      </w:tr>
      <w:tr>
        <w:trPr>
          <w:trHeight w:val="216"/>
        </w:trPr>
        <w:tc>
          <w:tcPr>
            <w:tcW w:w="6820" w:type="dxa"/>
            <w:vAlign w:val="bottom"/>
            <w:gridSpan w:val="2"/>
            <w:shd w:val="clear" w:color="auto" w:fill="CCEEFF"/>
          </w:tcPr>
          <w:p>
            <w:pPr>
              <w:jc w:val="center"/>
              <w:ind w:right="6120"/>
              <w:spacing w:after="0"/>
              <w:rPr>
                <w:sz w:val="20"/>
                <w:szCs w:val="20"/>
                <w:color w:val="auto"/>
              </w:rPr>
            </w:pPr>
            <w:r>
              <w:rPr>
                <w:rFonts w:ascii="Times New Roman" w:cs="Times New Roman" w:eastAsia="Times New Roman" w:hAnsi="Times New Roman"/>
                <w:sz w:val="18"/>
                <w:szCs w:val="18"/>
                <w:b w:val="1"/>
                <w:bCs w:val="1"/>
                <w:color w:val="auto"/>
              </w:rPr>
              <w:t>Sep 2020</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0.52%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2.29%</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Risk-Adjusted NIM: (Annualized Net interest income - annualized provisions) / Average period end and period beginning interest earning assets.</w:t>
      </w:r>
    </w:p>
    <w:p>
      <w:pPr>
        <w:spacing w:after="0" w:line="27" w:lineRule="exact"/>
        <w:rPr>
          <w:sz w:val="20"/>
          <w:szCs w:val="20"/>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Universal Banking includes BCP Stand-alone and BCP Bolivia</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Microfinance includes Mibanco, Encumbra and Bancompartir</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Credicorp also includes Credicorp Capital, Prima, Grupo Credito and Eliminations for consolidation purposes.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Credicorp </w:t>
      </w:r>
      <w:r>
        <w:rPr>
          <w:rFonts w:ascii="Times New Roman" w:cs="Times New Roman" w:eastAsia="Times New Roman" w:hAnsi="Times New Roman"/>
          <w:sz w:val="18"/>
          <w:szCs w:val="18"/>
          <w:color w:val="auto"/>
        </w:rPr>
        <w:t>reported slight growth of +279bps QoQ in risk-adjusted NIM. This reflects the decrease reported in provisions in 3Q20 and improvements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margins for both Universal Banking and Microfinance, which grew +300bps and +468bps respectively. In this context, the risk-adjusted NIM in \ Universal Banking fell -212bps YoY and -318bps YTD while the risk-adjusted NIM in Microfinance fell -1051bps YoY and -930bps YTD.</w:t>
      </w:r>
    </w:p>
    <w:p>
      <w:pPr>
        <w:spacing w:after="0" w:line="391" w:lineRule="exact"/>
        <w:rPr>
          <w:sz w:val="20"/>
          <w:szCs w:val="20"/>
          <w:color w:val="auto"/>
        </w:rPr>
      </w:pPr>
    </w:p>
    <w:p>
      <w:pPr>
        <w:ind w:left="110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ind w:left="460" w:hanging="452"/>
        <w:spacing w:after="0"/>
        <w:tabs>
          <w:tab w:leader="none" w:pos="46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Non-Financial Income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Non-financial income rose +8.6% QoQ in 3Q20 after core components posted recovery. This growth was attributable to an uptick in transactional activity, which began once the quarantine for COVID-19 was partially lifted (after being in place throughout 2Q20). The positive results reported for fee income and the net gain on foreign exchange transactions was attributable to an increase in income from banking products and services, primarily at BCP Stand-alone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Non-financial income</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30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2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220" w:type="dxa"/>
            <w:vAlign w:val="bottom"/>
            <w:tcBorders>
              <w:bottom w:val="single" w:sz="8" w:color="CCEEFF"/>
            </w:tcBorders>
          </w:tcPr>
          <w:p>
            <w:pPr>
              <w:spacing w:after="0"/>
              <w:rPr>
                <w:sz w:val="13"/>
                <w:szCs w:val="13"/>
                <w:color w:val="auto"/>
              </w:rPr>
            </w:pP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20" w:type="dxa"/>
            <w:vAlign w:val="bottom"/>
            <w:tcBorders>
              <w:bottom w:val="single" w:sz="8" w:color="CCEEFF"/>
            </w:tcBorders>
          </w:tcPr>
          <w:p>
            <w:pPr>
              <w:spacing w:after="0"/>
              <w:rPr>
                <w:sz w:val="13"/>
                <w:szCs w:val="13"/>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Fee income</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815,403</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503,488</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775,805</w:t>
            </w:r>
          </w:p>
        </w:tc>
        <w:tc>
          <w:tcPr>
            <w:tcW w:w="2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54.1%</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-4.9%</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2,385,575</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2,039,623</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-14.5%</w:t>
            </w:r>
          </w:p>
        </w:tc>
      </w:tr>
      <w:tr>
        <w:trPr>
          <w:trHeight w:val="148"/>
        </w:trPr>
        <w:tc>
          <w:tcPr>
            <w:tcW w:w="31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188,073</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149,308</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155,028</w:t>
            </w:r>
          </w:p>
        </w:tc>
        <w:tc>
          <w:tcPr>
            <w:tcW w:w="100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80" w:type="dxa"/>
            <w:vAlign w:val="bottom"/>
          </w:tcPr>
          <w:p>
            <w:pPr>
              <w:spacing w:after="0"/>
              <w:rPr>
                <w:sz w:val="12"/>
                <w:szCs w:val="12"/>
                <w:color w:val="auto"/>
              </w:rPr>
            </w:pPr>
          </w:p>
        </w:tc>
        <w:tc>
          <w:tcPr>
            <w:tcW w:w="740" w:type="dxa"/>
            <w:vAlign w:val="bottom"/>
            <w:gridSpan w:val="2"/>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980" w:type="dxa"/>
            <w:vAlign w:val="bottom"/>
            <w:gridSpan w:val="2"/>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554,854</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471,319</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-15.1%</w:t>
            </w:r>
          </w:p>
        </w:tc>
      </w:tr>
      <w:tr>
        <w:trPr>
          <w:trHeight w:val="148"/>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on securities</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150,427</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280,563</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135,957</w:t>
            </w:r>
          </w:p>
        </w:tc>
        <w:tc>
          <w:tcPr>
            <w:tcW w:w="1000" w:type="dxa"/>
            <w:vAlign w:val="bottom"/>
            <w:gridSpan w:val="2"/>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2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980" w:type="dxa"/>
            <w:vAlign w:val="bottom"/>
            <w:gridSpan w:val="2"/>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color w:val="auto"/>
              </w:rPr>
              <w:t>364,959</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295,887</w:t>
            </w:r>
          </w:p>
        </w:tc>
        <w:tc>
          <w:tcPr>
            <w:tcW w:w="11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-18.9%</w:t>
            </w:r>
          </w:p>
        </w:tc>
      </w:tr>
      <w:tr>
        <w:trPr>
          <w:trHeight w:val="189"/>
        </w:trPr>
        <w:tc>
          <w:tcPr>
            <w:tcW w:w="31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 gain from associates </w:t>
            </w:r>
            <w:r>
              <w:rPr>
                <w:rFonts w:ascii="Times New Roman" w:cs="Times New Roman" w:eastAsia="Times New Roman" w:hAnsi="Times New Roman"/>
                <w:sz w:val="21"/>
                <w:szCs w:val="21"/>
                <w:color w:val="auto"/>
                <w:vertAlign w:val="superscript"/>
              </w:rPr>
              <w:t>(1)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14,906</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11,245</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-24.6%</w:t>
            </w:r>
          </w:p>
        </w:tc>
        <w:tc>
          <w:tcPr>
            <w:tcW w:w="280" w:type="dxa"/>
            <w:vAlign w:val="bottom"/>
          </w:tcPr>
          <w:p>
            <w:pPr>
              <w:spacing w:after="0"/>
              <w:rPr>
                <w:sz w:val="16"/>
                <w:szCs w:val="16"/>
                <w:color w:val="auto"/>
              </w:rPr>
            </w:pPr>
          </w:p>
        </w:tc>
        <w:tc>
          <w:tcPr>
            <w:tcW w:w="7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-48.5%</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57,106</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45,375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48"/>
        </w:trPr>
        <w:tc>
          <w:tcPr>
            <w:tcW w:w="310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gain on derivatives held for trading</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8,358</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(21,297)</w:t>
            </w:r>
          </w:p>
        </w:tc>
        <w:tc>
          <w:tcPr>
            <w:tcW w:w="1280" w:type="dxa"/>
            <w:vAlign w:val="bottom"/>
            <w:gridSpan w:val="3"/>
            <w:shd w:val="clear" w:color="auto" w:fill="CCEEFF"/>
          </w:tcPr>
          <w:p>
            <w:pPr>
              <w:ind w:left="5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118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89"/>
        </w:trPr>
        <w:tc>
          <w:tcPr>
            <w:tcW w:w="310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Net gain from exchange differences </w:t>
            </w:r>
            <w:r>
              <w:rPr>
                <w:rFonts w:ascii="Times New Roman" w:cs="Times New Roman" w:eastAsia="Times New Roman" w:hAnsi="Times New Roman"/>
                <w:sz w:val="21"/>
                <w:szCs w:val="21"/>
                <w:color w:val="auto"/>
                <w:vertAlign w:val="superscript"/>
              </w:rPr>
              <w:t>(2)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(11,775)</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23,531</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6,361</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-73.0%</w:t>
            </w:r>
          </w:p>
        </w:tc>
        <w:tc>
          <w:tcPr>
            <w:tcW w:w="280" w:type="dxa"/>
            <w:vAlign w:val="bottom"/>
          </w:tcPr>
          <w:p>
            <w:pPr>
              <w:spacing w:after="0"/>
              <w:rPr>
                <w:sz w:val="16"/>
                <w:szCs w:val="16"/>
                <w:color w:val="auto"/>
              </w:rPr>
            </w:pP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color w:val="auto"/>
              </w:rPr>
              <w:t>1,778</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8,652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386.6%</w:t>
            </w:r>
          </w:p>
        </w:tc>
      </w:tr>
      <w:tr>
        <w:trPr>
          <w:trHeight w:val="162"/>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Other non-financial income</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133,128</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35,196</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39,498</w:t>
            </w:r>
          </w:p>
        </w:tc>
        <w:tc>
          <w:tcPr>
            <w:tcW w:w="10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2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-70.3%</w:t>
            </w:r>
          </w:p>
        </w:tc>
        <w:tc>
          <w:tcPr>
            <w:tcW w:w="98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323,715</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192,464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w:t>
            </w:r>
          </w:p>
        </w:tc>
      </w:tr>
      <w:tr>
        <w:trPr>
          <w:trHeight w:val="142"/>
        </w:trPr>
        <w:tc>
          <w:tcPr>
            <w:tcW w:w="3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non-financial income, net</w:t>
            </w: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1,299,256</w:t>
            </w:r>
          </w:p>
        </w:tc>
        <w:tc>
          <w:tcPr>
            <w:tcW w:w="22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1,015,350</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1,102,597</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-15.1</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3,686,987</w:t>
            </w:r>
          </w:p>
        </w:tc>
        <w:tc>
          <w:tcPr>
            <w:tcW w:w="2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3,075,811</w:t>
            </w:r>
          </w:p>
        </w:tc>
        <w:tc>
          <w:tcPr>
            <w:tcW w:w="220" w:type="dxa"/>
            <w:vAlign w:val="bottom"/>
          </w:tcPr>
          <w:p>
            <w:pPr>
              <w:spacing w:after="0"/>
              <w:rPr>
                <w:sz w:val="12"/>
                <w:szCs w:val="12"/>
                <w:color w:val="auto"/>
              </w:rPr>
            </w:pPr>
          </w:p>
        </w:tc>
        <w:tc>
          <w:tcPr>
            <w:tcW w:w="10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-16.6</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w:t>
            </w: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on other investments, mainly made up of the profit of Banmedica.</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from 3Q19 differ from previously reported due to the implementation of IFRS 16.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00" w:type="dxa"/>
            <w:vAlign w:val="bottom"/>
            <w:vMerge w:val="restart"/>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0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7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22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5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w w:val="95"/>
              </w:rPr>
              <w:t>YoY</w:t>
            </w:r>
          </w:p>
        </w:tc>
        <w:tc>
          <w:tcPr>
            <w:tcW w:w="26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2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22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 EPS contribution (50%)</w:t>
            </w: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14,720</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16,806</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9,416</w:t>
            </w:r>
          </w:p>
        </w:tc>
        <w:tc>
          <w:tcPr>
            <w:tcW w:w="2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-44.0%</w:t>
            </w:r>
          </w:p>
        </w:tc>
        <w:tc>
          <w:tcPr>
            <w:tcW w:w="2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-36.0%</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36,396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43,408</w:t>
            </w:r>
          </w:p>
        </w:tc>
        <w:tc>
          <w:tcPr>
            <w:tcW w:w="22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62"/>
        </w:trPr>
        <w:tc>
          <w:tcPr>
            <w:tcW w:w="3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Private health insurance deduction (50%)</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(5,350)</w:t>
            </w:r>
          </w:p>
        </w:tc>
        <w:tc>
          <w:tcPr>
            <w:tcW w:w="980" w:type="dxa"/>
            <w:vAlign w:val="bottom"/>
            <w:gridSpan w:val="2"/>
          </w:tcPr>
          <w:p>
            <w:pPr>
              <w:jc w:val="right"/>
              <w:ind w:right="139"/>
              <w:spacing w:after="0"/>
              <w:rPr>
                <w:sz w:val="20"/>
                <w:szCs w:val="20"/>
                <w:color w:val="auto"/>
              </w:rPr>
            </w:pPr>
            <w:r>
              <w:rPr>
                <w:rFonts w:ascii="Times New Roman" w:cs="Times New Roman" w:eastAsia="Times New Roman" w:hAnsi="Times New Roman"/>
                <w:sz w:val="14"/>
                <w:szCs w:val="14"/>
                <w:color w:val="auto"/>
              </w:rPr>
              <w:t>(17,944)</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(10,566)</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-41.1%</w:t>
            </w:r>
          </w:p>
        </w:tc>
        <w:tc>
          <w:tcPr>
            <w:tcW w:w="240" w:type="dxa"/>
            <w:vAlign w:val="bottom"/>
          </w:tcPr>
          <w:p>
            <w:pPr>
              <w:spacing w:after="0"/>
              <w:rPr>
                <w:sz w:val="14"/>
                <w:szCs w:val="14"/>
                <w:color w:val="auto"/>
              </w:rPr>
            </w:pPr>
          </w:p>
        </w:tc>
        <w:tc>
          <w:tcPr>
            <w:tcW w:w="78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97.6%</w:t>
            </w:r>
          </w:p>
        </w:tc>
        <w:tc>
          <w:tcPr>
            <w:tcW w:w="98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(12,832)</w:t>
            </w:r>
          </w:p>
        </w:tc>
        <w:tc>
          <w:tcPr>
            <w:tcW w:w="160" w:type="dxa"/>
            <w:vAlign w:val="bottom"/>
          </w:tcPr>
          <w:p>
            <w:pPr>
              <w:spacing w:after="0"/>
              <w:rPr>
                <w:sz w:val="14"/>
                <w:szCs w:val="14"/>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(34,940)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42"/>
        </w:trPr>
        <w:tc>
          <w:tcPr>
            <w:tcW w:w="310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Net gain from association with Banmedica</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9,370</w:t>
            </w: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(1,138</w:t>
            </w:r>
          </w:p>
        </w:tc>
        <w:tc>
          <w:tcPr>
            <w:tcW w:w="220" w:type="dxa"/>
            <w:vAlign w:val="bottom"/>
            <w:tcBorders>
              <w:top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(1,150</w:t>
            </w:r>
          </w:p>
        </w:tc>
        <w:tc>
          <w:tcPr>
            <w:tcW w:w="220" w:type="dxa"/>
            <w:vAlign w:val="bottom"/>
            <w:tcBorders>
              <w:top w:val="single" w:sz="8" w:color="CCEEFF"/>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-112.3</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23,564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8,468</w:t>
            </w:r>
          </w:p>
        </w:tc>
        <w:tc>
          <w:tcPr>
            <w:tcW w:w="2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-64.1</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QoQ</w:t>
      </w:r>
      <w:r>
        <w:rPr>
          <w:rFonts w:ascii="Times New Roman" w:cs="Times New Roman" w:eastAsia="Times New Roman" w:hAnsi="Times New Roman"/>
          <w:sz w:val="18"/>
          <w:szCs w:val="18"/>
          <w:color w:val="auto"/>
        </w:rPr>
        <w:t xml:space="preserve"> evolution shows growth of +8.6% in non-financial income, which was attributable to:</w:t>
      </w:r>
    </w:p>
    <w:p>
      <w:pPr>
        <w:spacing w:after="0" w:line="225" w:lineRule="exact"/>
        <w:rPr>
          <w:sz w:val="20"/>
          <w:szCs w:val="20"/>
          <w:color w:val="auto"/>
        </w:rPr>
      </w:pPr>
    </w:p>
    <w:p>
      <w:pPr>
        <w:jc w:val="both"/>
        <w:ind w:left="880" w:hanging="494"/>
        <w:spacing w:after="0" w:line="257"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w:t>
      </w: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 mainly at BCP Stand-alone. This was driven by an increase in monetary transactions, which were up +48% QoQ; an increase in fee collections after fees that were waived in 2Q20 were reinstated; and an uptick in transactional activity after restrictions on mobility were scaled back in 3Q20. Expansion in fee income was also attributable, although to a lesser extent, to Credicorp Capital, which reported an increase in income in the Corporate Finance business after loans for the Autopista del Norte were restructured. Finally, growth in fee income was driven by Prima AFP, which registered an increase in fees for flows and balances versus 2Q20, when contributions were suspended in the month of April. For more information, see section 5.1.2 Fee income from the Banking Business.</w:t>
      </w:r>
    </w:p>
    <w:p>
      <w:pPr>
        <w:spacing w:after="0" w:line="182"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income from the </w:t>
      </w:r>
      <w:r>
        <w:rPr>
          <w:rFonts w:ascii="Times New Roman" w:cs="Times New Roman" w:eastAsia="Times New Roman" w:hAnsi="Times New Roman"/>
          <w:sz w:val="18"/>
          <w:szCs w:val="18"/>
          <w:b w:val="1"/>
          <w:bCs w:val="1"/>
          <w:color w:val="auto"/>
        </w:rPr>
        <w:t>Net gain on foreign exchange transactions</w:t>
      </w:r>
      <w:r>
        <w:rPr>
          <w:rFonts w:ascii="Times New Roman" w:cs="Times New Roman" w:eastAsia="Times New Roman" w:hAnsi="Times New Roman"/>
          <w:sz w:val="18"/>
          <w:szCs w:val="18"/>
          <w:color w:val="auto"/>
        </w:rPr>
        <w:t>, which was attributable to an increase in spreads with Retail Banking clients in buy and sell transactions of US Dollars (US$) at BCP Stand-alone.</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non-financial income</w:t>
      </w:r>
      <w:r>
        <w:rPr>
          <w:rFonts w:ascii="Times New Roman" w:cs="Times New Roman" w:eastAsia="Times New Roman" w:hAnsi="Times New Roman"/>
          <w:sz w:val="18"/>
          <w:szCs w:val="18"/>
          <w:color w:val="auto"/>
        </w:rPr>
        <w:t>, which was attributable to income from leasing; a provisions release at Pacifico; and fees for the “Millas Travel”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 for credit cards at BCP Stand-alone.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was partially offset by:</w:t>
      </w:r>
    </w:p>
    <w:p>
      <w:pPr>
        <w:spacing w:after="0" w:line="221" w:lineRule="exact"/>
        <w:rPr>
          <w:sz w:val="20"/>
          <w:szCs w:val="20"/>
          <w:color w:val="auto"/>
        </w:rPr>
      </w:pPr>
    </w:p>
    <w:p>
      <w:pPr>
        <w:jc w:val="both"/>
        <w:ind w:left="880" w:hanging="494"/>
        <w:spacing w:after="0" w:line="255" w:lineRule="auto"/>
        <w:tabs>
          <w:tab w:leader="none" w:pos="88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contraction in the </w:t>
      </w:r>
      <w:r>
        <w:rPr>
          <w:rFonts w:ascii="Times New Roman" w:cs="Times New Roman" w:eastAsia="Times New Roman" w:hAnsi="Times New Roman"/>
          <w:sz w:val="18"/>
          <w:szCs w:val="18"/>
          <w:b w:val="1"/>
          <w:bCs w:val="1"/>
          <w:color w:val="auto"/>
        </w:rPr>
        <w:t>Net gain on securities</w:t>
      </w:r>
      <w:r>
        <w:rPr>
          <w:rFonts w:ascii="Times New Roman" w:cs="Times New Roman" w:eastAsia="Times New Roman" w:hAnsi="Times New Roman"/>
          <w:sz w:val="18"/>
          <w:szCs w:val="18"/>
          <w:color w:val="auto"/>
        </w:rPr>
        <w:t>, which was attributable to (i) ASB, due to the losses reported this quarter on a mark-to-market reduction in an investment at fair value through other comprehensive income portfolio, which led to unrealized losses of S/ 23 million. The decrease in income was also attributable to the fact that non-recurring gains of S/ 96 million were reported in 2Q20 for the same investment; ii) Prima AFP, attributable to a decrease in the AuM volume due to government measures to allow affiliates to, in the first instance, withdraw S/ 2,000 from their private pensions, and in the second instance, draw down up to 25% of their funds, which caused the profitability of the legal reserve to drop. Lastly, income this quarter dropped due to market volatility, which was spurred by uncertainty about the pandemic’s impact. It is important to note that this quarter, a non-recurring loss was registered for an impairment charge of S/ 23 million after the value of a private equity investment was adjusted downward.</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5" w:name="page36"/>
    <w:bookmarkEnd w:id="35"/>
    <w:p>
      <w:pPr>
        <w:ind w:left="880" w:hanging="494"/>
        <w:spacing w:after="0" w:line="286" w:lineRule="auto"/>
        <w:tabs>
          <w:tab w:leader="none" w:pos="88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drop in the </w:t>
      </w:r>
      <w:r>
        <w:rPr>
          <w:rFonts w:ascii="Times New Roman" w:cs="Times New Roman" w:eastAsia="Times New Roman" w:hAnsi="Times New Roman"/>
          <w:sz w:val="18"/>
          <w:szCs w:val="18"/>
          <w:b w:val="1"/>
          <w:bCs w:val="1"/>
          <w:color w:val="auto"/>
        </w:rPr>
        <w:t>Net gain on speculative derivatives</w:t>
      </w:r>
      <w:r>
        <w:rPr>
          <w:rFonts w:ascii="Times New Roman" w:cs="Times New Roman" w:eastAsia="Times New Roman" w:hAnsi="Times New Roman"/>
          <w:sz w:val="18"/>
          <w:szCs w:val="18"/>
          <w:color w:val="auto"/>
        </w:rPr>
        <w:t>, which was generated at BCP Stand-alone and Credicorp Capital through currency forwards to cover investment positions and foreign exchange transactions.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YoY</w:t>
      </w:r>
      <w:r>
        <w:rPr>
          <w:rFonts w:ascii="Times New Roman" w:cs="Times New Roman" w:eastAsia="Times New Roman" w:hAnsi="Times New Roman"/>
          <w:sz w:val="18"/>
          <w:szCs w:val="18"/>
          <w:color w:val="auto"/>
        </w:rPr>
        <w:t xml:space="preserve"> analysis shows a decrease of -15.1% in non-financial income, which was due to:</w:t>
      </w:r>
    </w:p>
    <w:p>
      <w:pPr>
        <w:spacing w:after="0" w:line="225" w:lineRule="exact"/>
        <w:rPr>
          <w:sz w:val="20"/>
          <w:szCs w:val="20"/>
          <w:color w:val="auto"/>
        </w:rPr>
      </w:pPr>
    </w:p>
    <w:p>
      <w:pPr>
        <w:ind w:left="880" w:hanging="494"/>
        <w:spacing w:after="0"/>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drop in </w:t>
      </w:r>
      <w:r>
        <w:rPr>
          <w:rFonts w:ascii="Times New Roman" w:cs="Times New Roman" w:eastAsia="Times New Roman" w:hAnsi="Times New Roman"/>
          <w:sz w:val="18"/>
          <w:szCs w:val="18"/>
          <w:b w:val="1"/>
          <w:bCs w:val="1"/>
          <w:color w:val="auto"/>
        </w:rPr>
        <w:t>Other non-financial income</w:t>
      </w:r>
      <w:r>
        <w:rPr>
          <w:rFonts w:ascii="Times New Roman" w:cs="Times New Roman" w:eastAsia="Times New Roman" w:hAnsi="Times New Roman"/>
          <w:sz w:val="18"/>
          <w:szCs w:val="18"/>
          <w:color w:val="auto"/>
        </w:rPr>
        <w:t xml:space="preserve"> after the sale of various properties (branches) and a portfolio under judicial collections in 3Q19.</w:t>
      </w:r>
    </w:p>
    <w:p>
      <w:pPr>
        <w:spacing w:after="0" w:line="225" w:lineRule="exact"/>
        <w:rPr>
          <w:rFonts w:ascii="Times New Roman" w:cs="Times New Roman" w:eastAsia="Times New Roman" w:hAnsi="Times New Roman"/>
          <w:sz w:val="18"/>
          <w:szCs w:val="18"/>
          <w:color w:val="auto"/>
        </w:rPr>
      </w:pPr>
    </w:p>
    <w:p>
      <w:pPr>
        <w:jc w:val="both"/>
        <w:ind w:left="880" w:hanging="494"/>
        <w:spacing w:after="0" w:line="262"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in </w:t>
      </w: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 which was mainly attributable to BCP Stand-alone and Mibanco, was driven by (i) the benefits and fee exemptions extended to clients to weather the pandemic, and (ii) a drop in consumption and transaction volumes. It is important to note that the subsidiary that has been hardest hit by the pandemic is Mibanco, which registered a contraction of -90.5% YoY in fee income, its main source of non-financial income.</w:t>
      </w:r>
    </w:p>
    <w:p>
      <w:pPr>
        <w:spacing w:after="0" w:line="176"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decline in income from the </w:t>
      </w:r>
      <w:r>
        <w:rPr>
          <w:rFonts w:ascii="Times New Roman" w:cs="Times New Roman" w:eastAsia="Times New Roman" w:hAnsi="Times New Roman"/>
          <w:sz w:val="18"/>
          <w:szCs w:val="18"/>
          <w:b w:val="1"/>
          <w:bCs w:val="1"/>
          <w:color w:val="auto"/>
        </w:rPr>
        <w:t>Net gain on foreign exchange transactions</w:t>
      </w:r>
      <w:r>
        <w:rPr>
          <w:rFonts w:ascii="Times New Roman" w:cs="Times New Roman" w:eastAsia="Times New Roman" w:hAnsi="Times New Roman"/>
          <w:sz w:val="18"/>
          <w:szCs w:val="18"/>
          <w:color w:val="auto"/>
        </w:rPr>
        <w:t>, which was driven mainly by a decrease in transaction volumes and margins by Wholesale Banking and Retail Banking clients at BCP Stand-alone.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aforementioned was slightly offset by</w:t>
      </w:r>
    </w:p>
    <w:p>
      <w:pPr>
        <w:spacing w:after="0" w:line="221" w:lineRule="exact"/>
        <w:rPr>
          <w:sz w:val="20"/>
          <w:szCs w:val="20"/>
          <w:color w:val="auto"/>
        </w:rPr>
      </w:pPr>
    </w:p>
    <w:p>
      <w:pPr>
        <w:ind w:left="880" w:right="20" w:hanging="494"/>
        <w:spacing w:after="0" w:line="286" w:lineRule="auto"/>
        <w:tabs>
          <w:tab w:leader="none" w:pos="88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Growth in the </w:t>
      </w:r>
      <w:r>
        <w:rPr>
          <w:rFonts w:ascii="Times New Roman" w:cs="Times New Roman" w:eastAsia="Times New Roman" w:hAnsi="Times New Roman"/>
          <w:sz w:val="18"/>
          <w:szCs w:val="18"/>
          <w:b w:val="1"/>
          <w:bCs w:val="1"/>
          <w:color w:val="auto"/>
        </w:rPr>
        <w:t>Net gain for exchange rate difference</w:t>
      </w:r>
      <w:r>
        <w:rPr>
          <w:rFonts w:ascii="Times New Roman" w:cs="Times New Roman" w:eastAsia="Times New Roman" w:hAnsi="Times New Roman"/>
          <w:sz w:val="18"/>
          <w:szCs w:val="18"/>
          <w:color w:val="auto"/>
        </w:rPr>
        <w:t>, attributable to appreciation in the US dollar in regional economies; this was reflected in gains on Trading and off-balance positions at BCP Stand-alone and Credicorp Capital.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8"/>
          <w:szCs w:val="18"/>
          <w:b w:val="1"/>
          <w:bCs w:val="1"/>
          <w:color w:val="auto"/>
        </w:rPr>
        <w:t>YTD</w:t>
      </w:r>
      <w:r>
        <w:rPr>
          <w:rFonts w:ascii="Times New Roman" w:cs="Times New Roman" w:eastAsia="Times New Roman" w:hAnsi="Times New Roman"/>
          <w:sz w:val="18"/>
          <w:szCs w:val="18"/>
          <w:color w:val="auto"/>
        </w:rPr>
        <w:t xml:space="preserve"> terms (Sept 20 vs Sept 19), non-financial income fell -16.6%, which was mainly attributable to:</w:t>
      </w:r>
    </w:p>
    <w:p>
      <w:pPr>
        <w:spacing w:after="0" w:line="225" w:lineRule="exact"/>
        <w:rPr>
          <w:sz w:val="20"/>
          <w:szCs w:val="20"/>
          <w:color w:val="auto"/>
        </w:rPr>
      </w:pPr>
    </w:p>
    <w:p>
      <w:pPr>
        <w:ind w:left="880" w:hanging="494"/>
        <w:spacing w:after="0" w:line="28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contraction in </w:t>
      </w:r>
      <w:r>
        <w:rPr>
          <w:rFonts w:ascii="Times New Roman" w:cs="Times New Roman" w:eastAsia="Times New Roman" w:hAnsi="Times New Roman"/>
          <w:sz w:val="18"/>
          <w:szCs w:val="18"/>
          <w:b w:val="1"/>
          <w:bCs w:val="1"/>
          <w:color w:val="auto"/>
        </w:rPr>
        <w:t>Fee Income</w:t>
      </w:r>
      <w:r>
        <w:rPr>
          <w:rFonts w:ascii="Times New Roman" w:cs="Times New Roman" w:eastAsia="Times New Roman" w:hAnsi="Times New Roman"/>
          <w:sz w:val="18"/>
          <w:szCs w:val="18"/>
          <w:color w:val="auto"/>
        </w:rPr>
        <w:t xml:space="preserve"> reflects the fact that 2020 has been a challenging year for banking products and services, which is evident in the 50% drop in transactions during the pandemic.</w:t>
      </w:r>
    </w:p>
    <w:p>
      <w:pPr>
        <w:spacing w:after="0" w:line="154" w:lineRule="exact"/>
        <w:rPr>
          <w:rFonts w:ascii="Times New Roman" w:cs="Times New Roman" w:eastAsia="Times New Roman" w:hAnsi="Times New Roman"/>
          <w:sz w:val="18"/>
          <w:szCs w:val="18"/>
          <w:color w:val="auto"/>
        </w:rPr>
      </w:pPr>
    </w:p>
    <w:p>
      <w:pPr>
        <w:ind w:left="880" w:right="20" w:hanging="494"/>
        <w:spacing w:after="0" w:line="286"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reduction in </w:t>
      </w:r>
      <w:r>
        <w:rPr>
          <w:rFonts w:ascii="Times New Roman" w:cs="Times New Roman" w:eastAsia="Times New Roman" w:hAnsi="Times New Roman"/>
          <w:sz w:val="18"/>
          <w:szCs w:val="18"/>
          <w:b w:val="1"/>
          <w:bCs w:val="1"/>
          <w:color w:val="auto"/>
        </w:rPr>
        <w:t>Other non-financial income</w:t>
      </w:r>
      <w:r>
        <w:rPr>
          <w:rFonts w:ascii="Times New Roman" w:cs="Times New Roman" w:eastAsia="Times New Roman" w:hAnsi="Times New Roman"/>
          <w:sz w:val="18"/>
          <w:szCs w:val="18"/>
          <w:color w:val="auto"/>
        </w:rPr>
        <w:t>, mainly due to extraordinary income from the sale of fixed assets and loan portfolios, in BCP Individual and BCP Bolivia.</w:t>
      </w:r>
    </w:p>
    <w:p>
      <w:pPr>
        <w:spacing w:after="0" w:line="154" w:lineRule="exact"/>
        <w:rPr>
          <w:rFonts w:ascii="Times New Roman" w:cs="Times New Roman" w:eastAsia="Times New Roman" w:hAnsi="Times New Roman"/>
          <w:sz w:val="18"/>
          <w:szCs w:val="18"/>
          <w:color w:val="auto"/>
        </w:rPr>
      </w:pPr>
    </w:p>
    <w:p>
      <w:pPr>
        <w:jc w:val="both"/>
        <w:ind w:left="880" w:hanging="494"/>
        <w:spacing w:after="0" w:line="268" w:lineRule="auto"/>
        <w:tabs>
          <w:tab w:leader="none" w:pos="88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Net gain on foreign exchange transactions, </w:t>
      </w:r>
      <w:r>
        <w:rPr>
          <w:rFonts w:ascii="Times New Roman" w:cs="Times New Roman" w:eastAsia="Times New Roman" w:hAnsi="Times New Roman"/>
          <w:sz w:val="18"/>
          <w:szCs w:val="18"/>
          <w:color w:val="auto"/>
        </w:rPr>
        <w:t>which registered a recovery in 3Q20 but was still insufficient to offset the results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previous quarters. It is also important to note that the scenario in 2020, which was marked by declining interest rates and obligatory quarantines, has negatively impacted spreads and volumes.</w:t>
      </w:r>
    </w:p>
    <w:p>
      <w:pPr>
        <w:spacing w:after="0" w:line="3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5.1. Fee Income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5.1.1. By subsidiary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 below shows the contribution of each of Credicorp’s subsidiaries to growth in its fee income in 2Q20</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Evolution of fee income QoQ by subsidiary </w:t>
      </w:r>
      <w:r>
        <w:rPr>
          <w:rFonts w:ascii="Times New Roman" w:cs="Times New Roman" w:eastAsia="Times New Roman" w:hAnsi="Times New Roman"/>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6454775" cy="231457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454775" cy="2314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include Encumbra, Bancompartir, Grupo Pacifico and eliminations for consolidation purposes.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Evolution of fee income YoY by subsidiary </w:t>
      </w:r>
      <w:r>
        <w:rPr>
          <w:rFonts w:ascii="Times New Roman" w:cs="Times New Roman" w:eastAsia="Times New Roman" w:hAnsi="Times New Roman"/>
          <w:sz w:val="18"/>
          <w:szCs w:val="18"/>
          <w:color w:val="auto"/>
        </w:rPr>
        <w:t>(S/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6454775" cy="2194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454775" cy="2194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include Encumbra, Bancompartir, Grupo Pacifico and eliminations for consolidation purposes.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Evolution of fee income YTD by subsidiary </w:t>
      </w: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156845</wp:posOffset>
            </wp:positionV>
            <wp:extent cx="6454775" cy="21342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54775" cy="2134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*Others include Encumbra, Bancompartir, Grupo Pacifico and eliminations for consolidation purposes.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5.1.2. Fee income in the Banking Business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figure below shows the evolution of the main components of fee income in the banking business: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Composition of Fee Income in the Banking Business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vMerge w:val="restart"/>
          </w:tcPr>
          <w:p>
            <w:pPr>
              <w:spacing w:after="0"/>
              <w:rPr>
                <w:sz w:val="15"/>
                <w:szCs w:val="15"/>
                <w:color w:val="auto"/>
              </w:rPr>
            </w:pPr>
          </w:p>
        </w:tc>
        <w:tc>
          <w:tcPr>
            <w:tcW w:w="120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3"/>
          </w:tcPr>
          <w:p>
            <w:pPr>
              <w:ind w:left="760"/>
              <w:spacing w:after="0"/>
              <w:rPr>
                <w:sz w:val="20"/>
                <w:szCs w:val="20"/>
                <w:color w:val="auto"/>
              </w:rPr>
            </w:pPr>
            <w:r>
              <w:rPr>
                <w:rFonts w:ascii="Times New Roman" w:cs="Times New Roman" w:eastAsia="Times New Roman" w:hAnsi="Times New Roman"/>
                <w:sz w:val="14"/>
                <w:szCs w:val="14"/>
                <w:color w:val="auto"/>
              </w:rPr>
              <w:t>Year</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4"/>
          </w:tcPr>
          <w:p>
            <w:pPr>
              <w:jc w:val="right"/>
              <w:ind w:right="848"/>
              <w:spacing w:after="0"/>
              <w:rPr>
                <w:sz w:val="20"/>
                <w:szCs w:val="20"/>
                <w:color w:val="auto"/>
              </w:rPr>
            </w:pPr>
            <w:r>
              <w:rPr>
                <w:rFonts w:ascii="Times New Roman" w:cs="Times New Roman" w:eastAsia="Times New Roman" w:hAnsi="Times New Roman"/>
                <w:sz w:val="14"/>
                <w:szCs w:val="14"/>
                <w:color w:val="auto"/>
              </w:rPr>
              <w:t>% change</w:t>
            </w:r>
          </w:p>
        </w:tc>
        <w:tc>
          <w:tcPr>
            <w:tcW w:w="0" w:type="dxa"/>
            <w:vAlign w:val="bottom"/>
          </w:tcPr>
          <w:p>
            <w:pPr>
              <w:spacing w:after="0"/>
              <w:rPr>
                <w:sz w:val="1"/>
                <w:szCs w:val="1"/>
                <w:color w:val="auto"/>
              </w:rPr>
            </w:pPr>
          </w:p>
        </w:tc>
      </w:tr>
      <w:tr>
        <w:trPr>
          <w:trHeight w:val="156"/>
        </w:trPr>
        <w:tc>
          <w:tcPr>
            <w:tcW w:w="2940" w:type="dxa"/>
            <w:vAlign w:val="bottom"/>
            <w:tcBorders>
              <w:bottom w:val="single" w:sz="8" w:color="auto"/>
            </w:tcBorders>
            <w:vMerge w:val="continue"/>
          </w:tcPr>
          <w:p>
            <w:pPr>
              <w:spacing w:after="0"/>
              <w:rPr>
                <w:sz w:val="13"/>
                <w:szCs w:val="13"/>
                <w:color w:val="auto"/>
              </w:rPr>
            </w:pPr>
          </w:p>
        </w:tc>
        <w:tc>
          <w:tcPr>
            <w:tcW w:w="120" w:type="dxa"/>
            <w:vAlign w:val="bottom"/>
            <w:tcBorders>
              <w:bottom w:val="single" w:sz="8" w:color="CCEEFF"/>
            </w:tcBorders>
            <w:vMerge w:val="continue"/>
          </w:tcPr>
          <w:p>
            <w:pPr>
              <w:spacing w:after="0"/>
              <w:rPr>
                <w:sz w:val="13"/>
                <w:szCs w:val="13"/>
                <w:color w:val="auto"/>
              </w:rPr>
            </w:pPr>
          </w:p>
        </w:tc>
        <w:tc>
          <w:tcPr>
            <w:tcW w:w="80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4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12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220" w:type="dxa"/>
            <w:vAlign w:val="bottom"/>
            <w:tcBorders>
              <w:top w:val="single" w:sz="8" w:color="auto"/>
              <w:bottom w:val="single" w:sz="8" w:color="CCEEFF"/>
            </w:tcBorders>
          </w:tcPr>
          <w:p>
            <w:pPr>
              <w:spacing w:after="0"/>
              <w:rPr>
                <w:sz w:val="13"/>
                <w:szCs w:val="13"/>
                <w:color w:val="auto"/>
              </w:rPr>
            </w:pP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2940" w:type="dxa"/>
            <w:vAlign w:val="bottom"/>
            <w:shd w:val="clear" w:color="auto" w:fill="CCEEFF"/>
          </w:tcPr>
          <w:p>
            <w:pPr>
              <w:spacing w:after="0" w:line="183" w:lineRule="exact"/>
              <w:rPr>
                <w:sz w:val="20"/>
                <w:szCs w:val="20"/>
                <w:color w:val="auto"/>
              </w:rPr>
            </w:pPr>
            <w:r>
              <w:rPr>
                <w:rFonts w:ascii="Times New Roman" w:cs="Times New Roman" w:eastAsia="Times New Roman" w:hAnsi="Times New Roman"/>
                <w:sz w:val="13"/>
                <w:szCs w:val="13"/>
                <w:color w:val="auto"/>
              </w:rPr>
              <w:t xml:space="preserve">Miscellaneous accounts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184,826</w:t>
            </w:r>
          </w:p>
        </w:tc>
        <w:tc>
          <w:tcPr>
            <w:tcW w:w="16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115,586</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165,699</w:t>
            </w:r>
          </w:p>
        </w:tc>
        <w:tc>
          <w:tcPr>
            <w:tcW w:w="2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43.4%</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-10.3%</w:t>
            </w: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532,074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446,247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Credit cards </w:t>
            </w:r>
            <w:r>
              <w:rPr>
                <w:rFonts w:ascii="Times New Roman" w:cs="Times New Roman" w:eastAsia="Times New Roman" w:hAnsi="Times New Roman"/>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71,633</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12,606</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51,781</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310.8%</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212,162</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124,822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-41.2%</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Drafts and transfers</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68,526</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40,995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62,106</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51.5%</w:t>
            </w:r>
          </w:p>
        </w:tc>
        <w:tc>
          <w:tcPr>
            <w:tcW w:w="10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193,243</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164,947</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-14.6%</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Personal loans </w:t>
            </w:r>
            <w:r>
              <w:rPr>
                <w:rFonts w:ascii="Times New Roman" w:cs="Times New Roman" w:eastAsia="Times New Roman" w:hAnsi="Times New Roman"/>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24,984</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11,298</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29,197</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158.4%</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73,493</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68,847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SME loans </w:t>
            </w:r>
            <w:r>
              <w:rPr>
                <w:rFonts w:ascii="Times New Roman" w:cs="Times New Roman" w:eastAsia="Times New Roman" w:hAnsi="Times New Roman"/>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16,970</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6,450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20,161</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212.6%</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18.8%</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52,505</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45,419</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Insurance </w:t>
            </w:r>
            <w:r>
              <w:rPr>
                <w:rFonts w:ascii="Times New Roman" w:cs="Times New Roman" w:eastAsia="Times New Roman" w:hAnsi="Times New Roman"/>
                <w:sz w:val="21"/>
                <w:szCs w:val="21"/>
                <w:color w:val="auto"/>
                <w:vertAlign w:val="superscript"/>
              </w:rPr>
              <w:t>(2)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26,956</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22,747</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23,990</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5.5%</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72,714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71,916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Mortgage loans </w:t>
            </w:r>
            <w:r>
              <w:rPr>
                <w:rFonts w:ascii="Times New Roman" w:cs="Times New Roman" w:eastAsia="Times New Roman" w:hAnsi="Times New Roman"/>
                <w:sz w:val="21"/>
                <w:szCs w:val="21"/>
                <w:color w:val="auto"/>
                <w:vertAlign w:val="superscript"/>
              </w:rPr>
              <w:t>(2)</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9,213</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-870</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14,085</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N/A</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52.9%</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28,379</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22,617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Off-balance sheet </w:t>
            </w:r>
            <w:r>
              <w:rPr>
                <w:rFonts w:ascii="Times New Roman" w:cs="Times New Roman" w:eastAsia="Times New Roman" w:hAnsi="Times New Roman"/>
                <w:sz w:val="21"/>
                <w:szCs w:val="21"/>
                <w:color w:val="auto"/>
                <w:vertAlign w:val="superscript"/>
              </w:rPr>
              <w:t>(3)</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49,803</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49,231</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48,430</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-1.6%</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144,974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147,754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Payments and collections </w:t>
            </w:r>
            <w:r>
              <w:rPr>
                <w:rFonts w:ascii="Times New Roman" w:cs="Times New Roman" w:eastAsia="Times New Roman" w:hAnsi="Times New Roman"/>
                <w:sz w:val="21"/>
                <w:szCs w:val="21"/>
                <w:color w:val="auto"/>
                <w:vertAlign w:val="superscript"/>
              </w:rPr>
              <w:t>(3)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108,617</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82,325</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99,836</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21.3%</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317,329</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283,443</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Commercial loans </w:t>
            </w:r>
            <w:r>
              <w:rPr>
                <w:rFonts w:ascii="Times New Roman" w:cs="Times New Roman" w:eastAsia="Times New Roman" w:hAnsi="Times New Roman"/>
                <w:sz w:val="21"/>
                <w:szCs w:val="21"/>
                <w:color w:val="auto"/>
                <w:vertAlign w:val="superscript"/>
              </w:rPr>
              <w:t>(3)(4)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21,537</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10,448</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16,626</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59.1%</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-22.8%</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64,684</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45,052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-30.4%</w:t>
            </w:r>
          </w:p>
        </w:tc>
        <w:tc>
          <w:tcPr>
            <w:tcW w:w="0" w:type="dxa"/>
            <w:vAlign w:val="bottom"/>
          </w:tcPr>
          <w:p>
            <w:pPr>
              <w:spacing w:after="0"/>
              <w:rPr>
                <w:sz w:val="1"/>
                <w:szCs w:val="1"/>
                <w:color w:val="auto"/>
              </w:rPr>
            </w:pPr>
          </w:p>
        </w:tc>
      </w:tr>
      <w:tr>
        <w:trPr>
          <w:trHeight w:val="148"/>
        </w:trPr>
        <w:tc>
          <w:tcPr>
            <w:tcW w:w="30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trade (3)</w:t>
            </w:r>
          </w:p>
        </w:tc>
        <w:tc>
          <w:tcPr>
            <w:tcW w:w="104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13,809</w:t>
            </w: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9,960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12,079</w:t>
            </w:r>
          </w:p>
        </w:tc>
        <w:tc>
          <w:tcPr>
            <w:tcW w:w="20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020" w:type="dxa"/>
            <w:vAlign w:val="bottom"/>
            <w:gridSpan w:val="2"/>
            <w:shd w:val="clear" w:color="auto" w:fill="CCEEFF"/>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42,606</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33,615</w:t>
            </w:r>
          </w:p>
        </w:tc>
        <w:tc>
          <w:tcPr>
            <w:tcW w:w="1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89"/>
        </w:trPr>
        <w:tc>
          <w:tcPr>
            <w:tcW w:w="3060" w:type="dxa"/>
            <w:vAlign w:val="bottom"/>
            <w:gridSpan w:val="2"/>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Corporate finance and mutual funds </w:t>
            </w:r>
            <w:r>
              <w:rPr>
                <w:rFonts w:ascii="Times New Roman" w:cs="Times New Roman" w:eastAsia="Times New Roman" w:hAnsi="Times New Roman"/>
                <w:sz w:val="21"/>
                <w:szCs w:val="21"/>
                <w:color w:val="auto"/>
                <w:vertAlign w:val="superscript"/>
              </w:rPr>
              <w:t>(4)</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15,889</w:t>
            </w:r>
          </w:p>
        </w:tc>
        <w:tc>
          <w:tcPr>
            <w:tcW w:w="160" w:type="dxa"/>
            <w:vAlign w:val="bottom"/>
          </w:tcPr>
          <w:p>
            <w:pPr>
              <w:spacing w:after="0"/>
              <w:rPr>
                <w:sz w:val="16"/>
                <w:szCs w:val="16"/>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12,151</w:t>
            </w:r>
          </w:p>
        </w:tc>
        <w:tc>
          <w:tcPr>
            <w:tcW w:w="1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13,162</w:t>
            </w:r>
          </w:p>
        </w:tc>
        <w:tc>
          <w:tcPr>
            <w:tcW w:w="200" w:type="dxa"/>
            <w:vAlign w:val="bottom"/>
          </w:tcPr>
          <w:p>
            <w:pPr>
              <w:spacing w:after="0"/>
              <w:rPr>
                <w:sz w:val="16"/>
                <w:szCs w:val="16"/>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8.3%</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-17.2%</w:t>
            </w:r>
          </w:p>
        </w:tc>
        <w:tc>
          <w:tcPr>
            <w:tcW w:w="100" w:type="dxa"/>
            <w:vAlign w:val="bottom"/>
          </w:tcPr>
          <w:p>
            <w:pPr>
              <w:spacing w:after="0"/>
              <w:rPr>
                <w:sz w:val="16"/>
                <w:szCs w:val="16"/>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52,761</w:t>
            </w:r>
          </w:p>
        </w:tc>
        <w:tc>
          <w:tcPr>
            <w:tcW w:w="10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41,986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-20.4%</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ASB </w:t>
            </w:r>
            <w:r>
              <w:rPr>
                <w:rFonts w:ascii="Times New Roman" w:cs="Times New Roman" w:eastAsia="Times New Roman" w:hAnsi="Times New Roman"/>
                <w:sz w:val="21"/>
                <w:szCs w:val="21"/>
                <w:color w:val="auto"/>
                <w:vertAlign w:val="superscript"/>
              </w:rPr>
              <w:t>(4)</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11,923</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6,772</w:t>
            </w:r>
          </w:p>
        </w:tc>
        <w:tc>
          <w:tcPr>
            <w:tcW w:w="1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10,024</w:t>
            </w:r>
          </w:p>
        </w:tc>
        <w:tc>
          <w:tcPr>
            <w:tcW w:w="20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48.0%</w:t>
            </w:r>
          </w:p>
        </w:tc>
        <w:tc>
          <w:tcPr>
            <w:tcW w:w="102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34,110</w:t>
            </w:r>
          </w:p>
        </w:tc>
        <w:tc>
          <w:tcPr>
            <w:tcW w:w="1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25,208</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0" w:type="dxa"/>
            <w:vAlign w:val="bottom"/>
          </w:tcPr>
          <w:p>
            <w:pPr>
              <w:spacing w:after="0"/>
              <w:rPr>
                <w:sz w:val="1"/>
                <w:szCs w:val="1"/>
                <w:color w:val="auto"/>
              </w:rPr>
            </w:pPr>
          </w:p>
        </w:tc>
      </w:tr>
      <w:tr>
        <w:trPr>
          <w:trHeight w:val="203"/>
        </w:trPr>
        <w:tc>
          <w:tcPr>
            <w:tcW w:w="3060" w:type="dxa"/>
            <w:vAlign w:val="bottom"/>
            <w:gridSpan w:val="2"/>
          </w:tcPr>
          <w:p>
            <w:pPr>
              <w:spacing w:after="0" w:line="202" w:lineRule="exact"/>
              <w:rPr>
                <w:sz w:val="20"/>
                <w:szCs w:val="20"/>
                <w:color w:val="auto"/>
              </w:rPr>
            </w:pPr>
            <w:r>
              <w:rPr>
                <w:rFonts w:ascii="Times New Roman" w:cs="Times New Roman" w:eastAsia="Times New Roman" w:hAnsi="Times New Roman"/>
                <w:sz w:val="14"/>
                <w:szCs w:val="14"/>
                <w:color w:val="auto"/>
              </w:rPr>
              <w:t xml:space="preserve">Others </w:t>
            </w:r>
            <w:r>
              <w:rPr>
                <w:rFonts w:ascii="Times New Roman" w:cs="Times New Roman" w:eastAsia="Times New Roman" w:hAnsi="Times New Roman"/>
                <w:sz w:val="23"/>
                <w:szCs w:val="23"/>
                <w:color w:val="auto"/>
                <w:vertAlign w:val="superscript"/>
              </w:rPr>
              <w:t>(4)(5)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80,254</w:t>
            </w:r>
          </w:p>
        </w:tc>
        <w:tc>
          <w:tcPr>
            <w:tcW w:w="160" w:type="dxa"/>
            <w:vAlign w:val="bottom"/>
          </w:tcPr>
          <w:p>
            <w:pPr>
              <w:spacing w:after="0"/>
              <w:rPr>
                <w:sz w:val="17"/>
                <w:szCs w:val="17"/>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29,633</w:t>
            </w:r>
          </w:p>
        </w:tc>
        <w:tc>
          <w:tcPr>
            <w:tcW w:w="10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34,793</w:t>
            </w:r>
          </w:p>
        </w:tc>
        <w:tc>
          <w:tcPr>
            <w:tcW w:w="200" w:type="dxa"/>
            <w:vAlign w:val="bottom"/>
          </w:tcPr>
          <w:p>
            <w:pPr>
              <w:spacing w:after="0"/>
              <w:rPr>
                <w:sz w:val="17"/>
                <w:szCs w:val="17"/>
                <w:color w:val="auto"/>
              </w:rPr>
            </w:pPr>
          </w:p>
        </w:tc>
        <w:tc>
          <w:tcPr>
            <w:tcW w:w="84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17.4%</w:t>
            </w:r>
          </w:p>
        </w:tc>
        <w:tc>
          <w:tcPr>
            <w:tcW w:w="10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-56.6%</w:t>
            </w:r>
          </w:p>
        </w:tc>
        <w:tc>
          <w:tcPr>
            <w:tcW w:w="100" w:type="dxa"/>
            <w:vAlign w:val="bottom"/>
          </w:tcPr>
          <w:p>
            <w:pPr>
              <w:spacing w:after="0"/>
              <w:rPr>
                <w:sz w:val="17"/>
                <w:szCs w:val="17"/>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223,472</w:t>
            </w:r>
          </w:p>
        </w:tc>
        <w:tc>
          <w:tcPr>
            <w:tcW w:w="10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126,492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-43.4%</w:t>
            </w:r>
          </w:p>
        </w:tc>
        <w:tc>
          <w:tcPr>
            <w:tcW w:w="0" w:type="dxa"/>
            <w:vAlign w:val="bottom"/>
          </w:tcPr>
          <w:p>
            <w:pPr>
              <w:spacing w:after="0"/>
              <w:rPr>
                <w:sz w:val="1"/>
                <w:szCs w:val="1"/>
                <w:color w:val="auto"/>
              </w:rPr>
            </w:pPr>
          </w:p>
        </w:tc>
      </w:tr>
      <w:tr>
        <w:trPr>
          <w:trHeight w:val="142"/>
        </w:trPr>
        <w:tc>
          <w:tcPr>
            <w:tcW w:w="306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fee income</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704,940</w:t>
            </w: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409,332</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601,968</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5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47.1</w:t>
            </w:r>
          </w:p>
        </w:tc>
        <w:tc>
          <w:tcPr>
            <w:tcW w:w="260" w:type="dxa"/>
            <w:vAlign w:val="bottom"/>
            <w:tcBorders>
              <w:top w:val="single" w:sz="8" w:color="CCEEFF"/>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-14.6</w:t>
            </w:r>
          </w:p>
        </w:tc>
        <w:tc>
          <w:tcPr>
            <w:tcW w:w="2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6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2,044,506</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1,648,368</w:t>
            </w: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-19.4</w:t>
            </w:r>
          </w:p>
        </w:tc>
        <w:tc>
          <w:tcPr>
            <w:tcW w:w="140" w:type="dxa"/>
            <w:vAlign w:val="bottom"/>
            <w:tcBorders>
              <w:top w:val="single" w:sz="8" w:color="CCEEFF"/>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0" w:type="dxa"/>
            <w:vAlign w:val="bottom"/>
          </w:tcPr>
          <w:p>
            <w:pPr>
              <w:spacing w:after="0"/>
              <w:rPr>
                <w:sz w:val="1"/>
                <w:szCs w:val="1"/>
                <w:color w:val="auto"/>
              </w:rPr>
            </w:pP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Source: BCP</w:t>
      </w:r>
    </w:p>
    <w:p>
      <w:pPr>
        <w:ind w:left="220" w:hanging="212"/>
        <w:spacing w:after="0" w:line="229" w:lineRule="auto"/>
        <w:tabs>
          <w:tab w:leader="none" w:pos="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Saving accounts, current accounts, debit card and master account.</w:t>
      </w:r>
    </w:p>
    <w:p>
      <w:pPr>
        <w:ind w:left="220" w:hanging="212"/>
        <w:spacing w:after="0" w:line="221" w:lineRule="auto"/>
        <w:tabs>
          <w:tab w:leader="none" w:pos="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Mainly Retail fees.</w:t>
      </w:r>
    </w:p>
    <w:p>
      <w:pPr>
        <w:ind w:left="220" w:hanging="212"/>
        <w:spacing w:after="0" w:line="221" w:lineRule="auto"/>
        <w:tabs>
          <w:tab w:leader="none" w:pos="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Mainly Wholesale fees.</w:t>
      </w:r>
    </w:p>
    <w:p>
      <w:pPr>
        <w:ind w:left="220" w:hanging="212"/>
        <w:spacing w:after="0" w:line="221" w:lineRule="auto"/>
        <w:tabs>
          <w:tab w:leader="none" w:pos="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differ from previously reported, please consider the data presented on this report.</w:t>
      </w:r>
    </w:p>
    <w:p>
      <w:pPr>
        <w:ind w:left="220" w:hanging="212"/>
        <w:spacing w:after="0"/>
        <w:tabs>
          <w:tab w:leader="none" w:pos="2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fees from BCP Bolivia, Mibanco, network usage and other services to third parties, among others.</w:t>
      </w:r>
    </w:p>
    <w:p>
      <w:pPr>
        <w:spacing w:after="0" w:line="18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QoQ analysis</w:t>
      </w:r>
      <w:r>
        <w:rPr>
          <w:rFonts w:ascii="Times New Roman" w:cs="Times New Roman" w:eastAsia="Times New Roman" w:hAnsi="Times New Roman"/>
          <w:sz w:val="18"/>
          <w:szCs w:val="18"/>
          <w:color w:val="auto"/>
        </w:rPr>
        <w:t>, fee income in the banking business expanded +47.1% QoQ. This was attributable to growth in all items with the exception of Letters of Guarantee, which presented a slight reduction of -1.6%. The items that posted the highest growth this quarter were:</w:t>
      </w:r>
    </w:p>
    <w:p>
      <w:pPr>
        <w:spacing w:after="0" w:line="155" w:lineRule="exact"/>
        <w:rPr>
          <w:sz w:val="20"/>
          <w:szCs w:val="20"/>
          <w:color w:val="auto"/>
        </w:rPr>
      </w:pPr>
    </w:p>
    <w:p>
      <w:pPr>
        <w:jc w:val="both"/>
        <w:ind w:left="880" w:hanging="494"/>
        <w:spacing w:after="0" w:line="268"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accounts</w:t>
      </w:r>
      <w:r>
        <w:rPr>
          <w:rFonts w:ascii="Times New Roman" w:cs="Times New Roman" w:eastAsia="Times New Roman" w:hAnsi="Times New Roman"/>
          <w:sz w:val="18"/>
          <w:szCs w:val="18"/>
          <w:color w:val="auto"/>
        </w:rPr>
        <w:t>, which registered growth of +43.4% that was primarily driven by (i) Debit cards, due to an increase in merchant-fee,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replacement and cash withdrawals and to a lesser extent to an improvement in the results of (ii) Savings accounts and (iii) Current accounts. Expansion in current accounts was attributable to an increase in income for account maintenance and growth in transactions.</w:t>
      </w:r>
    </w:p>
    <w:p>
      <w:pPr>
        <w:spacing w:after="0" w:line="170"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Credit cards</w:t>
      </w:r>
      <w:r>
        <w:rPr>
          <w:rFonts w:ascii="Times New Roman" w:cs="Times New Roman" w:eastAsia="Times New Roman" w:hAnsi="Times New Roman"/>
          <w:sz w:val="18"/>
          <w:szCs w:val="18"/>
          <w:color w:val="auto"/>
        </w:rPr>
        <w:t>, due to (i) merchant-fee, which collected higher fees from establishments due to a decrease in billing levels and (ii) membership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fees (which were suspended in 2Q20).</w:t>
      </w:r>
    </w:p>
    <w:p>
      <w:pPr>
        <w:spacing w:after="0" w:line="154" w:lineRule="exact"/>
        <w:rPr>
          <w:rFonts w:ascii="Times New Roman" w:cs="Times New Roman" w:eastAsia="Times New Roman" w:hAnsi="Times New Roman"/>
          <w:sz w:val="18"/>
          <w:szCs w:val="18"/>
          <w:color w:val="auto"/>
        </w:rPr>
      </w:pPr>
    </w:p>
    <w:p>
      <w:pPr>
        <w:ind w:left="880" w:hanging="494"/>
        <w:spacing w:after="0" w:line="286" w:lineRule="auto"/>
        <w:tabs>
          <w:tab w:leader="none" w:pos="8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Drafts and transfers</w:t>
      </w:r>
      <w:r>
        <w:rPr>
          <w:rFonts w:ascii="Times New Roman" w:cs="Times New Roman" w:eastAsia="Times New Roman" w:hAnsi="Times New Roman"/>
          <w:sz w:val="18"/>
          <w:szCs w:val="18"/>
          <w:color w:val="auto"/>
        </w:rPr>
        <w:t>, due to an increase in fees from (i) national transfers through savings and current accounts, (ii) foreign transfers and (iii)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inter-bank transfers.</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 xml:space="preserve">In the </w:t>
      </w:r>
      <w:r>
        <w:rPr>
          <w:rFonts w:ascii="Times New Roman" w:cs="Times New Roman" w:eastAsia="Times New Roman" w:hAnsi="Times New Roman"/>
          <w:sz w:val="18"/>
          <w:szCs w:val="18"/>
          <w:b w:val="1"/>
          <w:bCs w:val="1"/>
          <w:color w:val="auto"/>
        </w:rPr>
        <w:t>YoY and YTD analysis</w:t>
      </w:r>
      <w:r>
        <w:rPr>
          <w:rFonts w:ascii="Times New Roman" w:cs="Times New Roman" w:eastAsia="Times New Roman" w:hAnsi="Times New Roman"/>
          <w:sz w:val="18"/>
          <w:szCs w:val="18"/>
          <w:color w:val="auto"/>
        </w:rPr>
        <w:t>, the contractions of -14.6% and -19.4% respectively were attributable to decreases in (i) Others, which was mainly driven by the decrease in fees at Mibanco after income from obligatory and optional insurance for loans dropped, in line with a decrease in loan disbursements and in late fee charges, (ii) Credit cards, due to a decrease in merchant-fee fees after a drop in consumption and (iii) Miscellaneous accounts, which was mainly spurred by a reduction in income from debit cards.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It is important to note that the variations in 2020 vs 2019 are due, in their vast majority, to the impact of the pandemic and quarantine measures in place from mid-March until the end of June, which greatly affected transactional and commercial activity. Non-financial income was also affected by the holding’s decision to offer the clients at each subsidiary different facilities and fee exemptions to weather the impact of the crisis. Lastly, although fee income was also adversely affected by client migration to digital and cost-efficient channels, this is part of a larger strategy to build a more profitable and efficient client service network.</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6. Insurance Underwriting Result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insurance underwriting result registered a decrease of 103.2% QoQ, which was mainly attributable to an increase in claims in both the Life and P&amp;C businesses and to a lesser extent, to an increase in acquisition cost in both businesses; this result was mitigated by an increase in net earned premiums in both businesses. In the YoY analysis, the underwriting result fell 103.5% due to an increase in claims in life insurance and a decrease in net premiums in both businesses, which was offset by a decrease in P&amp;C’s acquisition cost.</w:t>
      </w:r>
    </w:p>
    <w:p>
      <w:pPr>
        <w:spacing w:after="0" w:line="18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YTD, the underwriting result fell 22.5% due to a decrease in life insurance, which was mitigated by the result in P&amp;C. In the life business, the decrease in the result was driven by an increase in reported claims and in fees while in the P&amp;C business, the increase in the underwriting results was attributable to a drop in claims.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 000</w:t>
            </w:r>
          </w:p>
        </w:tc>
        <w:tc>
          <w:tcPr>
            <w:tcW w:w="120" w:type="dxa"/>
            <w:vAlign w:val="bottom"/>
            <w:vMerge w:val="restart"/>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4"/>
                <w:szCs w:val="14"/>
                <w:color w:val="auto"/>
              </w:rPr>
              <w:t>% change</w:t>
            </w: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740"/>
              <w:spacing w:after="0"/>
              <w:rPr>
                <w:sz w:val="20"/>
                <w:szCs w:val="20"/>
                <w:color w:val="auto"/>
              </w:rPr>
            </w:pPr>
            <w:r>
              <w:rPr>
                <w:rFonts w:ascii="Times New Roman" w:cs="Times New Roman" w:eastAsia="Times New Roman" w:hAnsi="Times New Roman"/>
                <w:sz w:val="14"/>
                <w:szCs w:val="14"/>
                <w:color w:val="auto"/>
              </w:rPr>
              <w:t>YTD</w:t>
            </w: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auto"/>
            </w:tcBorders>
            <w:vMerge w:val="continue"/>
          </w:tcPr>
          <w:p>
            <w:pPr>
              <w:spacing w:after="0"/>
              <w:rPr>
                <w:sz w:val="12"/>
                <w:szCs w:val="12"/>
                <w:color w:val="auto"/>
              </w:rPr>
            </w:pPr>
          </w:p>
        </w:tc>
        <w:tc>
          <w:tcPr>
            <w:tcW w:w="120" w:type="dxa"/>
            <w:vAlign w:val="bottom"/>
            <w:tcBorders>
              <w:bottom w:val="single" w:sz="8" w:color="CCEEFF"/>
            </w:tcBorders>
            <w:vMerge w:val="continue"/>
          </w:tcPr>
          <w:p>
            <w:pPr>
              <w:spacing w:after="0"/>
              <w:rPr>
                <w:sz w:val="12"/>
                <w:szCs w:val="12"/>
                <w:color w:val="auto"/>
              </w:rPr>
            </w:pPr>
          </w:p>
        </w:tc>
        <w:tc>
          <w:tcPr>
            <w:tcW w:w="800" w:type="dxa"/>
            <w:vAlign w:val="bottom"/>
            <w:tcBorders>
              <w:top w:val="single" w:sz="8" w:color="auto"/>
              <w:bottom w:val="single" w:sz="8" w:color="auto"/>
            </w:tcBorders>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3Q19</w:t>
            </w: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2Q20</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3Q20</w:t>
            </w:r>
          </w:p>
        </w:tc>
        <w:tc>
          <w:tcPr>
            <w:tcW w:w="20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Sep 19</w:t>
            </w: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Sep 20</w:t>
            </w: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earned premiums</w:t>
            </w: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604,877</w:t>
            </w: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552,061</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595,394</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7.8%</w:t>
            </w:r>
          </w:p>
        </w:tc>
        <w:tc>
          <w:tcPr>
            <w:tcW w:w="1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1,773,665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1,775,391</w:t>
            </w:r>
          </w:p>
        </w:tc>
        <w:tc>
          <w:tcPr>
            <w:tcW w:w="2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30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Net claims</w:t>
            </w: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(385,487)</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(328,783)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(513,091)</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1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(1,143,992)</w:t>
            </w:r>
          </w:p>
        </w:tc>
        <w:tc>
          <w:tcPr>
            <w:tcW w:w="100" w:type="dxa"/>
            <w:vAlign w:val="bottom"/>
          </w:tcPr>
          <w:p>
            <w:pPr>
              <w:spacing w:after="0"/>
              <w:rPr>
                <w:sz w:val="12"/>
                <w:szCs w:val="12"/>
                <w:color w:val="auto"/>
              </w:rPr>
            </w:pP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(1,215,375)</w:t>
            </w:r>
          </w:p>
        </w:tc>
        <w:tc>
          <w:tcPr>
            <w:tcW w:w="11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306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Acquisition cost </w:t>
            </w:r>
            <w:r>
              <w:rPr>
                <w:rFonts w:ascii="Times New Roman" w:cs="Times New Roman" w:eastAsia="Times New Roman" w:hAnsi="Times New Roman"/>
                <w:sz w:val="21"/>
                <w:szCs w:val="21"/>
                <w:color w:val="auto"/>
                <w:vertAlign w:val="superscript"/>
              </w:rPr>
              <w:t>(2)</w:t>
            </w:r>
          </w:p>
        </w:tc>
        <w:tc>
          <w:tcPr>
            <w:tcW w:w="10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(94,239)</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(87,598)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(86,643)</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(277,186)</w:t>
            </w:r>
          </w:p>
        </w:tc>
        <w:tc>
          <w:tcPr>
            <w:tcW w:w="1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(286,749)</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30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insurance underwriting result</w:t>
            </w:r>
          </w:p>
        </w:tc>
        <w:tc>
          <w:tcPr>
            <w:tcW w:w="8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3060" w:type="dxa"/>
            <w:vAlign w:val="bottom"/>
            <w:gridSpan w:val="2"/>
            <w:vMerge w:val="continue"/>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125,151</w:t>
            </w:r>
          </w:p>
        </w:tc>
        <w:tc>
          <w:tcPr>
            <w:tcW w:w="240" w:type="dxa"/>
            <w:vAlign w:val="bottom"/>
            <w:vMerge w:val="continue"/>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135,680</w:t>
            </w:r>
          </w:p>
        </w:tc>
        <w:tc>
          <w:tcPr>
            <w:tcW w:w="220" w:type="dxa"/>
            <w:vAlign w:val="bottom"/>
            <w:vMerge w:val="continue"/>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(4,340)</w:t>
            </w:r>
          </w:p>
        </w:tc>
        <w:tc>
          <w:tcPr>
            <w:tcW w:w="200" w:type="dxa"/>
            <w:vAlign w:val="bottom"/>
            <w:vMerge w:val="continue"/>
          </w:tcPr>
          <w:p>
            <w:pPr>
              <w:spacing w:after="0"/>
              <w:rPr>
                <w:sz w:val="12"/>
                <w:szCs w:val="12"/>
                <w:color w:val="auto"/>
              </w:rPr>
            </w:pPr>
          </w:p>
        </w:tc>
        <w:tc>
          <w:tcPr>
            <w:tcW w:w="10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-103.2%</w:t>
            </w:r>
          </w:p>
        </w:tc>
        <w:tc>
          <w:tcPr>
            <w:tcW w:w="180" w:type="dxa"/>
            <w:vAlign w:val="bottom"/>
          </w:tcPr>
          <w:p>
            <w:pPr>
              <w:spacing w:after="0"/>
              <w:rPr>
                <w:sz w:val="12"/>
                <w:szCs w:val="12"/>
                <w:color w:val="auto"/>
              </w:rPr>
            </w:pPr>
          </w:p>
        </w:tc>
        <w:tc>
          <w:tcPr>
            <w:tcW w:w="8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-103.5%</w:t>
            </w: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352,487</w:t>
            </w:r>
          </w:p>
        </w:tc>
        <w:tc>
          <w:tcPr>
            <w:tcW w:w="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273,267</w:t>
            </w:r>
          </w:p>
        </w:tc>
        <w:tc>
          <w:tcPr>
            <w:tcW w:w="220" w:type="dxa"/>
            <w:vAlign w:val="bottom"/>
            <w:vMerge w:val="continue"/>
          </w:tcPr>
          <w:p>
            <w:pPr>
              <w:spacing w:after="0"/>
              <w:rPr>
                <w:sz w:val="12"/>
                <w:szCs w:val="12"/>
                <w:color w:val="auto"/>
              </w:rPr>
            </w:pPr>
          </w:p>
        </w:tc>
        <w:tc>
          <w:tcPr>
            <w:tcW w:w="11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-22.5%</w:t>
            </w: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1">
            <w:col w:w="11240"/>
          </w:cols>
          <w:pgMar w:left="320" w:top="900" w:right="339" w:bottom="1440" w:gutter="0" w:footer="0" w:header="0"/>
        </w:sectPr>
      </w:pPr>
    </w:p>
    <w:p>
      <w:pPr>
        <w:ind w:left="220" w:hanging="212"/>
        <w:spacing w:after="0"/>
        <w:tabs>
          <w:tab w:leader="none" w:pos="2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results of the Life, Property &amp; Casualty and Crediseguros business</w:t>
      </w:r>
    </w:p>
    <w:p>
      <w:pPr>
        <w:spacing w:after="0" w:line="3" w:lineRule="exact"/>
        <w:rPr>
          <w:rFonts w:ascii="Times New Roman" w:cs="Times New Roman" w:eastAsia="Times New Roman" w:hAnsi="Times New Roman"/>
          <w:sz w:val="14"/>
          <w:szCs w:val="14"/>
          <w:color w:val="auto"/>
        </w:rPr>
      </w:pPr>
    </w:p>
    <w:p>
      <w:pPr>
        <w:ind w:left="220" w:hanging="212"/>
        <w:spacing w:after="0"/>
        <w:tabs>
          <w:tab w:leader="none" w:pos="220"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net fees and underwriting expenses.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6.1. Life Insurance</w:t>
      </w:r>
    </w:p>
    <w:p>
      <w:pPr>
        <w:spacing w:after="0" w:line="225"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Life insurance total premiums</w:t>
      </w:r>
    </w:p>
    <w:p>
      <w:pPr>
        <w:spacing w:after="0" w:line="54"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154305</wp:posOffset>
            </wp:positionV>
            <wp:extent cx="6557645" cy="21005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57645" cy="21005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7"/>
          <w:szCs w:val="17"/>
          <w:b w:val="1"/>
          <w:bCs w:val="1"/>
          <w:color w:val="auto"/>
        </w:rPr>
        <w:t xml:space="preserve">Life insurance net earned premiums </w:t>
      </w:r>
      <w:r>
        <w:rPr>
          <w:rFonts w:ascii="Times New Roman" w:cs="Times New Roman" w:eastAsia="Times New Roman" w:hAnsi="Times New Roman"/>
          <w:sz w:val="28"/>
          <w:szCs w:val="28"/>
          <w:b w:val="1"/>
          <w:bCs w:val="1"/>
          <w:color w:val="auto"/>
          <w:vertAlign w:val="superscript"/>
        </w:rPr>
        <w:t>(1)</w:t>
      </w:r>
    </w:p>
    <w:p>
      <w:pPr>
        <w:jc w:val="center"/>
        <w:ind w:right="1220"/>
        <w:spacing w:after="0"/>
        <w:rPr>
          <w:sz w:val="20"/>
          <w:szCs w:val="20"/>
          <w:color w:val="auto"/>
        </w:rPr>
      </w:pPr>
      <w:r>
        <w:rPr>
          <w:rFonts w:ascii="Times New Roman" w:cs="Times New Roman" w:eastAsia="Times New Roman" w:hAnsi="Times New Roman"/>
          <w:sz w:val="18"/>
          <w:szCs w:val="18"/>
          <w:color w:val="auto"/>
        </w:rPr>
        <w:t>(S/ millions)</w:t>
      </w:r>
    </w:p>
    <w:p>
      <w:pPr>
        <w:spacing w:after="0" w:line="200" w:lineRule="exact"/>
        <w:rPr>
          <w:sz w:val="20"/>
          <w:szCs w:val="20"/>
          <w:color w:val="auto"/>
        </w:rPr>
      </w:pPr>
    </w:p>
    <w:p>
      <w:pPr>
        <w:sectPr>
          <w:pgSz w:w="11900" w:h="16838" w:orient="portrait"/>
          <w:cols w:equalWidth="0" w:num="2">
            <w:col w:w="6300" w:space="720"/>
            <w:col w:w="4220"/>
          </w:cols>
          <w:pgMar w:left="320" w:top="90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Total premiums without considering reinsurance nor reserve premiums.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premiums increased 10.5% QoQ, which was attributable to (i) Annuities, which was primarily due to an increase in sales of Renta Particular product;</w:t>
      </w:r>
    </w:p>
    <w:p>
      <w:pPr>
        <w:spacing w:after="0" w:line="27" w:lineRule="exact"/>
        <w:rPr>
          <w:sz w:val="20"/>
          <w:szCs w:val="20"/>
          <w:color w:val="auto"/>
        </w:rPr>
      </w:pPr>
    </w:p>
    <w:p>
      <w:pPr>
        <w:jc w:val="both"/>
        <w:ind w:firstLine="8"/>
        <w:spacing w:after="0" w:line="253" w:lineRule="auto"/>
        <w:tabs>
          <w:tab w:leader="none" w:pos="2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Life, due to an increase in the effectiveness of collections; growth in savings premiums; and the exchange rate effect; (iii) D&amp;S, due to provisions registered last quarter after collections of SISCO IV premiums dropped; (iv) Group Life, for the SCTR product (insurance for high-risk occupations), due to an uptick in economic activity and growth in mining policy renewals and Collective Life, after sales posted an uptick through the bancaassurance channel. The aforementioned was attenuated, to a lesser extent, by Credit Life after a decrease was reported in premium turnover in the bancaassurance channel.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earned premiums increased 9.0% for the same reasons outlined in the QoQ analysis.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net premiums increased 0.9%, which was mainly attributable to growth in Annuities and Individual Life, for the same reasons outlined in the QoQ analysis. This result was attenuated by a decrease in premiums in Credit Life after sales fell in the bancaassurance channel (Mibanco) due to a drop in consumer loans and in Group Life due to a decrease in sales in SCTR and Collective Life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earned premiums declined 0.6% due to an increase in reserves, which was attributable to an increase in total premiums.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39" w:name="page40"/>
    <w:bookmarkEnd w:id="39"/>
    <w:p>
      <w:pPr>
        <w:jc w:val="both"/>
        <w:spacing w:after="0" w:line="258" w:lineRule="auto"/>
        <w:rPr>
          <w:sz w:val="20"/>
          <w:szCs w:val="20"/>
          <w:color w:val="auto"/>
        </w:rPr>
      </w:pPr>
      <w:r>
        <w:rPr>
          <w:rFonts w:ascii="Times New Roman" w:cs="Times New Roman" w:eastAsia="Times New Roman" w:hAnsi="Times New Roman"/>
          <w:sz w:val="18"/>
          <w:szCs w:val="18"/>
          <w:color w:val="auto"/>
        </w:rPr>
        <w:t>YTD, in the year 2020 total premiums fell 2.5%, which was primarily due to the impact of the quarantine on (i) Annuities, due to a decrease in new sales in Renta Particular product; (ii) Credit Life due to a decrease in premium production in the bancaassurance channel (Mibanco); (iii) D&amp;S explained by provisions of lower estimated collections of premiums in SISCO IV (iv) Group Life, due to a decrease in new sales for SCTR in the second quarter and for Collective Life. The aforementioned was mitigated by an increase in premiums in Individual Life due to an increase in the collections; growth in savings premiums; and an increase in the exchange 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earned premiums increased 2.3% due to a reserve decreased, in line with a drop in total premiums.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 insurance net claims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1282065</wp:posOffset>
            </wp:positionH>
            <wp:positionV relativeFrom="paragraph">
              <wp:posOffset>142875</wp:posOffset>
            </wp:positionV>
            <wp:extent cx="4551680" cy="21088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55168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Net claims grew 56.2% QoQ, which was attributable to an increase in deaths due to COVID-19 and to an increase in incurred but not reported claims (IBNR) in the COVID-19 context, particularly in D&amp;S, Credit Life, Group Life and to a lesser extent, in Individual Life, and to the evolution in Annuities, due to an uptick in payments due to an increase in the policy stock that are being paid.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April 2020, the IBNR level in Life businesses increased considerably with regard to previous periods due to two factors: a delay in reporting of regular claims due to social immobility during the quarantine and to the increase in estimated deaths of our insured due to excess mortality in the context of the pandemic.</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the YoY analysis, net claims increased 67.3%, which was mainly attributable to Credit Life, D &amp; S, Group Life and Individual Life, for the reasons outlined in the QoQ analysis and to Annuities, due to an increase in pension payments for individual annuities.</w:t>
      </w:r>
    </w:p>
    <w:p>
      <w:pPr>
        <w:sectPr>
          <w:pgSz w:w="11900" w:h="16838" w:orient="portrait"/>
          <w:cols w:equalWidth="0" w:num="1">
            <w:col w:w="11240"/>
          </w:cols>
          <w:pgMar w:left="320" w:top="904"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YTD, claims grew 29.1%, for the reasons outlined in the YoY analysis.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6.2. Property and Casualty Insurance</w:t>
      </w:r>
    </w:p>
    <w:p>
      <w:pPr>
        <w:spacing w:after="0" w:line="22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Property and Casualty total premiums</w:t>
      </w:r>
    </w:p>
    <w:p>
      <w:pPr>
        <w:spacing w:after="0" w:line="5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154305</wp:posOffset>
            </wp:positionV>
            <wp:extent cx="6566535" cy="18084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566535" cy="180848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b w:val="1"/>
          <w:bCs w:val="1"/>
          <w:color w:val="auto"/>
        </w:rPr>
        <w:t>Property and Casualty net earned premiums</w:t>
      </w:r>
      <w:r>
        <w:rPr>
          <w:rFonts w:ascii="Times New Roman" w:cs="Times New Roman" w:eastAsia="Times New Roman" w:hAnsi="Times New Roman"/>
          <w:sz w:val="28"/>
          <w:szCs w:val="28"/>
          <w:b w:val="1"/>
          <w:bCs w:val="1"/>
          <w:color w:val="auto"/>
          <w:vertAlign w:val="superscript"/>
        </w:rPr>
        <w:t>(1)</w:t>
      </w:r>
    </w:p>
    <w:p>
      <w:pPr>
        <w:jc w:val="center"/>
        <w:ind w:right="1000"/>
        <w:spacing w:after="0"/>
        <w:rPr>
          <w:sz w:val="20"/>
          <w:szCs w:val="20"/>
          <w:color w:val="auto"/>
        </w:rPr>
      </w:pPr>
      <w:r>
        <w:rPr>
          <w:rFonts w:ascii="Times New Roman" w:cs="Times New Roman" w:eastAsia="Times New Roman" w:hAnsi="Times New Roman"/>
          <w:sz w:val="18"/>
          <w:szCs w:val="18"/>
          <w:color w:val="auto"/>
        </w:rPr>
        <w:t>(S/ millions)</w:t>
      </w:r>
    </w:p>
    <w:p>
      <w:pPr>
        <w:spacing w:after="0" w:line="200" w:lineRule="exact"/>
        <w:rPr>
          <w:sz w:val="20"/>
          <w:szCs w:val="20"/>
          <w:color w:val="auto"/>
        </w:rPr>
      </w:pPr>
    </w:p>
    <w:p>
      <w:pPr>
        <w:sectPr>
          <w:pgSz w:w="11900" w:h="16838" w:orient="portrait"/>
          <w:cols w:equalWidth="0" w:num="2">
            <w:col w:w="5920" w:space="720"/>
            <w:col w:w="460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Total premiums without considering reinsurance nor reserve premiums.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40" w:name="page41"/>
    <w:bookmarkEnd w:id="40"/>
    <w:p>
      <w:pPr>
        <w:jc w:val="both"/>
        <w:spacing w:after="0" w:line="258" w:lineRule="auto"/>
        <w:rPr>
          <w:sz w:val="20"/>
          <w:szCs w:val="20"/>
          <w:color w:val="auto"/>
        </w:rPr>
      </w:pPr>
      <w:r>
        <w:rPr>
          <w:rFonts w:ascii="Times New Roman" w:cs="Times New Roman" w:eastAsia="Times New Roman" w:hAnsi="Times New Roman"/>
          <w:sz w:val="18"/>
          <w:szCs w:val="18"/>
          <w:color w:val="auto"/>
        </w:rPr>
        <w:t>Total premiums fell 2.4% QoQ, which was attributable to (i) Commercial Lines, where premiums for renewal increased with regard to the level in 2Q20 in the fire and aviation lines. The aforementioned was mitigated by (i) Cars, due to an increase in new sales and renewals, which was mainly seen in the commercial and bancaassurance channels due to an uptick in economic activity; (ii) Personal Lines, due to an increase in new sales through the bancaassurance channel (iii) Medical Assistance, due to an increase in new sales of comprehensive products and (iv) SOAT, after new sales increased through the Brokers channel.</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earned premiums rose 7.0%, which was attributable to a decrease in ceded premiums in the Commercial Lines after facultative premiums fell and to an increase in the remainder of products for the reasons outlined in the QoQ analysis.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YoY analysis, total premiums decreased 3.2% due to (i) Commercial lines and via the fire segment after an increase in account renewals in 3Q19; (ii) Personal lines, driven by a decrease in new sales through the bancaassurance channel and a decrease in renewal premiums for student accident coverage after schools and universities were closed; and (iii) SOAT, due to a decrease in new sales through the Brokers channel. The aforementioned was mitigated by (i) Medical Assistance, due to an increase in new sales and renewals of comprehensive health products and (ii) Cars, which was attributable to new sales and renewals after clients were reimbursed for premiums (charged during the lockdown) and a campaign to offer benefits to holders of personal accident policies; the objective of both commercial initiatives aimed to improve new sales and client retention levels.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net earned premium level, the difference remained at 3.2%. This was primarily attributable to the evolution of Cars, where more reserves were set aside for current risks, Personal Lines and Commercial lines due to the reasons outlined above.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YTD analysis, in 2020 total premiums fell 8.2%. This decrease was driven mainly by Cars, given that new sales and renewals fell in 2Q20, and Commercial Lines, Personal Lines and SOAT, for the reasons outlined in the YoY analysis. The aforementioned was mitigated by Medical Assistance, which experienced an uptick in sales of oncological and comprehensive health products in the first few months of the year.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new earned premiums level, the difference fell 2.6%, which was primarily attributable to an increase in reserve releases for current risks after sales fell and fewer premiums were ceded in the Commercial Lines.</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Property &amp; Casualty net claims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1213485</wp:posOffset>
            </wp:positionH>
            <wp:positionV relativeFrom="paragraph">
              <wp:posOffset>142875</wp:posOffset>
            </wp:positionV>
            <wp:extent cx="4688840" cy="203136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68884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claims increased 49.5% QoQ, which was attributable to an uptick in economic activity in July, which led to an increase in the use of Medical Assistance products and to an increase in claims frequency in Cars and SOAT. This was mitigated by personal lines, after the fewer IBNR were set aside and lower cases were received through bancaassurance channel; and by the Commercial Lines, which reported an increase in claim severity in maritime hulls and in the technical lines on the last quarter.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analysis, net claims fell 20.7%. This decrease was seen across business lines but was particularly noteworthy for the Student Accident product given that schools and universities are closed; in Cars, after fewer claims were reported and claims management improved; Medical Assistance, due to a drop in the exposure levels of clients, who preferred to avoid attending clinics and a loss was reported in the corporate account due to high claims; SOAT, due to drop in the frequency of cases (motorcycles); and Commercial Lines, after reserves were released for claims in the dishonesty line.</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1" w:name="page42"/>
    <w:bookmarkEnd w:id="41"/>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YTD, claims decreased 27.6%, which was attributable to a decrease in the frequency of cases in all business lines for the reasons outlined in the YoY analysis.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6.3. Acquisition Cost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Acquisition cost per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1642110</wp:posOffset>
            </wp:positionH>
            <wp:positionV relativeFrom="paragraph">
              <wp:posOffset>142875</wp:posOffset>
            </wp:positionV>
            <wp:extent cx="3823335" cy="25628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233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Acquisition cost</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YTD</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286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 000</w:t>
            </w:r>
          </w:p>
        </w:tc>
        <w:tc>
          <w:tcPr>
            <w:tcW w:w="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18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180" w:type="dxa"/>
            <w:vAlign w:val="bottom"/>
            <w:tcBorders>
              <w:top w:val="single" w:sz="8" w:color="auto"/>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18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4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w w:val="87"/>
              </w:rPr>
              <w:t>YoY</w:t>
            </w:r>
          </w:p>
        </w:tc>
        <w:tc>
          <w:tcPr>
            <w:tcW w:w="240" w:type="dxa"/>
            <w:vAlign w:val="bottom"/>
            <w:tcBorders>
              <w:bottom w:val="single" w:sz="8" w:color="CCEEFF"/>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18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180" w:type="dxa"/>
            <w:vAlign w:val="bottom"/>
            <w:tcBorders>
              <w:bottom w:val="single" w:sz="8" w:color="CCEEFF"/>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tcPr>
          <w:p>
            <w:pPr>
              <w:spacing w:after="0"/>
              <w:rPr>
                <w:sz w:val="13"/>
                <w:szCs w:val="13"/>
                <w:color w:val="auto"/>
              </w:rPr>
            </w:pPr>
          </w:p>
        </w:tc>
      </w:tr>
      <w:tr>
        <w:trPr>
          <w:trHeight w:val="142"/>
        </w:trPr>
        <w:tc>
          <w:tcPr>
            <w:tcW w:w="28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fees</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(65,715)</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(49,084)</w:t>
            </w: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(59,652)</w:t>
            </w:r>
          </w:p>
        </w:tc>
        <w:tc>
          <w:tcPr>
            <w:tcW w:w="1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21.5%</w:t>
            </w:r>
          </w:p>
        </w:tc>
        <w:tc>
          <w:tcPr>
            <w:tcW w:w="2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-9.2%</w:t>
            </w:r>
          </w:p>
        </w:tc>
        <w:tc>
          <w:tcPr>
            <w:tcW w:w="7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(184,445)</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(175,387)</w:t>
            </w:r>
          </w:p>
        </w:tc>
        <w:tc>
          <w:tcPr>
            <w:tcW w:w="1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w:t>
            </w:r>
          </w:p>
        </w:tc>
      </w:tr>
      <w:tr>
        <w:trPr>
          <w:trHeight w:val="149"/>
        </w:trPr>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Underwriting expenses</w:t>
            </w: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(30,039)</w:t>
            </w: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(39,189)</w:t>
            </w: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(27,716)</w:t>
            </w:r>
          </w:p>
        </w:tc>
        <w:tc>
          <w:tcPr>
            <w:tcW w:w="98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-29.3%</w:t>
            </w:r>
          </w:p>
        </w:tc>
        <w:tc>
          <w:tcPr>
            <w:tcW w:w="240" w:type="dxa"/>
            <w:vAlign w:val="bottom"/>
          </w:tcPr>
          <w:p>
            <w:pPr>
              <w:spacing w:after="0"/>
              <w:rPr>
                <w:sz w:val="12"/>
                <w:szCs w:val="12"/>
                <w:color w:val="auto"/>
              </w:rPr>
            </w:pPr>
          </w:p>
        </w:tc>
        <w:tc>
          <w:tcPr>
            <w:tcW w:w="720" w:type="dxa"/>
            <w:vAlign w:val="bottom"/>
            <w:gridSpan w:val="2"/>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-7.7%</w:t>
            </w:r>
          </w:p>
        </w:tc>
        <w:tc>
          <w:tcPr>
            <w:tcW w:w="92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(113,851)</w:t>
            </w:r>
          </w:p>
        </w:tc>
        <w:tc>
          <w:tcPr>
            <w:tcW w:w="160" w:type="dxa"/>
            <w:vAlign w:val="bottom"/>
          </w:tcPr>
          <w:p>
            <w:pPr>
              <w:spacing w:after="0"/>
              <w:rPr>
                <w:sz w:val="12"/>
                <w:szCs w:val="12"/>
                <w:color w:val="auto"/>
              </w:rPr>
            </w:pPr>
          </w:p>
        </w:tc>
        <w:tc>
          <w:tcPr>
            <w:tcW w:w="760" w:type="dxa"/>
            <w:vAlign w:val="bottom"/>
            <w:gridSpan w:val="2"/>
          </w:tcPr>
          <w:p>
            <w:pPr>
              <w:jc w:val="right"/>
              <w:ind w:right="99"/>
              <w:spacing w:after="0" w:line="149" w:lineRule="exact"/>
              <w:rPr>
                <w:sz w:val="20"/>
                <w:szCs w:val="20"/>
                <w:color w:val="auto"/>
              </w:rPr>
            </w:pPr>
            <w:r>
              <w:rPr>
                <w:rFonts w:ascii="Times New Roman" w:cs="Times New Roman" w:eastAsia="Times New Roman" w:hAnsi="Times New Roman"/>
                <w:sz w:val="14"/>
                <w:szCs w:val="14"/>
                <w:color w:val="auto"/>
              </w:rPr>
              <w:t>(113,366)</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-0.4%</w:t>
            </w:r>
          </w:p>
        </w:tc>
      </w:tr>
      <w:tr>
        <w:trPr>
          <w:trHeight w:val="162"/>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Underwriting income</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1,514</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675</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725</w:t>
            </w:r>
          </w:p>
        </w:tc>
        <w:tc>
          <w:tcPr>
            <w:tcW w:w="98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7.4%</w:t>
            </w:r>
          </w:p>
        </w:tc>
        <w:tc>
          <w:tcPr>
            <w:tcW w:w="2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-52.1%</w:t>
            </w:r>
          </w:p>
        </w:tc>
        <w:tc>
          <w:tcPr>
            <w:tcW w:w="92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21,111</w:t>
            </w:r>
          </w:p>
        </w:tc>
        <w:tc>
          <w:tcPr>
            <w:tcW w:w="16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2,004</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r>
      <w:tr>
        <w:trPr>
          <w:trHeight w:val="142"/>
        </w:trPr>
        <w:tc>
          <w:tcPr>
            <w:tcW w:w="29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Acquisition cost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(94,239</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(87,598</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(86,643</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w:t>
            </w:r>
          </w:p>
        </w:tc>
        <w:tc>
          <w:tcPr>
            <w:tcW w:w="24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(277,186</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(286,749</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w:t>
            </w: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r>
      <w:tr>
        <w:trPr>
          <w:trHeight w:val="20"/>
        </w:trPr>
        <w:tc>
          <w:tcPr>
            <w:tcW w:w="2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acquisition cost fell 1.1% QoQ, which was attributable to a decrease in underwriting expenses given that provisions were higher in 2Q20; this drop was driven mainly by the Commercial Lines, Cars and Medical Assistance. The aforementioned was attenuated by an increase in fees in both businesses, in line with the increase seen in net premiums this quarter.</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the acquisition cost fell 8.1% due to a drop in fees in the Personal Lines and in Cars, which was attributable to a decrease in net premiums. To a lesser extent, underwriting expenses also fell, which was driven by Commercial Lines after profit sharing from previous periods was released.</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YTD the acquisition cost increased 3.5%. This was attributable to an increase in underwriting expenses, primarily due to Cars given that a total of 10 million Soles was returned to clients who were unable to use their vehicles during the lockdown and to an increase in reserves for uncollectible premiums in Cars, Commercial Lines and Medical Assistance and to an increase in uncollectible reinsurance premiums in Medical Assistance. The aforementioned was mitigated by a decrease in fees, which was associated with a decline in direct premiums in the P&amp;C business.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6.4 Underwriting Result by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Result by Business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1522095</wp:posOffset>
            </wp:positionH>
            <wp:positionV relativeFrom="paragraph">
              <wp:posOffset>142875</wp:posOffset>
            </wp:positionV>
            <wp:extent cx="4105910" cy="257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105910" cy="2571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QoQ analysis, the decrease in the underwriting result was attributable to life insurance and driven by (i) an increase in claims, mainly due to growth in reported cases and to a move to set aside more IBNR reserves for COVID-19, particularly in D &amp; S, Credit Life and Group Life; and (ii) the increase in the acquisition cost, which was spurred by growth in fees and in the underwriting result after releases of profit sharing and provisions for uncollectible premiums reported in the previous quarter; this was mitigated by an increase in premiums due to an uptick in economic activity. In P&amp;C, the decrease in the underwriting result was mainly due to higher claims in Medical Assistance and Cars, mitigated by higher premiums in all lines of business which was attributable to economic reactivation; and to a decrease in the acquisition cost, which was attributable to a drop in related provisions and to the reimbursement of premiums reported in the previous quarter in the Cars line.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analysis, the decrease in the underwriting result was attributable to life insurance and attenuated by P&amp;C. In Life insurance, the decline was attributable to the reasons outlined in the QoQ analysis and to a decrease in net premiums in Credit Life through the bancaassurance channel. In P&amp;C, in the increase in the underwriting result was attributable to a drop in claims and a decrease in acquisition costs after fees fell in line with a decrease in premiums.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YTD, the drop in the underwriting result was attributable to life insurance and attenuated by P&amp;C. In life insurance the decrease in the underwriting result was attributable to an increase in claims and in provisions due to COVID-19 and to an increase in fees in Credit Life, which was mitigated by an increase in net premiums in Annuities, Individual Life and Credit Life. In P&amp;C, the result was attributable to a decrease in claims after policyholders sought out fewer services due to social immobility measures. This result was attenuated by a decrease in the net earned premium after new sales dropped and policies were cancelled due to lack of payment and the acquisition cost rose, which was attributable to premium reimbursements in Cars for 10 million soles.</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7. Operating Expenses and Efficiency</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Credicorp’s adjusted operating efficiency ratio (adjusting operating income for non-recurring events from operating income), improved from 45.6% in the 2Q20 to 44.8% in the 3Q20. In the YoY and YTD analysis, the deterioration of the adjusted Efficiency ratio was due to a drop in fee income and interest income at BCP Stand-alone and Mibanco, which was attenuated by a reduction in operating expenses after Credicorp took measures to mitigate the impact of a decrease in operating income due to COVID-19.</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4"/>
          </w:tcPr>
          <w:p>
            <w:pPr>
              <w:ind w:left="4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YTD</w:t>
            </w: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90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S/ 000</w:t>
            </w:r>
          </w:p>
        </w:tc>
        <w:tc>
          <w:tcPr>
            <w:tcW w:w="1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26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gridSpan w:val="2"/>
          </w:tcPr>
          <w:p>
            <w:pPr>
              <w:spacing w:after="0"/>
              <w:rPr>
                <w:sz w:val="13"/>
                <w:szCs w:val="13"/>
                <w:color w:val="auto"/>
              </w:rPr>
            </w:pPr>
          </w:p>
        </w:tc>
        <w:tc>
          <w:tcPr>
            <w:tcW w:w="540" w:type="dxa"/>
            <w:vAlign w:val="bottom"/>
            <w:tcBorders>
              <w:top w:val="single" w:sz="8" w:color="auto"/>
              <w:bottom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24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2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Salaries and employees benefits</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845,345</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825,997</w:t>
            </w: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803,438</w:t>
            </w:r>
          </w:p>
        </w:tc>
        <w:tc>
          <w:tcPr>
            <w:tcW w:w="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-2.7%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-5.0%</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2,525,497</w:t>
            </w: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2,520,619</w:t>
            </w: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3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Administrative, general and tax expenses</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570,290</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508,078</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588,994</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1,661,100</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1,636,715</w:t>
            </w:r>
          </w:p>
        </w:tc>
        <w:tc>
          <w:tcPr>
            <w:tcW w:w="11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48"/>
        </w:trPr>
        <w:tc>
          <w:tcPr>
            <w:tcW w:w="31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165,195</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171,439</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168,234</w:t>
            </w: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455,183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511,421</w:t>
            </w:r>
          </w:p>
        </w:tc>
        <w:tc>
          <w:tcPr>
            <w:tcW w:w="112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8"/>
        </w:trPr>
        <w:tc>
          <w:tcPr>
            <w:tcW w:w="31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Association in participation</w:t>
            </w: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5,348</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17,944</w:t>
            </w:r>
          </w:p>
        </w:tc>
        <w:tc>
          <w:tcPr>
            <w:tcW w:w="100" w:type="dxa"/>
            <w:vAlign w:val="bottom"/>
          </w:tcPr>
          <w:p>
            <w:pPr>
              <w:spacing w:after="0"/>
              <w:rPr>
                <w:sz w:val="12"/>
                <w:szCs w:val="12"/>
                <w:color w:val="auto"/>
              </w:rPr>
            </w:pPr>
          </w:p>
        </w:tc>
        <w:tc>
          <w:tcPr>
            <w:tcW w:w="92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10,566</w:t>
            </w:r>
          </w:p>
        </w:tc>
        <w:tc>
          <w:tcPr>
            <w:tcW w:w="12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00" w:type="dxa"/>
            <w:vAlign w:val="bottom"/>
          </w:tcPr>
          <w:p>
            <w:pPr>
              <w:spacing w:after="0"/>
              <w:rPr>
                <w:sz w:val="12"/>
                <w:szCs w:val="12"/>
                <w:color w:val="auto"/>
              </w:rPr>
            </w:pPr>
          </w:p>
        </w:tc>
        <w:tc>
          <w:tcPr>
            <w:tcW w:w="9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12,830</w:t>
            </w:r>
          </w:p>
        </w:tc>
        <w:tc>
          <w:tcPr>
            <w:tcW w:w="12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34,940</w:t>
            </w:r>
          </w:p>
        </w:tc>
        <w:tc>
          <w:tcPr>
            <w:tcW w:w="11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203"/>
        </w:trPr>
        <w:tc>
          <w:tcPr>
            <w:tcW w:w="3120" w:type="dxa"/>
            <w:vAlign w:val="bottom"/>
            <w:gridSpan w:val="3"/>
            <w:shd w:val="clear" w:color="auto" w:fill="CCEEFF"/>
          </w:tcPr>
          <w:p>
            <w:pPr>
              <w:spacing w:after="0" w:line="202" w:lineRule="exact"/>
              <w:rPr>
                <w:sz w:val="20"/>
                <w:szCs w:val="20"/>
                <w:color w:val="auto"/>
              </w:rPr>
            </w:pPr>
            <w:r>
              <w:rPr>
                <w:rFonts w:ascii="Times New Roman" w:cs="Times New Roman" w:eastAsia="Times New Roman" w:hAnsi="Times New Roman"/>
                <w:sz w:val="14"/>
                <w:szCs w:val="14"/>
                <w:color w:val="auto"/>
              </w:rPr>
              <w:t xml:space="preserve">Acquisition cost </w:t>
            </w:r>
            <w:r>
              <w:rPr>
                <w:rFonts w:ascii="Times New Roman" w:cs="Times New Roman" w:eastAsia="Times New Roman" w:hAnsi="Times New Roman"/>
                <w:sz w:val="23"/>
                <w:szCs w:val="23"/>
                <w:color w:val="auto"/>
                <w:vertAlign w:val="superscript"/>
              </w:rPr>
              <w:t>(1)</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94,239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87,598</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86,643</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277,186</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286,749</w:t>
            </w:r>
          </w:p>
        </w:tc>
        <w:tc>
          <w:tcPr>
            <w:tcW w:w="11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23"/>
                <w:szCs w:val="23"/>
                <w:b w:val="1"/>
                <w:bCs w:val="1"/>
                <w:color w:val="auto"/>
                <w:vertAlign w:val="superscript"/>
              </w:rPr>
              <w:t>(2)</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gridSpan w:val="3"/>
            <w:vMerge w:val="continue"/>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1,680,417</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1,611,056</w:t>
            </w:r>
          </w:p>
        </w:tc>
        <w:tc>
          <w:tcPr>
            <w:tcW w:w="100" w:type="dxa"/>
            <w:vAlign w:val="bottom"/>
          </w:tcPr>
          <w:p>
            <w:pPr>
              <w:spacing w:after="0"/>
              <w:rPr>
                <w:sz w:val="15"/>
                <w:szCs w:val="15"/>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1,657,875</w:t>
            </w:r>
          </w:p>
        </w:tc>
        <w:tc>
          <w:tcPr>
            <w:tcW w:w="120" w:type="dxa"/>
            <w:vAlign w:val="bottom"/>
          </w:tcPr>
          <w:p>
            <w:pPr>
              <w:spacing w:after="0"/>
              <w:rPr>
                <w:sz w:val="15"/>
                <w:szCs w:val="15"/>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-1.3%</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4,931,796</w:t>
            </w:r>
          </w:p>
        </w:tc>
        <w:tc>
          <w:tcPr>
            <w:tcW w:w="1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4,990,444</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0" w:type="dxa"/>
            <w:vAlign w:val="bottom"/>
          </w:tcPr>
          <w:p>
            <w:pPr>
              <w:spacing w:after="0"/>
              <w:rPr>
                <w:sz w:val="1"/>
                <w:szCs w:val="1"/>
                <w:color w:val="auto"/>
              </w:rPr>
            </w:pPr>
          </w:p>
        </w:tc>
      </w:tr>
      <w:tr>
        <w:trPr>
          <w:trHeight w:val="20"/>
        </w:trPr>
        <w:tc>
          <w:tcPr>
            <w:tcW w:w="3120" w:type="dxa"/>
            <w:vAlign w:val="bottom"/>
            <w:gridSpan w:val="3"/>
            <w:vMerge w:val="restart"/>
            <w:shd w:val="clear" w:color="auto" w:fill="CCEEFF"/>
          </w:tcPr>
          <w:p>
            <w:pPr>
              <w:spacing w:after="0" w:line="202" w:lineRule="exact"/>
              <w:rPr>
                <w:sz w:val="20"/>
                <w:szCs w:val="20"/>
                <w:color w:val="auto"/>
              </w:rPr>
            </w:pPr>
            <w:r>
              <w:rPr>
                <w:rFonts w:ascii="Times New Roman" w:cs="Times New Roman" w:eastAsia="Times New Roman" w:hAnsi="Times New Roman"/>
                <w:sz w:val="14"/>
                <w:szCs w:val="14"/>
                <w:b w:val="1"/>
                <w:bCs w:val="1"/>
                <w:color w:val="auto"/>
              </w:rPr>
              <w:t xml:space="preserve">Operating income </w:t>
            </w:r>
            <w:r>
              <w:rPr>
                <w:rFonts w:ascii="Times New Roman" w:cs="Times New Roman" w:eastAsia="Times New Roman" w:hAnsi="Times New Roman"/>
                <w:sz w:val="23"/>
                <w:szCs w:val="23"/>
                <w:b w:val="1"/>
                <w:bCs w:val="1"/>
                <w:color w:val="auto"/>
                <w:vertAlign w:val="superscript"/>
              </w:rPr>
              <w:t>(3)</w:t>
            </w: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120" w:type="dxa"/>
            <w:vAlign w:val="bottom"/>
            <w:gridSpan w:val="3"/>
            <w:vMerge w:val="continue"/>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3,896,978</w:t>
            </w: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3,212,780</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3,684,231</w:t>
            </w: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14.7%</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-5.5%</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11,497,949</w:t>
            </w:r>
          </w:p>
        </w:tc>
        <w:tc>
          <w:tcPr>
            <w:tcW w:w="12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10,864,973</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-5.5%</w:t>
            </w:r>
          </w:p>
        </w:tc>
        <w:tc>
          <w:tcPr>
            <w:tcW w:w="0" w:type="dxa"/>
            <w:vAlign w:val="bottom"/>
          </w:tcPr>
          <w:p>
            <w:pPr>
              <w:spacing w:after="0"/>
              <w:rPr>
                <w:sz w:val="1"/>
                <w:szCs w:val="1"/>
                <w:color w:val="auto"/>
              </w:rPr>
            </w:pPr>
          </w:p>
        </w:tc>
      </w:tr>
      <w:tr>
        <w:trPr>
          <w:trHeight w:val="20"/>
        </w:trPr>
        <w:tc>
          <w:tcPr>
            <w:tcW w:w="3120" w:type="dxa"/>
            <w:vAlign w:val="bottom"/>
            <w:gridSpan w:val="3"/>
            <w:vMerge w:val="restart"/>
          </w:tcPr>
          <w:p>
            <w:pPr>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Efficiency ratio </w:t>
            </w:r>
            <w:r>
              <w:rPr>
                <w:rFonts w:ascii="Times New Roman" w:cs="Times New Roman" w:eastAsia="Times New Roman" w:hAnsi="Times New Roman"/>
                <w:sz w:val="23"/>
                <w:szCs w:val="23"/>
                <w:b w:val="1"/>
                <w:bCs w:val="1"/>
                <w:color w:val="auto"/>
                <w:vertAlign w:val="superscript"/>
              </w:rPr>
              <w:t>(4)</w:t>
            </w: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gridSpan w:val="3"/>
            <w:vMerge w:val="continue"/>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43.1%</w:t>
            </w: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50.1%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45.0%</w:t>
            </w:r>
          </w:p>
        </w:tc>
        <w:tc>
          <w:tcPr>
            <w:tcW w:w="120" w:type="dxa"/>
            <w:vAlign w:val="bottom"/>
          </w:tcPr>
          <w:p>
            <w:pPr>
              <w:spacing w:after="0"/>
              <w:rPr>
                <w:sz w:val="18"/>
                <w:szCs w:val="18"/>
                <w:color w:val="auto"/>
              </w:rPr>
            </w:pPr>
          </w:p>
        </w:tc>
        <w:tc>
          <w:tcPr>
            <w:tcW w:w="1120" w:type="dxa"/>
            <w:vAlign w:val="bottom"/>
            <w:gridSpan w:val="4"/>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-510bps</w:t>
            </w:r>
          </w:p>
        </w:tc>
        <w:tc>
          <w:tcPr>
            <w:tcW w:w="90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190bps</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42.9%</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45.9%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300bps</w:t>
            </w:r>
          </w:p>
        </w:tc>
        <w:tc>
          <w:tcPr>
            <w:tcW w:w="0" w:type="dxa"/>
            <w:vAlign w:val="bottom"/>
          </w:tcPr>
          <w:p>
            <w:pPr>
              <w:spacing w:after="0"/>
              <w:rPr>
                <w:sz w:val="1"/>
                <w:szCs w:val="1"/>
                <w:color w:val="auto"/>
              </w:rPr>
            </w:pPr>
          </w:p>
        </w:tc>
      </w:tr>
      <w:tr>
        <w:trPr>
          <w:trHeight w:val="20"/>
        </w:trPr>
        <w:tc>
          <w:tcPr>
            <w:tcW w:w="3120" w:type="dxa"/>
            <w:vAlign w:val="bottom"/>
            <w:gridSpan w:val="3"/>
            <w:vMerge w:val="restart"/>
            <w:shd w:val="clear" w:color="auto" w:fill="CCEEFF"/>
          </w:tcPr>
          <w:p>
            <w:pPr>
              <w:spacing w:after="0" w:line="230" w:lineRule="exact"/>
              <w:rPr>
                <w:sz w:val="20"/>
                <w:szCs w:val="20"/>
                <w:color w:val="auto"/>
              </w:rPr>
            </w:pPr>
            <w:r>
              <w:rPr>
                <w:rFonts w:ascii="Times New Roman" w:cs="Times New Roman" w:eastAsia="Times New Roman" w:hAnsi="Times New Roman"/>
                <w:sz w:val="14"/>
                <w:szCs w:val="14"/>
                <w:b w:val="1"/>
                <w:bCs w:val="1"/>
                <w:color w:val="auto"/>
              </w:rPr>
              <w:t xml:space="preserve">Operating expenses / Total average assets </w:t>
            </w:r>
            <w:r>
              <w:rPr>
                <w:rFonts w:ascii="Times New Roman" w:cs="Times New Roman" w:eastAsia="Times New Roman" w:hAnsi="Times New Roman"/>
                <w:sz w:val="23"/>
                <w:szCs w:val="23"/>
                <w:b w:val="1"/>
                <w:bCs w:val="1"/>
                <w:color w:val="auto"/>
                <w:vertAlign w:val="superscript"/>
              </w:rPr>
              <w:t>(5)</w:t>
            </w: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20" w:type="dxa"/>
            <w:vAlign w:val="bottom"/>
            <w:gridSpan w:val="3"/>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3.67%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3.07%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2.93%</w:t>
            </w:r>
          </w:p>
        </w:tc>
        <w:tc>
          <w:tcPr>
            <w:tcW w:w="1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-14bps</w:t>
            </w:r>
          </w:p>
        </w:tc>
        <w:tc>
          <w:tcPr>
            <w:tcW w:w="90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-74bps</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3.62%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3.17%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-45bps</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220" w:hanging="212"/>
        <w:spacing w:after="0"/>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cost of Pacifico includes net fees and underwriting expenses.</w:t>
      </w:r>
    </w:p>
    <w:p>
      <w:pPr>
        <w:spacing w:after="0" w:line="3"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expenses = Salaries and employee’s benefits + Administrative, general and tax expenses + Depreciation and amortization + Acquisition cost + Association in participation.</w:t>
      </w:r>
    </w:p>
    <w:p>
      <w:pPr>
        <w:ind w:right="20" w:firstLine="8"/>
        <w:spacing w:after="0" w:line="221" w:lineRule="auto"/>
        <w:tabs>
          <w:tab w:leader="none" w:pos="214"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Operating income = Net interest income + Fee income + Net gain on foreign exchange transactions + Net gain from associates + Net gain on derivatives held for trading + Net gain from exchange differences + Net premiums earned.</w:t>
      </w:r>
    </w:p>
    <w:p>
      <w:pPr>
        <w:ind w:left="220" w:hanging="212"/>
        <w:spacing w:after="0" w:line="221" w:lineRule="auto"/>
        <w:tabs>
          <w:tab w:leader="none" w:pos="220"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differ from previously reported, please consider the data presented on this report. Operating expenses / Operating income.</w:t>
      </w:r>
    </w:p>
    <w:p>
      <w:pPr>
        <w:ind w:firstLine="8"/>
        <w:spacing w:after="0" w:line="239" w:lineRule="auto"/>
        <w:tabs>
          <w:tab w:leader="none" w:pos="219"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Figures differ from previously reported, please consider the data presented on this report. Operating expenses / Average of Total Assets. Average is calculated with period-beginning and period-ending balances.</w:t>
      </w:r>
    </w:p>
    <w:p>
      <w:pPr>
        <w:spacing w:after="0" w:line="18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QoQ analysis, efficiency improved 510 bps after interest income rose in 3Q20, following the impairment in interest income reported at BCP Stand-alone and Mibanco last quarter, (associated with the debt freezing facilities offered by both institutions).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YoY analysis, efficiency deteriorated 190 bps. The figure below shows the impact that variations in each component of income and operating cost had on the efficiency ratio YoY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YoY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156845</wp:posOffset>
            </wp:positionV>
            <wp:extent cx="6574790" cy="18770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74790" cy="1877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right="100" w:firstLine="8"/>
        <w:spacing w:after="0" w:line="261" w:lineRule="auto"/>
        <w:tabs>
          <w:tab w:leader="none" w:pos="25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includes: Net gain on foreign exchange transactions, Net gain from associates, Net gain on derivatives held for trading and Net gain from exchange difference.</w:t>
      </w:r>
    </w:p>
    <w:p>
      <w:pPr>
        <w:ind w:left="260" w:hanging="252"/>
        <w:spacing w:after="0"/>
        <w:tabs>
          <w:tab w:leader="none" w:pos="2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includes: Acquisition cost and Association in participation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deterioration in the efficiency ratio was attributable to:</w:t>
      </w:r>
    </w:p>
    <w:p>
      <w:pPr>
        <w:spacing w:after="0" w:line="225" w:lineRule="exact"/>
        <w:rPr>
          <w:sz w:val="20"/>
          <w:szCs w:val="20"/>
          <w:color w:val="auto"/>
        </w:rPr>
      </w:pPr>
    </w:p>
    <w:p>
      <w:pPr>
        <w:ind w:left="880" w:hanging="494"/>
        <w:spacing w:after="0" w:line="282"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drop in net interest income, driven by a decrease in interest rates for loans through government programs and by a one-off for financial expenses due to debt restructuring at BCP Stand-alone in July 2020, as indicated in section 4. Net interest income (NII).</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fee income at BCP Stand-alone, and to a lesser extent at Mibanco. This was attributable to the benefits and extensions offered to clients to cope with the effects of the pandemic and to a decrease in transactional activity, as explained in section 5.1.2. Fee income for the Banking Business.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ind w:left="880" w:hanging="494"/>
        <w:spacing w:after="0" w:line="282" w:lineRule="auto"/>
        <w:tabs>
          <w:tab w:leader="none" w:pos="8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and general expenses and taxes increased at BCP Stand-alone, due to the higher expenses for IBM, as indicated in section 7.1. Credicorp – Administrative and general expenses and taxes.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aforementioned was attenuated by a decrease in salaries and employee benefits, mainly at BCP Stand-alone. This was driven by a decrease in variable compensation at BCP Stand-alone and, to a lesser extent, at Mibanco, which registered a decrease in its headcount.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YTD the efficiency ratio deteriorated 300 bps, which reflected the impact of the drop in operating income in 2Q20 after impairment was registered for net interest income and a reduction was posted for fee income at BCP Stand-alone and Mibanco. The aforementioned was attenuated by a drop in administrative, general and taxes expenses due to the savings generated by the fact that a large percentage of employees are working remotely. The figure below shows the impact that the variations in each component of income and operating expense had on the YTD efficiency ratio:</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YTD evolution of the efficiency ratio by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156845</wp:posOffset>
            </wp:positionV>
            <wp:extent cx="6969125" cy="18942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69125" cy="189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firstLine="8"/>
        <w:spacing w:after="0" w:line="261" w:lineRule="auto"/>
        <w:tabs>
          <w:tab w:leader="none" w:pos="259"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income includes: Net gain on foreign exchange transactions, Net gain from associates, Net gain on derivatives held for trading and Net gain from exchange difference.</w:t>
      </w:r>
    </w:p>
    <w:p>
      <w:pPr>
        <w:ind w:left="260" w:hanging="252"/>
        <w:spacing w:after="0"/>
        <w:tabs>
          <w:tab w:leader="none" w:pos="26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operating expenses includes: Acquisition cost and Association in participation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7.1. Credicorp’s Administrative, General and Tax Expenses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Credicorp’s administrative, general and tax expenses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32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Administrative, general and tax expenses</w:t>
            </w: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gridSpan w:val="3"/>
          </w:tcPr>
          <w:p>
            <w:pPr>
              <w:ind w:left="32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4"/>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YTD</w:t>
            </w: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42"/>
        </w:trPr>
        <w:tc>
          <w:tcPr>
            <w:tcW w:w="32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 000</w:t>
            </w:r>
          </w:p>
        </w:tc>
        <w:tc>
          <w:tcPr>
            <w:tcW w:w="10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200" w:type="dxa"/>
            <w:vAlign w:val="bottom"/>
            <w:tcBorders>
              <w:top w:val="single" w:sz="8" w:color="auto"/>
              <w:bottom w:val="single" w:sz="8" w:color="CCEEFF"/>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4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top w:val="single" w:sz="8" w:color="auto"/>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180" w:type="dxa"/>
            <w:vAlign w:val="bottom"/>
            <w:tcBorders>
              <w:top w:val="single" w:sz="8" w:color="auto"/>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24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Sep 19</w:t>
            </w:r>
          </w:p>
        </w:tc>
        <w:tc>
          <w:tcPr>
            <w:tcW w:w="28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3"/>
                <w:szCs w:val="13"/>
                <w:b w:val="1"/>
                <w:bCs w:val="1"/>
                <w:color w:val="auto"/>
              </w:rPr>
              <w:t>Sep 20</w:t>
            </w:r>
          </w:p>
        </w:tc>
        <w:tc>
          <w:tcPr>
            <w:tcW w:w="22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3"/>
              </w:rPr>
              <w:t>Sep 20 / Sep 19</w:t>
            </w:r>
          </w:p>
        </w:tc>
        <w:tc>
          <w:tcPr>
            <w:tcW w:w="120" w:type="dxa"/>
            <w:vAlign w:val="bottom"/>
            <w:tcBorders>
              <w:bottom w:val="single" w:sz="8" w:color="CCEEFF"/>
            </w:tcBorders>
          </w:tcPr>
          <w:p>
            <w:pPr>
              <w:spacing w:after="0"/>
              <w:rPr>
                <w:sz w:val="12"/>
                <w:szCs w:val="12"/>
                <w:color w:val="auto"/>
              </w:rPr>
            </w:pPr>
          </w:p>
        </w:tc>
      </w:tr>
      <w:tr>
        <w:trPr>
          <w:trHeight w:val="128"/>
        </w:trPr>
        <w:tc>
          <w:tcPr>
            <w:tcW w:w="32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Repair and maintenance</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88,499</w:t>
            </w:r>
          </w:p>
        </w:tc>
        <w:tc>
          <w:tcPr>
            <w:tcW w:w="20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16%</w:t>
            </w: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98,069</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19%</w:t>
            </w:r>
          </w:p>
        </w:tc>
        <w:tc>
          <w:tcPr>
            <w:tcW w:w="5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102,788</w:t>
            </w:r>
          </w:p>
        </w:tc>
        <w:tc>
          <w:tcPr>
            <w:tcW w:w="1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color w:val="auto"/>
              </w:rPr>
              <w:t>17%</w:t>
            </w:r>
          </w:p>
        </w:tc>
        <w:tc>
          <w:tcPr>
            <w:tcW w:w="66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4.8%</w:t>
            </w:r>
          </w:p>
        </w:tc>
        <w:tc>
          <w:tcPr>
            <w:tcW w:w="68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16.1%</w:t>
            </w:r>
          </w:p>
        </w:tc>
        <w:tc>
          <w:tcPr>
            <w:tcW w:w="62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240,235</w:t>
            </w:r>
          </w:p>
        </w:tc>
        <w:tc>
          <w:tcPr>
            <w:tcW w:w="280" w:type="dxa"/>
            <w:vAlign w:val="bottom"/>
            <w:tcBorders>
              <w:right w:val="single" w:sz="8" w:color="CCEEFF"/>
            </w:tcBorders>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276,908</w:t>
            </w: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15.3%</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Publicity</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87,711</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53,505</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90,912</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69.9%</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3.6%</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250,209</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219,673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-12.2%</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Taxes and contributions</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70,224</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63,344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59,866</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-5.5%</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-14.7%</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209,105</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191,227</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-8.5%</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Consulting and professional fees</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70,336</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12%</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46,412</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9%</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45,962</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154,951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131,859</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-14.9%</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Transport and communications</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42,873</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8%</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30,156</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43,882</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45.5%</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2.4%</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127,605</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109,504</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-14.2%</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IBM services expenses</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16,034</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33,006</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6%</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40,148</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21.6%</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150.4%</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73,652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103,463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40.5%</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Comissions by agents</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22,435</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19,080</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22,266</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16.7%</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-0.8%</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61,378</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62,775</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2.3%</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Security and protection</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15,838</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15,823</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16,101</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1.8%</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1.7%</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50,108</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47,903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-4.4%</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Sundry supplies</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19,403</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9,908</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12,679</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28.0%</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-34.7%</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55,757</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46,226</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-17.1%</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Leases of low value and short-term</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10,030</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12,476</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11,938</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-4.3%</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19.0%</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40,610</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43,257</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6.5%</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Electricity and w ater</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13,571</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13,134</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12,170</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-7.3%</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-10.3%</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39,925</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37,117</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Subscriptions and quotes</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11,920</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12,219</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12,263</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0.4%</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31,271</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35,234</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12.7%</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Insurance</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19,114</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3,195</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20,392</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3%</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538.2%</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6.7%</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23,499</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28,497</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21.3%</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Electronic processing</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6,520</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6,840</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8,824</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29.0%</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35.3%</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18,982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24,301</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28.0%</w:t>
            </w:r>
          </w:p>
        </w:tc>
      </w:tr>
      <w:tr>
        <w:trPr>
          <w:trHeight w:val="135"/>
        </w:trPr>
        <w:tc>
          <w:tcPr>
            <w:tcW w:w="3320" w:type="dxa"/>
            <w:vAlign w:val="bottom"/>
            <w:gridSpan w:val="2"/>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Cleaning</w:t>
            </w:r>
          </w:p>
        </w:tc>
        <w:tc>
          <w:tcPr>
            <w:tcW w:w="70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4,880</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5,522</w:t>
            </w:r>
          </w:p>
        </w:tc>
        <w:tc>
          <w:tcPr>
            <w:tcW w:w="10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700" w:type="dxa"/>
            <w:vAlign w:val="bottom"/>
            <w:gridSpan w:val="2"/>
            <w:shd w:val="clear" w:color="auto" w:fill="CCEEFF"/>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6,706</w:t>
            </w:r>
          </w:p>
        </w:tc>
        <w:tc>
          <w:tcPr>
            <w:tcW w:w="620" w:type="dxa"/>
            <w:vAlign w:val="bottom"/>
            <w:gridSpan w:val="2"/>
            <w:shd w:val="clear" w:color="auto" w:fill="CCEEFF"/>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21.4%</w:t>
            </w:r>
          </w:p>
        </w:tc>
        <w:tc>
          <w:tcPr>
            <w:tcW w:w="68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37.4%</w:t>
            </w:r>
          </w:p>
        </w:tc>
        <w:tc>
          <w:tcPr>
            <w:tcW w:w="900" w:type="dxa"/>
            <w:vAlign w:val="bottom"/>
            <w:tcBorders>
              <w:right w:val="single" w:sz="8" w:color="CCEEFF"/>
            </w:tcBorders>
            <w:gridSpan w:val="2"/>
            <w:shd w:val="clear" w:color="auto" w:fill="CCEEFF"/>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15,655</w:t>
            </w:r>
          </w:p>
        </w:tc>
        <w:tc>
          <w:tcPr>
            <w:tcW w:w="7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17,745</w:t>
            </w:r>
          </w:p>
        </w:tc>
        <w:tc>
          <w:tcPr>
            <w:tcW w:w="94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13.4%</w:t>
            </w:r>
          </w:p>
        </w:tc>
      </w:tr>
      <w:tr>
        <w:trPr>
          <w:trHeight w:val="135"/>
        </w:trPr>
        <w:tc>
          <w:tcPr>
            <w:tcW w:w="33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Audit Services</w:t>
            </w:r>
          </w:p>
        </w:tc>
        <w:tc>
          <w:tcPr>
            <w:tcW w:w="70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1,216</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1,220</w:t>
            </w:r>
          </w:p>
        </w:tc>
        <w:tc>
          <w:tcPr>
            <w:tcW w:w="100" w:type="dxa"/>
            <w:vAlign w:val="bottom"/>
          </w:tcPr>
          <w:p>
            <w:pPr>
              <w:spacing w:after="0"/>
              <w:rPr>
                <w:sz w:val="11"/>
                <w:szCs w:val="11"/>
                <w:color w:val="auto"/>
              </w:rPr>
            </w:pPr>
          </w:p>
        </w:tc>
        <w:tc>
          <w:tcPr>
            <w:tcW w:w="5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0%</w:t>
            </w:r>
          </w:p>
        </w:tc>
        <w:tc>
          <w:tcPr>
            <w:tcW w:w="7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3,693</w:t>
            </w:r>
          </w:p>
        </w:tc>
        <w:tc>
          <w:tcPr>
            <w:tcW w:w="620" w:type="dxa"/>
            <w:vAlign w:val="bottom"/>
            <w:gridSpan w:val="2"/>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w:t>
            </w:r>
          </w:p>
        </w:tc>
        <w:tc>
          <w:tcPr>
            <w:tcW w:w="66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202.7%</w:t>
            </w:r>
          </w:p>
        </w:tc>
        <w:tc>
          <w:tcPr>
            <w:tcW w:w="68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203.7%</w:t>
            </w:r>
          </w:p>
        </w:tc>
        <w:tc>
          <w:tcPr>
            <w:tcW w:w="900" w:type="dxa"/>
            <w:vAlign w:val="bottom"/>
            <w:gridSpan w:val="2"/>
          </w:tcPr>
          <w:p>
            <w:pPr>
              <w:jc w:val="right"/>
              <w:ind w:right="280"/>
              <w:spacing w:after="0" w:line="135" w:lineRule="exact"/>
              <w:rPr>
                <w:sz w:val="20"/>
                <w:szCs w:val="20"/>
                <w:color w:val="auto"/>
              </w:rPr>
            </w:pPr>
            <w:r>
              <w:rPr>
                <w:rFonts w:ascii="Times New Roman" w:cs="Times New Roman" w:eastAsia="Times New Roman" w:hAnsi="Times New Roman"/>
                <w:sz w:val="13"/>
                <w:szCs w:val="13"/>
                <w:color w:val="auto"/>
              </w:rPr>
              <w:t>5,162</w:t>
            </w:r>
          </w:p>
        </w:tc>
        <w:tc>
          <w:tcPr>
            <w:tcW w:w="7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6,163</w:t>
            </w:r>
          </w:p>
        </w:tc>
        <w:tc>
          <w:tcPr>
            <w:tcW w:w="9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19.4%</w:t>
            </w:r>
          </w:p>
        </w:tc>
      </w:tr>
      <w:tr>
        <w:trPr>
          <w:trHeight w:val="189"/>
        </w:trPr>
        <w:tc>
          <w:tcPr>
            <w:tcW w:w="332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Services by third-party and others </w:t>
            </w:r>
            <w:r>
              <w:rPr>
                <w:rFonts w:ascii="Times New Roman" w:cs="Times New Roman" w:eastAsia="Times New Roman" w:hAnsi="Times New Roman"/>
                <w:sz w:val="20"/>
                <w:szCs w:val="20"/>
                <w:color w:val="auto"/>
                <w:vertAlign w:val="superscript"/>
              </w:rPr>
              <w:t>(1)</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69,686</w:t>
            </w:r>
          </w:p>
        </w:tc>
        <w:tc>
          <w:tcPr>
            <w:tcW w:w="6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12%</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84,169</w:t>
            </w:r>
          </w:p>
        </w:tc>
        <w:tc>
          <w:tcPr>
            <w:tcW w:w="10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17%</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78,404</w:t>
            </w:r>
          </w:p>
        </w:tc>
        <w:tc>
          <w:tcPr>
            <w:tcW w:w="62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13%</w:t>
            </w:r>
          </w:p>
        </w:tc>
        <w:tc>
          <w:tcPr>
            <w:tcW w:w="66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-6.8%</w:t>
            </w:r>
          </w:p>
        </w:tc>
        <w:tc>
          <w:tcPr>
            <w:tcW w:w="68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12.5%</w:t>
            </w:r>
          </w:p>
        </w:tc>
        <w:tc>
          <w:tcPr>
            <w:tcW w:w="900" w:type="dxa"/>
            <w:vAlign w:val="bottom"/>
            <w:tcBorders>
              <w:right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262,996</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254,863</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r>
      <w:tr>
        <w:trPr>
          <w:trHeight w:val="142"/>
        </w:trPr>
        <w:tc>
          <w:tcPr>
            <w:tcW w:w="3320" w:type="dxa"/>
            <w:vAlign w:val="bottom"/>
            <w:gridSpan w:val="2"/>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Total administrative and general expenses</w:t>
            </w:r>
          </w:p>
        </w:tc>
        <w:tc>
          <w:tcPr>
            <w:tcW w:w="5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570,290</w:t>
            </w:r>
          </w:p>
        </w:tc>
        <w:tc>
          <w:tcPr>
            <w:tcW w:w="20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100</w:t>
            </w:r>
          </w:p>
        </w:tc>
        <w:tc>
          <w:tcPr>
            <w:tcW w:w="24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508,078</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100</w:t>
            </w:r>
          </w:p>
        </w:tc>
        <w:tc>
          <w:tcPr>
            <w:tcW w:w="22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5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588,994</w:t>
            </w:r>
          </w:p>
        </w:tc>
        <w:tc>
          <w:tcPr>
            <w:tcW w:w="180" w:type="dxa"/>
            <w:vAlign w:val="bottom"/>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100</w:t>
            </w:r>
          </w:p>
        </w:tc>
        <w:tc>
          <w:tcPr>
            <w:tcW w:w="22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4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15.9</w:t>
            </w:r>
          </w:p>
        </w:tc>
        <w:tc>
          <w:tcPr>
            <w:tcW w:w="2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4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3.3</w:t>
            </w:r>
          </w:p>
        </w:tc>
        <w:tc>
          <w:tcPr>
            <w:tcW w:w="240" w:type="dxa"/>
            <w:vAlign w:val="bottom"/>
          </w:tcPr>
          <w:p>
            <w:pPr>
              <w:jc w:val="right"/>
              <w:ind w:right="57"/>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6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1,661,100</w:t>
            </w:r>
          </w:p>
        </w:tc>
        <w:tc>
          <w:tcPr>
            <w:tcW w:w="280" w:type="dxa"/>
            <w:vAlign w:val="bottom"/>
          </w:tcPr>
          <w:p>
            <w:pPr>
              <w:spacing w:after="0"/>
              <w:rPr>
                <w:sz w:val="12"/>
                <w:szCs w:val="12"/>
                <w:color w:val="auto"/>
              </w:rPr>
            </w:pPr>
          </w:p>
        </w:tc>
        <w:tc>
          <w:tcPr>
            <w:tcW w:w="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1,636,715</w:t>
            </w:r>
          </w:p>
        </w:tc>
        <w:tc>
          <w:tcPr>
            <w:tcW w:w="220" w:type="dxa"/>
            <w:vAlign w:val="bottom"/>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-1.5</w:t>
            </w: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76"/>
              </w:rPr>
              <w:t>%</w:t>
            </w:r>
          </w:p>
        </w:tc>
      </w:tr>
      <w:tr>
        <w:trPr>
          <w:trHeight w:val="20"/>
        </w:trPr>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 The balance consists mainly of security and protection services, cleaning service, representation expenses, electricity and water utilities, insurance policy expenses, subscription expenses and commission expenses.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Administrative, general and tax expenses increased QoQ. This was due to growth in expenses for (i) publicity, due to the higher expenses of the Latam Miles program, in line with the increase in the transactional level, (ii) the insurance expenses at BCP Stand-Alone; and (iii) Transport and communications, in line with the increase in transportation of cash between agencies and supply of ATMs.</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spacing w:after="0" w:line="266" w:lineRule="auto"/>
        <w:rPr>
          <w:sz w:val="20"/>
          <w:szCs w:val="20"/>
          <w:color w:val="auto"/>
        </w:rPr>
      </w:pPr>
      <w:r>
        <w:rPr>
          <w:rFonts w:ascii="Times New Roman" w:cs="Times New Roman" w:eastAsia="Times New Roman" w:hAnsi="Times New Roman"/>
          <w:sz w:val="18"/>
          <w:szCs w:val="18"/>
          <w:color w:val="auto"/>
        </w:rPr>
        <w:t>The YoY analysis, which reflects the fact that some of the social immobility measures in place in 2Q20 were lifted in 3Q20, shows a slight increase in IBM Services due to (i) the increase in expenses under IFRS 16, which are considered as general and administrative expenses; and (ii) the higher exchange rate, given that the contract with IBM is in dollars. The aforementioned was offset by:</w:t>
      </w:r>
    </w:p>
    <w:p>
      <w:pPr>
        <w:spacing w:after="0" w:line="176" w:lineRule="exact"/>
        <w:rPr>
          <w:sz w:val="20"/>
          <w:szCs w:val="20"/>
          <w:color w:val="auto"/>
        </w:rPr>
      </w:pPr>
    </w:p>
    <w:p>
      <w:pPr>
        <w:ind w:left="880" w:hanging="494"/>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drop in expenses for Consultants, which was mainly attributable to BCP Stand-alone and driven by the fact that in 3Q19, different projects were in course in the digital transformation area that required consultancy services.</w:t>
      </w:r>
    </w:p>
    <w:p>
      <w:pPr>
        <w:spacing w:after="0" w:line="161"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the expense for diverse supplies at the majority of our subsidiaries, given that the majority of our personnel are working remotely and there was no need to restock inventory this quarter.</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YTD, expenses fell, which was in line with Credicorp’s efforts to control operating expenses in a scenario in which operating income is highly pressured. The decline over the period was due primarily to a decrease in advertising expenses in 2Q20. It is important to note that administrative and general expenses attenuated the increase in Other expenses, which increased due to (i) expenses for donations made by BCP Stand-alone, Mibanco and Pacifico in the first quarter, and (ii) the protective measures for COVID-19 taken to protect employees and clients who conduct transactions through physical channels. Measures include offering employees transport to and from work as well as provision of masks, gloves and other components for personal protection.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7.2. Efficiency Ratio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Efficiency Ratio by Subsidiary </w:t>
      </w:r>
      <w:r>
        <w:rPr>
          <w:rFonts w:ascii="Times New Roman" w:cs="Times New Roman" w:eastAsia="Times New Roman" w:hAnsi="Times New Roman"/>
          <w:sz w:val="29"/>
          <w:szCs w:val="29"/>
          <w:b w:val="1"/>
          <w:bCs w:val="1"/>
          <w:color w:val="auto"/>
          <w:vertAlign w:val="superscript"/>
        </w:rPr>
        <w:t>(1)(2)</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gridSpan w:val="2"/>
          </w:tcPr>
          <w:p>
            <w:pPr>
              <w:jc w:val="right"/>
              <w:ind w:right="800"/>
              <w:spacing w:after="0"/>
              <w:rPr>
                <w:sz w:val="20"/>
                <w:szCs w:val="20"/>
                <w:color w:val="auto"/>
              </w:rPr>
            </w:pPr>
            <w:r>
              <w:rPr>
                <w:rFonts w:ascii="Times New Roman" w:cs="Times New Roman" w:eastAsia="Times New Roman" w:hAnsi="Times New Roman"/>
                <w:sz w:val="16"/>
                <w:szCs w:val="16"/>
                <w:b w:val="1"/>
                <w:bCs w:val="1"/>
                <w:color w:val="auto"/>
              </w:rPr>
              <w:t>BCP</w:t>
            </w: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 xml:space="preserve">Microfinance </w:t>
            </w:r>
            <w:r>
              <w:rPr>
                <w:rFonts w:ascii="Times New Roman" w:cs="Times New Roman" w:eastAsia="Times New Roman" w:hAnsi="Times New Roman"/>
                <w:sz w:val="26"/>
                <w:szCs w:val="26"/>
                <w:b w:val="1"/>
                <w:bCs w:val="1"/>
                <w:color w:val="auto"/>
                <w:vertAlign w:val="superscript"/>
              </w:rPr>
              <w:t>(3)</w:t>
            </w:r>
          </w:p>
        </w:tc>
        <w:tc>
          <w:tcPr>
            <w:tcW w:w="240" w:type="dxa"/>
            <w:vAlign w:val="bottom"/>
            <w:vMerge w:val="restart"/>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5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Stand-alone</w:t>
            </w:r>
          </w:p>
        </w:tc>
        <w:tc>
          <w:tcPr>
            <w:tcW w:w="2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b w:val="1"/>
                <w:bCs w:val="1"/>
                <w:color w:val="auto"/>
              </w:rPr>
              <w:t>BCP Bolivia</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40" w:type="dxa"/>
            <w:vAlign w:val="bottom"/>
            <w:tcBorders>
              <w:bottom w:val="single" w:sz="8" w:color="CCEEFF"/>
            </w:tcBorders>
            <w:vMerge w:val="continue"/>
          </w:tcPr>
          <w:p>
            <w:pPr>
              <w:spacing w:after="0"/>
              <w:rPr>
                <w:sz w:val="18"/>
                <w:szCs w:val="18"/>
                <w:color w:val="auto"/>
              </w:rPr>
            </w:pPr>
          </w:p>
        </w:tc>
        <w:tc>
          <w:tcPr>
            <w:tcW w:w="134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b w:val="1"/>
                <w:bCs w:val="1"/>
                <w:color w:val="auto"/>
              </w:rPr>
              <w:t>Pacifico</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Prima AFP</w:t>
            </w:r>
          </w:p>
        </w:tc>
        <w:tc>
          <w:tcPr>
            <w:tcW w:w="24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6"/>
                <w:szCs w:val="16"/>
                <w:b w:val="1"/>
                <w:bCs w:val="1"/>
                <w:color w:val="auto"/>
              </w:rPr>
              <w:t>Credicorp</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3Q19</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56.8%</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51.3%</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2Q20</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43.0%</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93.1%</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3Q20</w:t>
            </w:r>
          </w:p>
        </w:tc>
        <w:tc>
          <w:tcPr>
            <w:tcW w:w="100" w:type="dxa"/>
            <w:vAlign w:val="bottom"/>
            <w:shd w:val="clear" w:color="auto" w:fill="CCEEFF"/>
          </w:tcPr>
          <w:p>
            <w:pPr>
              <w:spacing w:after="0"/>
              <w:rPr>
                <w:sz w:val="17"/>
                <w:szCs w:val="17"/>
                <w:color w:val="auto"/>
              </w:rPr>
            </w:pP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51.2%</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62.8%</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35.4%</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49.3%</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94"/>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Var. QoQ</w:t>
            </w:r>
          </w:p>
        </w:tc>
        <w:tc>
          <w:tcPr>
            <w:tcW w:w="100" w:type="dxa"/>
            <w:vAlign w:val="bottom"/>
          </w:tcPr>
          <w:p>
            <w:pPr>
              <w:spacing w:after="0"/>
              <w:rPr>
                <w:sz w:val="16"/>
                <w:szCs w:val="16"/>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-220bps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-3030bps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-460bps</w:t>
            </w:r>
          </w:p>
        </w:tc>
        <w:tc>
          <w:tcPr>
            <w:tcW w:w="1580" w:type="dxa"/>
            <w:vAlign w:val="bottom"/>
            <w:gridSpan w:val="2"/>
          </w:tcPr>
          <w:p>
            <w:pPr>
              <w:jc w:val="right"/>
              <w:ind w:right="240"/>
              <w:spacing w:after="0" w:line="194" w:lineRule="exact"/>
              <w:rPr>
                <w:sz w:val="20"/>
                <w:szCs w:val="20"/>
                <w:color w:val="auto"/>
              </w:rPr>
            </w:pPr>
            <w:r>
              <w:rPr>
                <w:rFonts w:ascii="Times New Roman" w:cs="Times New Roman" w:eastAsia="Times New Roman" w:hAnsi="Times New Roman"/>
                <w:sz w:val="16"/>
                <w:szCs w:val="16"/>
                <w:b w:val="1"/>
                <w:bCs w:val="1"/>
                <w:color w:val="auto"/>
              </w:rPr>
              <w:t>-800</w:t>
            </w:r>
            <w:r>
              <w:rPr>
                <w:rFonts w:ascii="Times New Roman" w:cs="Times New Roman" w:eastAsia="Times New Roman" w:hAnsi="Times New Roman"/>
                <w:sz w:val="17"/>
                <w:szCs w:val="17"/>
                <w:b w:val="1"/>
                <w:bCs w:val="1"/>
                <w:color w:val="auto"/>
              </w:rPr>
              <w:t>bps</w:t>
            </w:r>
          </w:p>
        </w:tc>
        <w:tc>
          <w:tcPr>
            <w:tcW w:w="1480" w:type="dxa"/>
            <w:vAlign w:val="bottom"/>
            <w:gridSpan w:val="2"/>
          </w:tcPr>
          <w:p>
            <w:pPr>
              <w:jc w:val="right"/>
              <w:ind w:right="140"/>
              <w:spacing w:after="0" w:line="194" w:lineRule="exact"/>
              <w:rPr>
                <w:sz w:val="20"/>
                <w:szCs w:val="20"/>
                <w:color w:val="auto"/>
              </w:rPr>
            </w:pPr>
            <w:r>
              <w:rPr>
                <w:rFonts w:ascii="Times New Roman" w:cs="Times New Roman" w:eastAsia="Times New Roman" w:hAnsi="Times New Roman"/>
                <w:sz w:val="16"/>
                <w:szCs w:val="16"/>
                <w:b w:val="1"/>
                <w:bCs w:val="1"/>
                <w:color w:val="auto"/>
              </w:rPr>
              <w:t>-510</w:t>
            </w:r>
            <w:r>
              <w:rPr>
                <w:rFonts w:ascii="Times New Roman" w:cs="Times New Roman" w:eastAsia="Times New Roman" w:hAnsi="Times New Roman"/>
                <w:sz w:val="17"/>
                <w:szCs w:val="17"/>
                <w:b w:val="1"/>
                <w:bCs w:val="1"/>
                <w:color w:val="auto"/>
              </w:rPr>
              <w:t>bps</w:t>
            </w:r>
          </w:p>
        </w:tc>
        <w:tc>
          <w:tcPr>
            <w:tcW w:w="0" w:type="dxa"/>
            <w:vAlign w:val="bottom"/>
          </w:tcPr>
          <w:p>
            <w:pPr>
              <w:spacing w:after="0"/>
              <w:rPr>
                <w:sz w:val="1"/>
                <w:szCs w:val="1"/>
                <w:color w:val="auto"/>
              </w:rPr>
            </w:pPr>
          </w:p>
        </w:tc>
      </w:tr>
      <w:tr>
        <w:trPr>
          <w:trHeight w:val="238"/>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Var. YoY</w:t>
            </w:r>
          </w:p>
        </w:tc>
        <w:tc>
          <w:tcPr>
            <w:tcW w:w="1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20bps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-560bps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1150bps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-360bps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530</w:t>
            </w:r>
            <w:r>
              <w:rPr>
                <w:rFonts w:ascii="Times New Roman" w:cs="Times New Roman" w:eastAsia="Times New Roman" w:hAnsi="Times New Roman"/>
                <w:sz w:val="17"/>
                <w:szCs w:val="17"/>
                <w:b w:val="1"/>
                <w:bCs w:val="1"/>
                <w:color w:val="auto"/>
              </w:rPr>
              <w:t>bps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190</w:t>
            </w:r>
            <w:r>
              <w:rPr>
                <w:rFonts w:ascii="Times New Roman" w:cs="Times New Roman" w:eastAsia="Times New Roman" w:hAnsi="Times New Roman"/>
                <w:sz w:val="17"/>
                <w:szCs w:val="17"/>
                <w:b w:val="1"/>
                <w:bCs w:val="1"/>
                <w:color w:val="auto"/>
              </w:rPr>
              <w:t>bps</w:t>
            </w:r>
          </w:p>
        </w:tc>
        <w:tc>
          <w:tcPr>
            <w:tcW w:w="0" w:type="dxa"/>
            <w:vAlign w:val="bottom"/>
          </w:tcPr>
          <w:p>
            <w:pPr>
              <w:spacing w:after="0"/>
              <w:rPr>
                <w:sz w:val="1"/>
                <w:szCs w:val="1"/>
                <w:color w:val="auto"/>
              </w:rPr>
            </w:pPr>
          </w:p>
        </w:tc>
      </w:tr>
      <w:tr>
        <w:trPr>
          <w:trHeight w:val="202"/>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YTD - Sep 19</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39.6%</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53.0%</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38.8%</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0" w:type="dxa"/>
            <w:vAlign w:val="bottom"/>
          </w:tcPr>
          <w:p>
            <w:pPr>
              <w:spacing w:after="0"/>
              <w:rPr>
                <w:sz w:val="1"/>
                <w:szCs w:val="1"/>
                <w:color w:val="auto"/>
              </w:rPr>
            </w:pPr>
          </w:p>
        </w:tc>
      </w:tr>
      <w:tr>
        <w:trPr>
          <w:trHeight w:val="203"/>
        </w:trPr>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b w:val="1"/>
                <w:bCs w:val="1"/>
                <w:color w:val="auto"/>
              </w:rPr>
              <w:t>YTD - Sep 20</w:t>
            </w:r>
          </w:p>
        </w:tc>
        <w:tc>
          <w:tcPr>
            <w:tcW w:w="1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40.8%</w:t>
            </w:r>
          </w:p>
        </w:tc>
        <w:tc>
          <w:tcPr>
            <w:tcW w:w="1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52.9%</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68.1%</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38.7%</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47.9%</w:t>
            </w: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0" w:type="dxa"/>
            <w:vAlign w:val="bottom"/>
          </w:tcPr>
          <w:p>
            <w:pPr>
              <w:spacing w:after="0"/>
              <w:rPr>
                <w:sz w:val="1"/>
                <w:szCs w:val="1"/>
                <w:color w:val="auto"/>
              </w:rPr>
            </w:pPr>
          </w:p>
        </w:tc>
      </w:tr>
      <w:tr>
        <w:trPr>
          <w:trHeight w:val="194"/>
        </w:trPr>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Sep 20 / Sep 19</w:t>
            </w:r>
          </w:p>
        </w:tc>
        <w:tc>
          <w:tcPr>
            <w:tcW w:w="100" w:type="dxa"/>
            <w:vAlign w:val="bottom"/>
          </w:tcPr>
          <w:p>
            <w:pPr>
              <w:spacing w:after="0"/>
              <w:rPr>
                <w:sz w:val="20"/>
                <w:szCs w:val="20"/>
                <w:color w:val="auto"/>
              </w:rPr>
            </w:pP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120</w:t>
            </w:r>
            <w:r>
              <w:rPr>
                <w:rFonts w:ascii="Times New Roman" w:cs="Times New Roman" w:eastAsia="Times New Roman" w:hAnsi="Times New Roman"/>
                <w:sz w:val="17"/>
                <w:szCs w:val="17"/>
                <w:b w:val="1"/>
                <w:bCs w:val="1"/>
                <w:color w:val="auto"/>
              </w:rPr>
              <w:t>bps</w:t>
            </w:r>
          </w:p>
        </w:tc>
        <w:tc>
          <w:tcPr>
            <w:tcW w:w="16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-710</w:t>
            </w:r>
            <w:r>
              <w:rPr>
                <w:rFonts w:ascii="Times New Roman" w:cs="Times New Roman" w:eastAsia="Times New Roman" w:hAnsi="Times New Roman"/>
                <w:sz w:val="17"/>
                <w:szCs w:val="17"/>
                <w:b w:val="1"/>
                <w:bCs w:val="1"/>
                <w:color w:val="auto"/>
              </w:rPr>
              <w:t>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1510</w:t>
            </w:r>
            <w:r>
              <w:rPr>
                <w:rFonts w:ascii="Times New Roman" w:cs="Times New Roman" w:eastAsia="Times New Roman" w:hAnsi="Times New Roman"/>
                <w:sz w:val="17"/>
                <w:szCs w:val="17"/>
                <w:b w:val="1"/>
                <w:bCs w:val="1"/>
                <w:color w:val="auto"/>
              </w:rPr>
              <w:t>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-10</w:t>
            </w:r>
            <w:r>
              <w:rPr>
                <w:rFonts w:ascii="Times New Roman" w:cs="Times New Roman" w:eastAsia="Times New Roman" w:hAnsi="Times New Roman"/>
                <w:sz w:val="17"/>
                <w:szCs w:val="17"/>
                <w:b w:val="1"/>
                <w:bCs w:val="1"/>
                <w:color w:val="auto"/>
              </w:rPr>
              <w:t>bps</w:t>
            </w:r>
          </w:p>
        </w:tc>
        <w:tc>
          <w:tcPr>
            <w:tcW w:w="1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590</w:t>
            </w:r>
            <w:r>
              <w:rPr>
                <w:rFonts w:ascii="Times New Roman" w:cs="Times New Roman" w:eastAsia="Times New Roman" w:hAnsi="Times New Roman"/>
                <w:sz w:val="17"/>
                <w:szCs w:val="17"/>
                <w:b w:val="1"/>
                <w:bCs w:val="1"/>
                <w:color w:val="auto"/>
              </w:rPr>
              <w:t>bps</w:t>
            </w:r>
          </w:p>
        </w:tc>
        <w:tc>
          <w:tcPr>
            <w:tcW w:w="14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300</w:t>
            </w:r>
            <w:r>
              <w:rPr>
                <w:rFonts w:ascii="Times New Roman" w:cs="Times New Roman" w:eastAsia="Times New Roman" w:hAnsi="Times New Roman"/>
                <w:sz w:val="17"/>
                <w:szCs w:val="17"/>
                <w:b w:val="1"/>
                <w:bCs w:val="1"/>
                <w:color w:val="auto"/>
              </w:rPr>
              <w:t>bps</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8"/>
        <w:spacing w:after="0" w:line="257" w:lineRule="auto"/>
        <w:tabs>
          <w:tab w:leader="none" w:pos="2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employee’s benefits + Administrative, general and tax expenses + Depreciation and amortization + Acquisition cost + Association in participation) / (Net interest income + Fee income + Net gain on foreign exchange transactions + Net gain from associates + Net gain on derivatives held for trading + Net gain from exchange differences + Net premiums earned).</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efficiency ratio differs from previously reported, please consider the data presented on this report.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Microfinance includes Mibanco, Bancompartir and Encumbra.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QoQ analysis, the efficiency ratio improved after operating income at BCP Stand-alone and Mibanco increased.</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color w:val="auto"/>
        </w:rPr>
        <w:t>The figure below shows each subsidiary’s contribution to the efficiency ratio YoY.</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YoY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156845</wp:posOffset>
            </wp:positionV>
            <wp:extent cx="6849110" cy="23660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49110" cy="2366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firstLine="8"/>
        <w:spacing w:after="0" w:line="282" w:lineRule="auto"/>
        <w:tabs>
          <w:tab w:leader="none" w:pos="27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includes: Credicorp Capital, Prima AFP, BCP Bolivia, ASB, Grupo Crédito, among other subsidiaries and the eliminations for consolidation purposes.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 efficiency deteriorated 190 bps, which was attributable to:</w:t>
      </w:r>
    </w:p>
    <w:p>
      <w:pPr>
        <w:spacing w:after="0" w:line="225" w:lineRule="exact"/>
        <w:rPr>
          <w:sz w:val="20"/>
          <w:szCs w:val="20"/>
          <w:color w:val="auto"/>
        </w:rPr>
      </w:pPr>
    </w:p>
    <w:p>
      <w:pPr>
        <w:jc w:val="both"/>
        <w:ind w:left="880" w:hanging="494"/>
        <w:spacing w:after="0" w:line="266" w:lineRule="auto"/>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evolution of the Microfinance business, where deterioration was driven by a drop in net interest income at Mibanco due to the influx of low-interest government loans and the increase registered in operating expenses at the Bancompartir subsidiary, which have been included in this accounting line since December 2019.</w:t>
      </w:r>
    </w:p>
    <w:p>
      <w:pPr>
        <w:spacing w:after="0" w:line="175" w:lineRule="exact"/>
        <w:rPr>
          <w:rFonts w:ascii="Times New Roman" w:cs="Times New Roman" w:eastAsia="Times New Roman" w:hAnsi="Times New Roman"/>
          <w:sz w:val="18"/>
          <w:szCs w:val="18"/>
          <w:color w:val="auto"/>
        </w:rPr>
      </w:pPr>
    </w:p>
    <w:p>
      <w:pPr>
        <w:ind w:left="880" w:hanging="494"/>
        <w:spacing w:after="0" w:line="282" w:lineRule="auto"/>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deterioration in Investment Banking and Wealth Management, which was mainly attributable to Credicorp Capital and driven by growth in salaries and employee benefits after Ultraserfinco’s headcount was included in November 2019.</w:t>
      </w:r>
    </w:p>
    <w:p>
      <w:pPr>
        <w:spacing w:after="0" w:line="161" w:lineRule="exact"/>
        <w:rPr>
          <w:rFonts w:ascii="Times New Roman" w:cs="Times New Roman" w:eastAsia="Times New Roman" w:hAnsi="Times New Roman"/>
          <w:sz w:val="18"/>
          <w:szCs w:val="18"/>
          <w:color w:val="auto"/>
        </w:rPr>
      </w:pPr>
    </w:p>
    <w:p>
      <w:pPr>
        <w:jc w:val="both"/>
        <w:ind w:left="880" w:hanging="494"/>
        <w:spacing w:after="0" w:line="266" w:lineRule="auto"/>
        <w:tabs>
          <w:tab w:leader="none" w:pos="88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Lastly, BCP Stand-alone also registered a deterioration in its efficiency, which was attributable to a drop in net interest income due to the one-off effect on financial expenses generated by debt restructuring. It is important to note that this effect lead to a lower funding cost in the future. The aforementioned was attenuated by a drop in operating expenses after variable compensation fell.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YTD, efficiency deteriorated 300 bps. This impact reflects the impairment reported in 2Q20 after some clients opted to freeze loans due to a drop in their income. If we exclude the one-off for impairment and financial expenses, the adjusted efficiency ratio deteriorated 160 bps. The figure below shows the impact of the variation at each subsidiary on the YTD efficiency ratio:</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YTD evolution of the efficiency ratio by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156845</wp:posOffset>
            </wp:positionV>
            <wp:extent cx="6823710" cy="1911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23710" cy="1911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360" w:firstLine="8"/>
        <w:spacing w:after="0" w:line="282" w:lineRule="auto"/>
        <w:tabs>
          <w:tab w:leader="none" w:pos="25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includes: Credicorp Capital, Prima AFP, BCP Bolivia, ASB, Grupo Credito, among other subsidiaries and the eliminations for consolidation purposes.</w:t>
      </w:r>
    </w:p>
    <w:p>
      <w:pPr>
        <w:spacing w:after="0" w:line="37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50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Regulatory Capital</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8.1. Regulatory Capital – BAP</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Adequacy Ratios</w:t>
            </w: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5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Sep-19</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Sep-20</w:t>
            </w:r>
          </w:p>
        </w:tc>
        <w:tc>
          <w:tcPr>
            <w:tcW w:w="2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QoQ</w:t>
            </w:r>
          </w:p>
        </w:tc>
        <w:tc>
          <w:tcPr>
            <w:tcW w:w="2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Stock</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1,318,993</w:t>
            </w: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1,318,993</w:t>
            </w:r>
          </w:p>
        </w:tc>
        <w:tc>
          <w:tcPr>
            <w:tcW w:w="2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Treasury Stocks</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(207,839)</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(209,309)</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(209,305)</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Surplus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222,605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160,430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157,767</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Legal and Other capital reserves </w:t>
            </w:r>
            <w:r>
              <w:rPr>
                <w:rFonts w:ascii="Times New Roman" w:cs="Times New Roman" w:eastAsia="Times New Roman" w:hAnsi="Times New Roman"/>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19,416,912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21,381,402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21,405,740</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3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Minority interest </w:t>
            </w:r>
            <w:r>
              <w:rPr>
                <w:rFonts w:ascii="Times New Roman" w:cs="Times New Roman" w:eastAsia="Times New Roman" w:hAnsi="Times New Roman"/>
                <w:sz w:val="26"/>
                <w:szCs w:val="26"/>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357,157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418,868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421,250</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Loan loss reserves </w:t>
            </w:r>
            <w:r>
              <w:rPr>
                <w:rFonts w:ascii="Times New Roman" w:cs="Times New Roman" w:eastAsia="Times New Roman" w:hAnsi="Times New Roman"/>
                <w:sz w:val="26"/>
                <w:szCs w:val="26"/>
                <w:color w:val="auto"/>
                <w:vertAlign w:val="superscript"/>
              </w:rPr>
              <w:t>(3)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1,633,135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1,876,506</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1,818,720</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-3.1%</w:t>
            </w:r>
          </w:p>
        </w:tc>
        <w:tc>
          <w:tcPr>
            <w:tcW w:w="3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Perpetual subordinated debt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592,025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Subordinated Debt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4,778,365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4,698,109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5,241,953</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189"/>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equity and subordinated debt of financial and insurance</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5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companies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(775,048)</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(674,492)</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(699,066)</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3.6%</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03"/>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Goodwill</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(621,686)</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(851,731)</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(790,335)</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-7.2%</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year Net Loss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(411,117)</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(306,510)</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Deduction for subordinated debt limit (50% of Tier I excluding deductions)</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vMerge w:val="restart"/>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6"/>
                <w:szCs w:val="16"/>
                <w:color w:val="auto"/>
              </w:rPr>
            </w:pPr>
          </w:p>
        </w:tc>
        <w:tc>
          <w:tcPr>
            <w:tcW w:w="860" w:type="dxa"/>
            <w:vAlign w:val="bottom"/>
            <w:gridSpan w:val="2"/>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9"/>
        </w:trPr>
        <w:tc>
          <w:tcPr>
            <w:tcW w:w="160" w:type="dxa"/>
            <w:vAlign w:val="bottom"/>
          </w:tcPr>
          <w:p>
            <w:pPr>
              <w:spacing w:after="0"/>
              <w:rPr>
                <w:sz w:val="17"/>
                <w:szCs w:val="17"/>
                <w:color w:val="auto"/>
              </w:rPr>
            </w:pPr>
          </w:p>
        </w:tc>
        <w:tc>
          <w:tcPr>
            <w:tcW w:w="4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5160" w:type="dxa"/>
            <w:vAlign w:val="bottom"/>
            <w:gridSpan w:val="3"/>
            <w:shd w:val="clear" w:color="auto" w:fill="CCEEFF"/>
          </w:tcPr>
          <w:p>
            <w:pPr>
              <w:spacing w:after="0" w:line="246" w:lineRule="exact"/>
              <w:rPr>
                <w:sz w:val="20"/>
                <w:szCs w:val="20"/>
                <w:color w:val="auto"/>
              </w:rPr>
            </w:pPr>
            <w:r>
              <w:rPr>
                <w:rFonts w:ascii="Times New Roman" w:cs="Times New Roman" w:eastAsia="Times New Roman" w:hAnsi="Times New Roman"/>
                <w:sz w:val="16"/>
                <w:szCs w:val="16"/>
                <w:color w:val="auto"/>
              </w:rPr>
              <w:t xml:space="preserve">Deduction for Tier I Limit (50% of Regulatory capital) </w:t>
            </w:r>
            <w:r>
              <w:rPr>
                <w:rFonts w:ascii="Times New Roman" w:cs="Times New Roman" w:eastAsia="Times New Roman" w:hAnsi="Times New Roman"/>
                <w:sz w:val="26"/>
                <w:szCs w:val="26"/>
                <w:color w:val="auto"/>
                <w:vertAlign w:val="superscript"/>
              </w:rPr>
              <w:t>(4)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Total Regulatory Capital (A)</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26,714,619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27,707,660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28,359,206</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w:t>
            </w:r>
          </w:p>
        </w:tc>
        <w:tc>
          <w:tcPr>
            <w:tcW w:w="300" w:type="dxa"/>
            <w:vAlign w:val="bottom"/>
          </w:tcPr>
          <w:p>
            <w:pPr>
              <w:spacing w:after="0"/>
              <w:rPr>
                <w:sz w:val="17"/>
                <w:szCs w:val="17"/>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Tier 1 </w:t>
            </w:r>
            <w:r>
              <w:rPr>
                <w:rFonts w:ascii="Times New Roman" w:cs="Times New Roman" w:eastAsia="Times New Roman" w:hAnsi="Times New Roman"/>
                <w:sz w:val="26"/>
                <w:szCs w:val="26"/>
                <w:color w:val="auto"/>
                <w:vertAlign w:val="superscript"/>
              </w:rPr>
              <w:t>(5)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14,739,047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14,833,795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14,987,233</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Tier 2 </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6"/>
                <w:szCs w:val="16"/>
                <w:color w:val="auto"/>
              </w:rPr>
              <w:t xml:space="preserve"> + Tier 3 </w:t>
            </w:r>
            <w:r>
              <w:rPr>
                <w:rFonts w:ascii="Times New Roman" w:cs="Times New Roman" w:eastAsia="Times New Roman" w:hAnsi="Times New Roman"/>
                <w:sz w:val="26"/>
                <w:szCs w:val="26"/>
                <w:color w:val="auto"/>
                <w:vertAlign w:val="superscript"/>
              </w:rPr>
              <w:t>(7)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11,975,572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12,873,865</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13,371,972</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3.9%</w:t>
            </w:r>
          </w:p>
        </w:tc>
        <w:tc>
          <w:tcPr>
            <w:tcW w:w="3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43"/>
        </w:trPr>
        <w:tc>
          <w:tcPr>
            <w:tcW w:w="5160" w:type="dxa"/>
            <w:vAlign w:val="bottom"/>
            <w:gridSpan w:val="3"/>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Financial Consolidated Group (FCG) Regulatory Capital Requirements </w:t>
            </w:r>
            <w:r>
              <w:rPr>
                <w:rFonts w:ascii="Times New Roman" w:cs="Times New Roman" w:eastAsia="Times New Roman" w:hAnsi="Times New Roman"/>
                <w:sz w:val="26"/>
                <w:szCs w:val="26"/>
                <w:color w:val="auto"/>
                <w:vertAlign w:val="superscript"/>
              </w:rPr>
              <w:t>(8)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20,170,802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19,619,598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18,607,279</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-5.2%</w:t>
            </w:r>
          </w:p>
        </w:tc>
        <w:tc>
          <w:tcPr>
            <w:tcW w:w="30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0" w:type="dxa"/>
            <w:vAlign w:val="bottom"/>
          </w:tcPr>
          <w:p>
            <w:pPr>
              <w:spacing w:after="0"/>
              <w:rPr>
                <w:sz w:val="1"/>
                <w:szCs w:val="1"/>
                <w:color w:val="auto"/>
              </w:rPr>
            </w:pPr>
          </w:p>
        </w:tc>
      </w:tr>
      <w:tr>
        <w:trPr>
          <w:trHeight w:val="243"/>
        </w:trPr>
        <w:tc>
          <w:tcPr>
            <w:tcW w:w="5160" w:type="dxa"/>
            <w:vAlign w:val="bottom"/>
            <w:gridSpan w:val="3"/>
          </w:tcPr>
          <w:p>
            <w:pPr>
              <w:spacing w:after="0" w:line="243" w:lineRule="exact"/>
              <w:rPr>
                <w:sz w:val="20"/>
                <w:szCs w:val="20"/>
                <w:color w:val="auto"/>
              </w:rPr>
            </w:pPr>
            <w:r>
              <w:rPr>
                <w:rFonts w:ascii="Times New Roman" w:cs="Times New Roman" w:eastAsia="Times New Roman" w:hAnsi="Times New Roman"/>
                <w:sz w:val="16"/>
                <w:szCs w:val="16"/>
                <w:color w:val="auto"/>
              </w:rPr>
              <w:t xml:space="preserve">Insurance Consolidated Group (ICG) Capital Requirements </w:t>
            </w:r>
            <w:r>
              <w:rPr>
                <w:rFonts w:ascii="Times New Roman" w:cs="Times New Roman" w:eastAsia="Times New Roman" w:hAnsi="Times New Roman"/>
                <w:sz w:val="26"/>
                <w:szCs w:val="26"/>
                <w:color w:val="auto"/>
                <w:vertAlign w:val="superscript"/>
              </w:rPr>
              <w:t>(9)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1,139,617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1,232,497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1,241,465</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FCG Capital Requirements related to operations with ICG</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(236,036)</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(500,356)</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(477,400)</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-4.6%</w:t>
            </w:r>
          </w:p>
        </w:tc>
        <w:tc>
          <w:tcPr>
            <w:tcW w:w="30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w:t>
            </w:r>
          </w:p>
        </w:tc>
        <w:tc>
          <w:tcPr>
            <w:tcW w:w="0" w:type="dxa"/>
            <w:vAlign w:val="bottom"/>
          </w:tcPr>
          <w:p>
            <w:pPr>
              <w:spacing w:after="0"/>
              <w:rPr>
                <w:sz w:val="1"/>
                <w:szCs w:val="1"/>
                <w:color w:val="auto"/>
              </w:rPr>
            </w:pPr>
          </w:p>
        </w:tc>
      </w:tr>
      <w:tr>
        <w:trPr>
          <w:trHeight w:val="210"/>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ICG Capital Requirements related to operations with FCG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16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Regulatory Capital Requirements (B)</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21,074,383</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20,351,739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19,371,344</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-4.8</w:t>
            </w:r>
          </w:p>
        </w:tc>
        <w:tc>
          <w:tcPr>
            <w:tcW w:w="28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196"/>
        </w:trPr>
        <w:tc>
          <w:tcPr>
            <w:tcW w:w="51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Regulatory Capital Ratio (A) / (B)</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1.27</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1.36</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1.46</w:t>
            </w: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Required Regulatory Capital Ratio (10)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other capital reserves include restricted capital reserves (PEN 14,745 million) and optional capital reserves (PEN 6,661 million).</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Minority interest includes Tier I (PEN 421 million)</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 of total risk-weighted assets of Banco de Credito del Peru, Solucion Empresa Administradora Hipotecaria, Mibanco and Atlantic Security Bank.</w:t>
      </w: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 Tier III cannot be more than 50% of total regulatory capital.</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69"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 = capital + restricted capital reserves + Tier I minority interest - goodwill - (0.5 x investment in equity and subordinated debt of financial and insurance companies) + perpetual subordinated debt.</w:t>
      </w:r>
    </w:p>
    <w:p>
      <w:pPr>
        <w:ind w:firstLine="8"/>
        <w:spacing w:after="0" w:line="250" w:lineRule="auto"/>
        <w:tabs>
          <w:tab w:leader="none" w:pos="27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 = subordinated debt + TierII minority interest tier + loan loss reserves - (0.5 x investment in equity and subordinated debt of financial and insurance companies).</w:t>
      </w: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III = Subordinated debt covering market risk only.</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regulatory capital requirements of the financial consolidated group.</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regulatory capital requirements of the insurance consolidated group.</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 Total Regulatory Capital Requirements (legal minimum = 1.00).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regulatory capital in Credicorp increased 2.4% QoQ and 6.2% YoY, which was attributable to:</w:t>
      </w:r>
    </w:p>
    <w:p>
      <w:pPr>
        <w:spacing w:after="0" w:line="225" w:lineRule="exact"/>
        <w:rPr>
          <w:sz w:val="20"/>
          <w:szCs w:val="20"/>
          <w:color w:val="auto"/>
        </w:rPr>
      </w:pPr>
    </w:p>
    <w:p>
      <w:pPr>
        <w:ind w:left="880" w:hanging="494"/>
        <w:spacing w:after="0"/>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in facultative and restricted reserves after expectations for economic growth in Peru were revised due to the COVID-19 pandemic.</w:t>
      </w:r>
    </w:p>
    <w:p>
      <w:pPr>
        <w:spacing w:after="0" w:line="27" w:lineRule="exact"/>
        <w:rPr>
          <w:rFonts w:ascii="Times New Roman" w:cs="Times New Roman" w:eastAsia="Times New Roman" w:hAnsi="Times New Roman"/>
          <w:sz w:val="18"/>
          <w:szCs w:val="18"/>
          <w:color w:val="auto"/>
        </w:rPr>
      </w:pPr>
    </w:p>
    <w:p>
      <w:pPr>
        <w:ind w:left="880" w:right="20" w:hanging="494"/>
        <w:spacing w:after="0" w:line="260" w:lineRule="auto"/>
        <w:tabs>
          <w:tab w:leader="none" w:pos="8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subordinated debt, which was attributable to an issuance for $850 million at BCP Stand-alone in the month of July (debt restructuring strategy).</w:t>
      </w:r>
    </w:p>
    <w:p>
      <w:pPr>
        <w:spacing w:after="0" w:line="1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Credicorp’s regulatory capital requirement fell -4.8% QoQ and -8.1% YoY. This was attributable to the fact that regulatory capital requirements for financial companies, that participated in government reactivation programs were reduced.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Credicorp’s regulatory capital ratio remained at a comfortable level at the end of 3Q20 and represented 1.46 times the capital required by the regulator in Peru.</w:t>
      </w:r>
    </w:p>
    <w:p>
      <w:pPr>
        <w:spacing w:after="0" w:line="378"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8.2. Regulatory Capital – BCP Stand-alone based on Peru GAAP</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Regulatory Capital and Capital Adequacy Ratios - SBS</w:t>
            </w: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4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S/ 000</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Sep-19</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Jun-20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QoQ</w:t>
            </w:r>
          </w:p>
        </w:tc>
        <w:tc>
          <w:tcPr>
            <w:tcW w:w="2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YoY</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Stock</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10,217,387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11,067,387</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11,067,387</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Legal and Other capital reserves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4,695,118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6,164,175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6,164,175</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earnings with capitalization agreement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850,000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5"/>
              </w:rPr>
              <w:t>n.a.</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Loan loss reserves </w:t>
            </w:r>
            <w:r>
              <w:rPr>
                <w:rFonts w:ascii="Times New Roman" w:cs="Times New Roman" w:eastAsia="Times New Roman" w:hAnsi="Times New Roman"/>
                <w:sz w:val="26"/>
                <w:szCs w:val="26"/>
                <w:color w:val="auto"/>
                <w:vertAlign w:val="superscript"/>
              </w:rPr>
              <w:t>(1)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1,320,345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1,603,535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1,565,704</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Perpetual subordinated debt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592,025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CCEEFF"/>
          </w:tcPr>
          <w:p>
            <w:pPr>
              <w:jc w:val="center"/>
              <w:ind w:left="139"/>
              <w:spacing w:after="0"/>
              <w:rPr>
                <w:sz w:val="20"/>
                <w:szCs w:val="20"/>
                <w:color w:val="auto"/>
              </w:rPr>
            </w:pPr>
            <w:r>
              <w:rPr>
                <w:rFonts w:ascii="Times New Roman" w:cs="Times New Roman" w:eastAsia="Times New Roman" w:hAnsi="Times New Roman"/>
                <w:sz w:val="16"/>
                <w:szCs w:val="16"/>
                <w:color w:val="auto"/>
                <w:w w:val="95"/>
              </w:rPr>
              <w:t>n.a.</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n.a.</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Subordinated Debt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4,319,204</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4,248,967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4,787,489</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189"/>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subsidiaries and others, net of unrealized profit and net</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income</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(1,722,979)</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(1,934,790)</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(1,934,790)</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03"/>
        </w:trPr>
        <w:tc>
          <w:tcPr>
            <w:tcW w:w="50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Investment in subsidiaries and others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(2,006,574)</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(2,020,533)</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(2,018,037)</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profit and net income in subsidiaries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283,595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85,742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83,247</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(122,083)</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(122,083)</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(122,083)</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Regulatory Capital - SBS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20,149,017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21,027,190</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21,527,881</w:t>
            </w:r>
          </w:p>
        </w:tc>
        <w:tc>
          <w:tcPr>
            <w:tcW w:w="1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6.8%</w:t>
            </w: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Off-balance sheet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88,421,907</w:t>
            </w:r>
          </w:p>
        </w:tc>
        <w:tc>
          <w:tcPr>
            <w:tcW w:w="2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87,359,668</w:t>
            </w:r>
          </w:p>
        </w:tc>
        <w:tc>
          <w:tcPr>
            <w:tcW w:w="2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85,815,159</w:t>
            </w:r>
          </w:p>
        </w:tc>
        <w:tc>
          <w:tcPr>
            <w:tcW w:w="240" w:type="dxa"/>
            <w:vAlign w:val="bottom"/>
            <w:tcBorders>
              <w:bottom w:val="single" w:sz="8" w:color="CCEEFF"/>
            </w:tcBorders>
          </w:tcPr>
          <w:p>
            <w:pPr>
              <w:spacing w:after="0"/>
              <w:rPr>
                <w:sz w:val="17"/>
                <w:szCs w:val="17"/>
                <w:color w:val="auto"/>
              </w:rPr>
            </w:pPr>
          </w:p>
        </w:tc>
        <w:tc>
          <w:tcPr>
            <w:tcW w:w="1000" w:type="dxa"/>
            <w:vAlign w:val="bottom"/>
            <w:tcBorders>
              <w:top w:val="single" w:sz="8" w:color="auto"/>
              <w:bottom w:val="single" w:sz="8" w:color="auto"/>
            </w:tcBorders>
          </w:tcPr>
          <w:p>
            <w:pPr>
              <w:jc w:val="center"/>
              <w:ind w:left="679"/>
              <w:spacing w:after="0"/>
              <w:rPr>
                <w:sz w:val="20"/>
                <w:szCs w:val="20"/>
                <w:color w:val="auto"/>
              </w:rPr>
            </w:pPr>
            <w:r>
              <w:rPr>
                <w:rFonts w:ascii="Times New Roman" w:cs="Times New Roman" w:eastAsia="Times New Roman" w:hAnsi="Times New Roman"/>
                <w:sz w:val="16"/>
                <w:szCs w:val="16"/>
                <w:color w:val="auto"/>
                <w:w w:val="94"/>
              </w:rPr>
              <w:t>-1.8</w:t>
            </w:r>
          </w:p>
        </w:tc>
        <w:tc>
          <w:tcPr>
            <w:tcW w:w="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50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6"/>
                <w:szCs w:val="16"/>
                <w:color w:val="auto"/>
              </w:rPr>
              <w:t xml:space="preserve">Regulatori Tier 1 Capital </w:t>
            </w:r>
            <w:r>
              <w:rPr>
                <w:rFonts w:ascii="Times New Roman" w:cs="Times New Roman" w:eastAsia="Times New Roman" w:hAnsi="Times New Roman"/>
                <w:sz w:val="25"/>
                <w:szCs w:val="25"/>
                <w:color w:val="auto"/>
                <w:vertAlign w:val="superscript"/>
              </w:rPr>
              <w:t>(2)</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15,370,957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14,971,384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14,971,384</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56"/>
        </w:trPr>
        <w:tc>
          <w:tcPr>
            <w:tcW w:w="5080" w:type="dxa"/>
            <w:vAlign w:val="bottom"/>
            <w:gridSpan w:val="2"/>
          </w:tcPr>
          <w:p>
            <w:pPr>
              <w:spacing w:after="0" w:line="256" w:lineRule="exact"/>
              <w:rPr>
                <w:sz w:val="20"/>
                <w:szCs w:val="20"/>
                <w:color w:val="auto"/>
              </w:rPr>
            </w:pPr>
            <w:r>
              <w:rPr>
                <w:rFonts w:ascii="Times New Roman" w:cs="Times New Roman" w:eastAsia="Times New Roman" w:hAnsi="Times New Roman"/>
                <w:sz w:val="16"/>
                <w:szCs w:val="16"/>
                <w:color w:val="auto"/>
              </w:rPr>
              <w:t xml:space="preserve">Regulatory Tier 2 Capital </w:t>
            </w:r>
            <w:r>
              <w:rPr>
                <w:rFonts w:ascii="Times New Roman" w:cs="Times New Roman" w:eastAsia="Times New Roman" w:hAnsi="Times New Roman"/>
                <w:sz w:val="26"/>
                <w:szCs w:val="26"/>
                <w:color w:val="auto"/>
                <w:vertAlign w:val="superscript"/>
              </w:rPr>
              <w:t>(3)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4,778,060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6,055,806</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6,556,497</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8.3%</w:t>
            </w:r>
          </w:p>
        </w:tc>
        <w:tc>
          <w:tcPr>
            <w:tcW w:w="28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Total risk-weighted assets - SBS </w:t>
            </w:r>
            <w:r>
              <w:rPr>
                <w:rFonts w:ascii="Times New Roman" w:cs="Times New Roman" w:eastAsia="Times New Roman" w:hAnsi="Times New Roman"/>
                <w:sz w:val="26"/>
                <w:szCs w:val="26"/>
                <w:b w:val="1"/>
                <w:bCs w:val="1"/>
                <w:color w:val="auto"/>
                <w:vertAlign w:val="superscript"/>
              </w:rPr>
              <w:t>(4)</w:t>
            </w: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shd w:val="clear" w:color="auto" w:fill="CCEEFF"/>
          </w:tcPr>
          <w:p>
            <w:pPr>
              <w:spacing w:after="0"/>
              <w:rPr>
                <w:sz w:val="20"/>
                <w:szCs w:val="20"/>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130,413,864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142,071,064</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139,910,769</w:t>
            </w:r>
          </w:p>
        </w:tc>
        <w:tc>
          <w:tcPr>
            <w:tcW w:w="128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w:t>
            </w:r>
          </w:p>
        </w:tc>
        <w:tc>
          <w:tcPr>
            <w:tcW w:w="28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Credit risk-weighted assets</w:t>
            </w: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118,791,053</w:t>
            </w:r>
          </w:p>
        </w:tc>
        <w:tc>
          <w:tcPr>
            <w:tcW w:w="24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128,282,795</w:t>
            </w:r>
          </w:p>
        </w:tc>
        <w:tc>
          <w:tcPr>
            <w:tcW w:w="240" w:type="dxa"/>
            <w:vAlign w:val="bottom"/>
            <w:vMerge w:val="continue"/>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125,256,288</w:t>
            </w:r>
          </w:p>
        </w:tc>
        <w:tc>
          <w:tcPr>
            <w:tcW w:w="240" w:type="dxa"/>
            <w:vAlign w:val="bottom"/>
            <w:vMerge w:val="continue"/>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Market risk-weighted assets </w:t>
            </w:r>
            <w:r>
              <w:rPr>
                <w:rFonts w:ascii="Times New Roman" w:cs="Times New Roman" w:eastAsia="Times New Roman" w:hAnsi="Times New Roman"/>
                <w:sz w:val="26"/>
                <w:szCs w:val="26"/>
                <w:color w:val="auto"/>
                <w:vertAlign w:val="superscript"/>
              </w:rPr>
              <w:t>(5)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2,143,263</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4,010,627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4,701,577</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212"/>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Operational risk-w eighted assets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9,479,548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9,777,642</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9,952,904</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0"/>
        </w:trPr>
        <w:tc>
          <w:tcPr>
            <w:tcW w:w="50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capital requirement -SBS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16,547,822</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16,077,302</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15,632,180</w:t>
            </w: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w w:val="94"/>
              </w:rPr>
              <w:t>-2.8</w:t>
            </w:r>
          </w:p>
        </w:tc>
        <w:tc>
          <w:tcPr>
            <w:tcW w:w="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w w:val="87"/>
              </w:rPr>
              <w:t>%</w:t>
            </w:r>
          </w:p>
        </w:tc>
        <w:tc>
          <w:tcPr>
            <w:tcW w:w="0" w:type="dxa"/>
            <w:vAlign w:val="bottom"/>
          </w:tcPr>
          <w:p>
            <w:pPr>
              <w:spacing w:after="0"/>
              <w:rPr>
                <w:sz w:val="1"/>
                <w:szCs w:val="1"/>
                <w:color w:val="auto"/>
              </w:rPr>
            </w:pPr>
          </w:p>
        </w:tc>
      </w:tr>
      <w:tr>
        <w:trPr>
          <w:trHeight w:val="196"/>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Credit risk capital requirement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11,879,105</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12,828,280</w:t>
            </w:r>
          </w:p>
        </w:tc>
        <w:tc>
          <w:tcPr>
            <w:tcW w:w="2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12,525,629</w:t>
            </w:r>
          </w:p>
        </w:tc>
        <w:tc>
          <w:tcPr>
            <w:tcW w:w="240" w:type="dxa"/>
            <w:vAlign w:val="bottom"/>
          </w:tcPr>
          <w:p>
            <w:pPr>
              <w:spacing w:after="0"/>
              <w:rPr>
                <w:sz w:val="17"/>
                <w:szCs w:val="17"/>
                <w:color w:val="auto"/>
              </w:rPr>
            </w:pP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Market risk capital requirement</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214,326</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401,063</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470,158</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17.2%</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119.4%</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Operational risk capital requirement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947,955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977,764</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995,290</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Additional capital requirements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3,506,435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1,870,195</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1,641,103</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Common Equity Tier 1 - Basel </w:t>
            </w:r>
            <w:r>
              <w:rPr>
                <w:rFonts w:ascii="Times New Roman" w:cs="Times New Roman" w:eastAsia="Times New Roman" w:hAnsi="Times New Roman"/>
                <w:sz w:val="26"/>
                <w:szCs w:val="26"/>
                <w:b w:val="1"/>
                <w:bCs w:val="1"/>
                <w:color w:val="auto"/>
                <w:vertAlign w:val="superscript"/>
              </w:rPr>
              <w:t>(6)</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15,048,138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15,266,427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15,256,858</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-0.1%</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Capital and reserves</w:t>
            </w: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14,912,505</w:t>
            </w:r>
          </w:p>
        </w:tc>
        <w:tc>
          <w:tcPr>
            <w:tcW w:w="24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17,231,562</w:t>
            </w:r>
          </w:p>
        </w:tc>
        <w:tc>
          <w:tcPr>
            <w:tcW w:w="24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17,231,562</w:t>
            </w:r>
          </w:p>
        </w:tc>
        <w:tc>
          <w:tcPr>
            <w:tcW w:w="24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2,809,595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742,390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785,734</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-72.0%</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gains (losses)</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297,781</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330,343</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326,616</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-198.9%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3"/>
        </w:trPr>
        <w:tc>
          <w:tcPr>
            <w:tcW w:w="5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Goodwill and intangibles</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(965,169)</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(1,017,336)</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(1,069,018)</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5.1%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Investments in subsidiaries</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(2,006,574)</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(2,020,533)</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(2,018,037)</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0" w:type="dxa"/>
            <w:vAlign w:val="bottom"/>
          </w:tcPr>
          <w:p>
            <w:pPr>
              <w:spacing w:after="0"/>
              <w:rPr>
                <w:sz w:val="1"/>
                <w:szCs w:val="1"/>
                <w:color w:val="auto"/>
              </w:rPr>
            </w:pPr>
          </w:p>
        </w:tc>
      </w:tr>
      <w:tr>
        <w:trPr>
          <w:trHeight w:val="20"/>
        </w:trPr>
        <w:tc>
          <w:tcPr>
            <w:tcW w:w="5080" w:type="dxa"/>
            <w:vAlign w:val="bottom"/>
            <w:gridSpan w:val="2"/>
            <w:vMerge w:val="restart"/>
          </w:tcPr>
          <w:p>
            <w:pPr>
              <w:spacing w:after="0" w:line="256" w:lineRule="exact"/>
              <w:rPr>
                <w:sz w:val="20"/>
                <w:szCs w:val="20"/>
                <w:color w:val="auto"/>
              </w:rPr>
            </w:pPr>
            <w:r>
              <w:rPr>
                <w:rFonts w:ascii="Times New Roman" w:cs="Times New Roman" w:eastAsia="Times New Roman" w:hAnsi="Times New Roman"/>
                <w:sz w:val="16"/>
                <w:szCs w:val="16"/>
                <w:b w:val="1"/>
                <w:bCs w:val="1"/>
                <w:color w:val="auto"/>
              </w:rPr>
              <w:t xml:space="preserve">Adjusted Risk-Weighted Assets - Basel </w:t>
            </w:r>
            <w:r>
              <w:rPr>
                <w:rFonts w:ascii="Times New Roman" w:cs="Times New Roman" w:eastAsia="Times New Roman" w:hAnsi="Times New Roman"/>
                <w:sz w:val="26"/>
                <w:szCs w:val="26"/>
                <w:b w:val="1"/>
                <w:bCs w:val="1"/>
                <w:color w:val="auto"/>
                <w:vertAlign w:val="superscript"/>
              </w:rPr>
              <w:t>(7)</w:t>
            </w: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80" w:type="dxa"/>
            <w:vAlign w:val="bottom"/>
            <w:gridSpan w:val="2"/>
            <w:vMerge w:val="continue"/>
          </w:tcPr>
          <w:p>
            <w:pPr>
              <w:spacing w:after="0"/>
              <w:rPr>
                <w:sz w:val="20"/>
                <w:szCs w:val="20"/>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125,960,200</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136,054,845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133,285,120</w:t>
            </w:r>
          </w:p>
        </w:tc>
        <w:tc>
          <w:tcPr>
            <w:tcW w:w="12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w:t>
            </w:r>
          </w:p>
        </w:tc>
        <w:tc>
          <w:tcPr>
            <w:tcW w:w="28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5.8%</w:t>
            </w:r>
          </w:p>
        </w:tc>
        <w:tc>
          <w:tcPr>
            <w:tcW w:w="0" w:type="dxa"/>
            <w:vAlign w:val="bottom"/>
          </w:tcPr>
          <w:p>
            <w:pPr>
              <w:spacing w:after="0"/>
              <w:rPr>
                <w:sz w:val="1"/>
                <w:szCs w:val="1"/>
                <w:color w:val="auto"/>
              </w:rPr>
            </w:pPr>
          </w:p>
        </w:tc>
      </w:tr>
      <w:tr>
        <w:trPr>
          <w:trHeight w:val="20"/>
        </w:trPr>
        <w:tc>
          <w:tcPr>
            <w:tcW w:w="50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80" w:type="dxa"/>
            <w:vAlign w:val="bottom"/>
            <w:gridSpan w:val="2"/>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130,413,864</w:t>
            </w:r>
          </w:p>
        </w:tc>
        <w:tc>
          <w:tcPr>
            <w:tcW w:w="24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142,071,064</w:t>
            </w:r>
          </w:p>
        </w:tc>
        <w:tc>
          <w:tcPr>
            <w:tcW w:w="24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139,910,769</w:t>
            </w:r>
          </w:p>
        </w:tc>
        <w:tc>
          <w:tcPr>
            <w:tcW w:w="24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0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RWA Intangible assets, excluding goodwill.</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4,846,465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6,841,476</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7,924,480</w:t>
            </w:r>
          </w:p>
        </w:tc>
        <w:tc>
          <w:tcPr>
            <w:tcW w:w="12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15.8%</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0" w:type="dxa"/>
            <w:vAlign w:val="bottom"/>
          </w:tcPr>
          <w:p>
            <w:pPr>
              <w:spacing w:after="0"/>
              <w:rPr>
                <w:sz w:val="1"/>
                <w:szCs w:val="1"/>
                <w:color w:val="auto"/>
              </w:rPr>
            </w:pPr>
          </w:p>
        </w:tc>
      </w:tr>
      <w:tr>
        <w:trPr>
          <w:trHeight w:val="189"/>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RWA Deferred tax assets generated as a result of temporary</w:t>
            </w:r>
          </w:p>
        </w:tc>
        <w:tc>
          <w:tcPr>
            <w:tcW w:w="124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392,802</w:t>
            </w: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differences in income tax, in excess of 10% of CET1</w:t>
            </w:r>
          </w:p>
        </w:tc>
        <w:tc>
          <w:tcPr>
            <w:tcW w:w="1240" w:type="dxa"/>
            <w:vAlign w:val="bottom"/>
            <w:gridSpan w:val="2"/>
            <w:vMerge w:val="continue"/>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825,258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1,298,830</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57.4%</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 RWA Deferred tax assets generated as a result of past losses</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Capital ratios</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Regulatory Tier 1 ratio </w:t>
            </w:r>
            <w:r>
              <w:rPr>
                <w:rFonts w:ascii="Times New Roman" w:cs="Times New Roman" w:eastAsia="Times New Roman" w:hAnsi="Times New Roman"/>
                <w:sz w:val="26"/>
                <w:szCs w:val="26"/>
                <w:color w:val="auto"/>
                <w:vertAlign w:val="superscript"/>
              </w:rPr>
              <w:t>(8)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11.79%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10.70%</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16bps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-109bps</w:t>
            </w:r>
          </w:p>
        </w:tc>
        <w:tc>
          <w:tcPr>
            <w:tcW w:w="0" w:type="dxa"/>
            <w:vAlign w:val="bottom"/>
          </w:tcPr>
          <w:p>
            <w:pPr>
              <w:spacing w:after="0"/>
              <w:rPr>
                <w:sz w:val="1"/>
                <w:szCs w:val="1"/>
                <w:color w:val="auto"/>
              </w:rPr>
            </w:pPr>
          </w:p>
        </w:tc>
      </w:tr>
      <w:tr>
        <w:trPr>
          <w:trHeight w:val="243"/>
        </w:trPr>
        <w:tc>
          <w:tcPr>
            <w:tcW w:w="508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Equity Tier 1 ratio </w:t>
            </w:r>
            <w:r>
              <w:rPr>
                <w:rFonts w:ascii="Times New Roman" w:cs="Times New Roman" w:eastAsia="Times New Roman" w:hAnsi="Times New Roman"/>
                <w:sz w:val="26"/>
                <w:szCs w:val="26"/>
                <w:color w:val="auto"/>
                <w:vertAlign w:val="superscript"/>
              </w:rPr>
              <w:t>(9)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11.45%</w:t>
            </w:r>
          </w:p>
        </w:tc>
        <w:tc>
          <w:tcPr>
            <w:tcW w:w="156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6"/>
                <w:szCs w:val="16"/>
                <w:color w:val="auto"/>
              </w:rPr>
              <w:t>23bps</w:t>
            </w:r>
          </w:p>
        </w:tc>
        <w:tc>
          <w:tcPr>
            <w:tcW w:w="8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-50bps</w:t>
            </w:r>
          </w:p>
        </w:tc>
        <w:tc>
          <w:tcPr>
            <w:tcW w:w="0" w:type="dxa"/>
            <w:vAlign w:val="bottom"/>
          </w:tcPr>
          <w:p>
            <w:pPr>
              <w:spacing w:after="0"/>
              <w:rPr>
                <w:sz w:val="1"/>
                <w:szCs w:val="1"/>
                <w:color w:val="auto"/>
              </w:rPr>
            </w:pPr>
          </w:p>
        </w:tc>
      </w:tr>
      <w:tr>
        <w:trPr>
          <w:trHeight w:val="243"/>
        </w:trPr>
        <w:tc>
          <w:tcPr>
            <w:tcW w:w="508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 xml:space="preserve">BIS ratio </w:t>
            </w:r>
            <w:r>
              <w:rPr>
                <w:rFonts w:ascii="Times New Roman" w:cs="Times New Roman" w:eastAsia="Times New Roman" w:hAnsi="Times New Roman"/>
                <w:sz w:val="26"/>
                <w:szCs w:val="26"/>
                <w:color w:val="auto"/>
                <w:vertAlign w:val="superscript"/>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15.39%</w:t>
            </w:r>
          </w:p>
        </w:tc>
        <w:tc>
          <w:tcPr>
            <w:tcW w:w="156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59bps</w:t>
            </w:r>
          </w:p>
        </w:tc>
        <w:tc>
          <w:tcPr>
            <w:tcW w:w="88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-6bps</w:t>
            </w:r>
          </w:p>
        </w:tc>
        <w:tc>
          <w:tcPr>
            <w:tcW w:w="0" w:type="dxa"/>
            <w:vAlign w:val="bottom"/>
          </w:tcPr>
          <w:p>
            <w:pPr>
              <w:spacing w:after="0"/>
              <w:rPr>
                <w:sz w:val="1"/>
                <w:szCs w:val="1"/>
                <w:color w:val="auto"/>
              </w:rPr>
            </w:pPr>
          </w:p>
        </w:tc>
      </w:tr>
      <w:tr>
        <w:trPr>
          <w:trHeight w:val="203"/>
        </w:trPr>
        <w:tc>
          <w:tcPr>
            <w:tcW w:w="5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Risk-weighted assets / Regulatory capital</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6.47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6.76</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6.50</w:t>
            </w:r>
          </w:p>
        </w:tc>
        <w:tc>
          <w:tcPr>
            <w:tcW w:w="128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 of total risk-weighted assets.</w:t>
      </w:r>
    </w:p>
    <w:p>
      <w:pPr>
        <w:spacing w:after="0" w:line="27"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2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5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2 Capital = Subordinated debt + Loan loss reserves + Unrestricted Reserves + (0.5 x Unrealized profit and net income in subsidiaries) - (0.5 x Investment in subsidiaries).</w:t>
      </w:r>
    </w:p>
    <w:p>
      <w:pPr>
        <w:ind w:firstLine="8"/>
        <w:spacing w:after="0" w:line="250" w:lineRule="auto"/>
        <w:tabs>
          <w:tab w:leader="none" w:pos="25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includes capital requirement to cover price and rate risk.</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26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8"/>
        <w:spacing w:after="0" w:line="250" w:lineRule="auto"/>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1 Capital / Total Risk-weighted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Adjusted Risk-Weighted Assetsd Risk-Weighted Assets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9" w:name="page50"/>
    <w:bookmarkEnd w:id="49"/>
    <w:p>
      <w:pPr>
        <w:jc w:val="both"/>
        <w:spacing w:after="0" w:line="266" w:lineRule="auto"/>
        <w:rPr>
          <w:sz w:val="20"/>
          <w:szCs w:val="20"/>
          <w:color w:val="auto"/>
        </w:rPr>
      </w:pPr>
      <w:r>
        <w:rPr>
          <w:rFonts w:ascii="Times New Roman" w:cs="Times New Roman" w:eastAsia="Times New Roman" w:hAnsi="Times New Roman"/>
          <w:sz w:val="18"/>
          <w:szCs w:val="18"/>
          <w:color w:val="auto"/>
        </w:rPr>
        <w:t>At the end of 3Q20, the BIS and Tier 1 ratios at BCP Stand-alone reported a QoQ improvement, situating at 15.39% and 10.70% respectively. This was attributable to a -1.5% reduction in total RWAs, which was driven by: i) growth in loans with government guarantees, which consumer less capital, and ii) a contraction in the structural loan portfolio.</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total increase in regulatory capital was primarily attributable to the 12.7% increase in subordinated debt, which was associated with the $850 million issuance made through the debt restructuring strategy in the month of July.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YoY evolution shows a reduction in both the BIS Ratio and in the Tier 1 Ratio with regard to the levels reported in 3Q19. This was attributable to an increase in the level of RWAs (+7.3%), which was driven by expansion in retail banking loans, which took place primarily in the last quarter of 2019 and in the months prior to the onset of the pandemic in March, and to the higher risk associated with these types of loans.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YoY evolution in total RWAs was reflected primarily in the +5.4% growth registered for average RWAs and to a lesser extent, to expansion in Credit RWAs and operational risk RWAs. Additionally, it is important to note that capital requirements fell -53.2% after the regulator announced a capital release due to the economic cycle; this adjustment is activated when real GDP is believed to be higher than potential GDP.</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Equity Tier 1 Ratio – BCP Stand-alone</w:t>
      </w:r>
    </w:p>
    <w:p>
      <w:pPr>
        <w:spacing w:after="0" w:line="225" w:lineRule="exact"/>
        <w:rPr>
          <w:sz w:val="20"/>
          <w:szCs w:val="20"/>
          <w:color w:val="auto"/>
        </w:rPr>
      </w:pPr>
    </w:p>
    <w:p>
      <w:pPr>
        <w:ind w:left="2420"/>
        <w:spacing w:after="0"/>
        <w:tabs>
          <w:tab w:leader="none" w:pos="7800" w:val="left"/>
        </w:tabs>
        <w:rPr>
          <w:sz w:val="20"/>
          <w:szCs w:val="20"/>
          <w:color w:val="auto"/>
        </w:rPr>
      </w:pPr>
      <w:r>
        <w:rPr>
          <w:rFonts w:ascii="Times New Roman" w:cs="Times New Roman" w:eastAsia="Times New Roman" w:hAnsi="Times New Roman"/>
          <w:sz w:val="18"/>
          <w:szCs w:val="18"/>
          <w:b w:val="1"/>
          <w:bCs w:val="1"/>
          <w:color w:val="auto"/>
        </w:rPr>
        <w:t>June 2020</w:t>
      </w:r>
      <w:r>
        <w:rPr>
          <w:sz w:val="20"/>
          <w:szCs w:val="20"/>
          <w:color w:val="auto"/>
        </w:rPr>
        <w:tab/>
      </w:r>
      <w:r>
        <w:rPr>
          <w:rFonts w:ascii="Times New Roman" w:cs="Times New Roman" w:eastAsia="Times New Roman" w:hAnsi="Times New Roman"/>
          <w:sz w:val="17"/>
          <w:szCs w:val="17"/>
          <w:b w:val="1"/>
          <w:bCs w:val="1"/>
          <w:color w:val="auto"/>
        </w:rPr>
        <w:t>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156845</wp:posOffset>
            </wp:positionV>
            <wp:extent cx="6823710" cy="15430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23710" cy="1543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Includes investments in BCP Bolivia and other subsidiaries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 Ratio Common Equity Tier 1 (CET 1), which is considered the most rigorous measure of capitalization levels, registered expansion of +23bps QoQ, situating at 11.45% at the end of 3Q20 due to a -2.0% QoQ drop in adjusted RWAS, which was in turn attributable to a contraction in structural loans and growth in loans with government guarantees.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YoY analysis, the CET1 ratio fell -50pbs due to a +5.8% increase in adjusted RWAs. This variation was attributable to loan growth in retail banking, which took place primarily in the last quarter of 2019 and in the months prior to the beginning of the pandemic in March. Growth of +1.4% in el Common Equity Tier 1 was insufficient to offset this decline.</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8.3. Regulatory Capital at Mibanco based on Peru GAAP</w:t>
            </w: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Regulatory Capital and Capital Adequacy Ratios - SBS</w:t>
            </w: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5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 000</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Sep-19</w:t>
            </w: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Jun-20</w:t>
            </w:r>
          </w:p>
        </w:tc>
        <w:tc>
          <w:tcPr>
            <w:tcW w:w="26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Sep-20</w:t>
            </w:r>
          </w:p>
        </w:tc>
        <w:tc>
          <w:tcPr>
            <w:tcW w:w="28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8"/>
                <w:szCs w:val="18"/>
                <w:b w:val="1"/>
                <w:bCs w:val="1"/>
                <w:color w:val="auto"/>
              </w:rPr>
              <w:t>QoQ</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1,331,484</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1,714,369</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1,714,369</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and Other capital reserves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207,129</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246,305</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246,305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earnings w ith capitalization agreement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Loan loss reserves </w:t>
            </w:r>
            <w:r>
              <w:rPr>
                <w:rFonts w:ascii="Times New Roman" w:cs="Times New Roman" w:eastAsia="Times New Roman" w:hAnsi="Times New Roman"/>
                <w:sz w:val="29"/>
                <w:szCs w:val="29"/>
                <w:color w:val="auto"/>
                <w:vertAlign w:val="superscript"/>
              </w:rPr>
              <w:t>(1)</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131,241</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144,980</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127,730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Perpetual subordinated debt</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n.a.</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Subordinated Debt</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154,000</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130,000</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130,000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8"/>
        </w:trPr>
        <w:tc>
          <w:tcPr>
            <w:tcW w:w="47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Investment in subsidiaries and others, net of unrealized profit</w:t>
            </w: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net income</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Investment in subsidiaries and others</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Unrealized profit and net income in subsidiaries</w:t>
            </w: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Goodwill</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(139,180)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(139,180)</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(139,180)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Regulatory Capital - SBS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1,684,673</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2,096,473</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2,079,224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-0.8%</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23.4%</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line="250" w:lineRule="exact"/>
              <w:rPr>
                <w:sz w:val="20"/>
                <w:szCs w:val="20"/>
                <w:color w:val="auto"/>
              </w:rPr>
            </w:pPr>
            <w:r>
              <w:rPr>
                <w:rFonts w:ascii="Times New Roman" w:cs="Times New Roman" w:eastAsia="Times New Roman" w:hAnsi="Times New Roman"/>
                <w:sz w:val="17"/>
                <w:szCs w:val="17"/>
                <w:color w:val="auto"/>
              </w:rPr>
              <w:t xml:space="preserve">Regulatori Tier 1 Capital </w:t>
            </w:r>
            <w:r>
              <w:rPr>
                <w:rFonts w:ascii="Times New Roman" w:cs="Times New Roman" w:eastAsia="Times New Roman" w:hAnsi="Times New Roman"/>
                <w:sz w:val="28"/>
                <w:szCs w:val="28"/>
                <w:color w:val="auto"/>
                <w:vertAlign w:val="superscript"/>
              </w:rPr>
              <w:t>(2)</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1,396,696</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1,818,754</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1,818,754</w:t>
            </w:r>
          </w:p>
        </w:tc>
        <w:tc>
          <w:tcPr>
            <w:tcW w:w="28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03"/>
        </w:trPr>
        <w:tc>
          <w:tcPr>
            <w:tcW w:w="474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5"/>
                <w:szCs w:val="15"/>
                <w:color w:val="auto"/>
              </w:rPr>
              <w:t xml:space="preserve">Regulatory Tier 2 Capital </w:t>
            </w:r>
            <w:r>
              <w:rPr>
                <w:rFonts w:ascii="Times New Roman" w:cs="Times New Roman" w:eastAsia="Times New Roman" w:hAnsi="Times New Roman"/>
                <w:sz w:val="23"/>
                <w:szCs w:val="23"/>
                <w:color w:val="auto"/>
                <w:vertAlign w:val="superscript"/>
              </w:rPr>
              <w:t>(3)</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287,977</w:t>
            </w:r>
          </w:p>
        </w:tc>
        <w:tc>
          <w:tcPr>
            <w:tcW w:w="126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277,719</w:t>
            </w:r>
          </w:p>
        </w:tc>
        <w:tc>
          <w:tcPr>
            <w:tcW w:w="12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260,469</w:t>
            </w:r>
          </w:p>
        </w:tc>
        <w:tc>
          <w:tcPr>
            <w:tcW w:w="1420" w:type="dxa"/>
            <w:vAlign w:val="bottom"/>
            <w:gridSpan w:val="2"/>
            <w:shd w:val="clear" w:color="auto" w:fill="CCEEFF"/>
          </w:tcPr>
          <w:p>
            <w:pPr>
              <w:ind w:left="1240"/>
              <w:spacing w:after="0" w:line="20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81"/>
        </w:trPr>
        <w:tc>
          <w:tcPr>
            <w:tcW w:w="4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260" w:type="dxa"/>
            <w:vAlign w:val="bottom"/>
            <w:gridSpan w:val="2"/>
            <w:vMerge w:val="continue"/>
            <w:shd w:val="clear" w:color="auto" w:fill="CCEEFF"/>
          </w:tcPr>
          <w:p>
            <w:pPr>
              <w:spacing w:after="0"/>
              <w:rPr>
                <w:sz w:val="7"/>
                <w:szCs w:val="7"/>
                <w:color w:val="auto"/>
              </w:rPr>
            </w:pPr>
          </w:p>
        </w:tc>
        <w:tc>
          <w:tcPr>
            <w:tcW w:w="1280" w:type="dxa"/>
            <w:vAlign w:val="bottom"/>
            <w:gridSpan w:val="2"/>
            <w:vMerge w:val="continue"/>
            <w:shd w:val="clear" w:color="auto" w:fill="CCEEFF"/>
          </w:tcPr>
          <w:p>
            <w:pPr>
              <w:spacing w:after="0"/>
              <w:rPr>
                <w:sz w:val="7"/>
                <w:szCs w:val="7"/>
                <w:color w:val="auto"/>
              </w:rPr>
            </w:pPr>
          </w:p>
        </w:tc>
        <w:tc>
          <w:tcPr>
            <w:tcW w:w="1420" w:type="dxa"/>
            <w:vAlign w:val="bottom"/>
            <w:gridSpan w:val="2"/>
            <w:shd w:val="clear" w:color="auto" w:fill="CCEEFF"/>
          </w:tcPr>
          <w:p>
            <w:pPr>
              <w:jc w:val="right"/>
              <w:ind w:right="90"/>
              <w:spacing w:after="0" w:line="81" w:lineRule="exact"/>
              <w:rPr>
                <w:sz w:val="20"/>
                <w:szCs w:val="20"/>
                <w:color w:val="auto"/>
              </w:rPr>
            </w:pPr>
            <w:r>
              <w:rPr>
                <w:rFonts w:ascii="Times New Roman" w:cs="Times New Roman" w:eastAsia="Times New Roman" w:hAnsi="Times New Roman"/>
                <w:sz w:val="9"/>
                <w:szCs w:val="9"/>
                <w:color w:val="auto"/>
              </w:rPr>
              <w:t>-6.2</w:t>
            </w:r>
          </w:p>
        </w:tc>
        <w:tc>
          <w:tcPr>
            <w:tcW w:w="120" w:type="dxa"/>
            <w:vAlign w:val="bottom"/>
            <w:shd w:val="clear" w:color="auto" w:fill="CCEEFF"/>
          </w:tcPr>
          <w:p>
            <w:pPr>
              <w:spacing w:after="0"/>
              <w:rPr>
                <w:sz w:val="7"/>
                <w:szCs w:val="7"/>
                <w:color w:val="auto"/>
              </w:rPr>
            </w:pPr>
          </w:p>
        </w:tc>
        <w:tc>
          <w:tcPr>
            <w:tcW w:w="960" w:type="dxa"/>
            <w:vAlign w:val="bottom"/>
            <w:vMerge w:val="continue"/>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line="263" w:lineRule="exact"/>
              <w:rPr>
                <w:sz w:val="20"/>
                <w:szCs w:val="20"/>
                <w:color w:val="auto"/>
              </w:rPr>
            </w:pPr>
            <w:r>
              <w:rPr>
                <w:rFonts w:ascii="Times New Roman" w:cs="Times New Roman" w:eastAsia="Times New Roman" w:hAnsi="Times New Roman"/>
                <w:sz w:val="18"/>
                <w:szCs w:val="18"/>
                <w:b w:val="1"/>
                <w:bCs w:val="1"/>
                <w:color w:val="auto"/>
              </w:rPr>
              <w:t xml:space="preserve">Total risk-weighted assets - SBS </w:t>
            </w:r>
            <w:r>
              <w:rPr>
                <w:rFonts w:ascii="Times New Roman" w:cs="Times New Roman" w:eastAsia="Times New Roman" w:hAnsi="Times New Roman"/>
                <w:sz w:val="29"/>
                <w:szCs w:val="29"/>
                <w:b w:val="1"/>
                <w:bCs w:val="1"/>
                <w:color w:val="auto"/>
                <w:vertAlign w:val="superscript"/>
              </w:rPr>
              <w:t>(4)</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tcPr>
          <w:p>
            <w:pPr>
              <w:spacing w:after="0"/>
              <w:rPr>
                <w:sz w:val="19"/>
                <w:szCs w:val="19"/>
                <w:color w:val="auto"/>
              </w:rPr>
            </w:pP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10,985,106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13,154,838</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11,755,497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20"/>
        </w:trPr>
        <w:tc>
          <w:tcPr>
            <w:tcW w:w="47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risk-w 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gridSpan w:val="2"/>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10,203,773</w:t>
            </w:r>
          </w:p>
        </w:tc>
        <w:tc>
          <w:tcPr>
            <w:tcW w:w="28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11,052,499</w:t>
            </w:r>
          </w:p>
        </w:tc>
        <w:tc>
          <w:tcPr>
            <w:tcW w:w="260" w:type="dxa"/>
            <w:vAlign w:val="bottom"/>
            <w:vMerge w:val="continue"/>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9,736,476</w:t>
            </w:r>
          </w:p>
        </w:tc>
        <w:tc>
          <w:tcPr>
            <w:tcW w:w="280" w:type="dxa"/>
            <w:vAlign w:val="bottom"/>
            <w:vMerge w:val="continue"/>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57"/>
        </w:trPr>
        <w:tc>
          <w:tcPr>
            <w:tcW w:w="474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Market risk-weighted assets </w:t>
            </w:r>
            <w:r>
              <w:rPr>
                <w:rFonts w:ascii="Times New Roman" w:cs="Times New Roman" w:eastAsia="Times New Roman" w:hAnsi="Times New Roman"/>
                <w:sz w:val="29"/>
                <w:szCs w:val="29"/>
                <w:color w:val="auto"/>
                <w:vertAlign w:val="superscript"/>
              </w:rPr>
              <w:t>(5)</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105,056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160,484</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114,638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43"/>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risk-weighted assets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676,277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1,941,855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1,904,383</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capital requirement</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vMerge w:val="restart"/>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bottom w:val="single" w:sz="8" w:color="CCEEFF"/>
            </w:tcBorders>
            <w:vMerge w:val="restart"/>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197"/>
        </w:trPr>
        <w:tc>
          <w:tcPr>
            <w:tcW w:w="4740" w:type="dxa"/>
            <w:vAlign w:val="bottom"/>
            <w:tcBorders>
              <w:bottom w:val="single" w:sz="8" w:color="CCEEFF"/>
            </w:tcBorders>
            <w:gridSpan w:val="2"/>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1,487,011</w:t>
            </w:r>
          </w:p>
        </w:tc>
        <w:tc>
          <w:tcPr>
            <w:tcW w:w="28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1,461,208</w:t>
            </w:r>
          </w:p>
        </w:tc>
        <w:tc>
          <w:tcPr>
            <w:tcW w:w="26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1,322,916</w:t>
            </w:r>
          </w:p>
        </w:tc>
        <w:tc>
          <w:tcPr>
            <w:tcW w:w="280" w:type="dxa"/>
            <w:vAlign w:val="bottom"/>
            <w:tcBorders>
              <w:bottom w:val="single" w:sz="8" w:color="CCEEFF"/>
            </w:tcBorders>
            <w:vMerge w:val="continue"/>
          </w:tcPr>
          <w:p>
            <w:pPr>
              <w:spacing w:after="0"/>
              <w:rPr>
                <w:sz w:val="17"/>
                <w:szCs w:val="17"/>
                <w:color w:val="auto"/>
              </w:rPr>
            </w:pPr>
          </w:p>
        </w:tc>
        <w:tc>
          <w:tcPr>
            <w:tcW w:w="12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-9.5</w:t>
            </w:r>
          </w:p>
        </w:tc>
        <w:tc>
          <w:tcPr>
            <w:tcW w:w="18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CCEEFF"/>
            </w:tcBorders>
            <w:vMerge w:val="continue"/>
          </w:tcPr>
          <w:p>
            <w:pPr>
              <w:spacing w:after="0"/>
              <w:rPr>
                <w:sz w:val="17"/>
                <w:szCs w:val="17"/>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-11.0</w:t>
            </w:r>
          </w:p>
        </w:tc>
        <w:tc>
          <w:tcPr>
            <w:tcW w:w="180" w:type="dxa"/>
            <w:vAlign w:val="bottom"/>
            <w:tcBorders>
              <w:bottom w:val="single" w:sz="8" w:color="CCEEFF"/>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risk capital requirement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1,020,377</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1,105,250</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973,648</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risk-weighted assets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10,506</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16,048</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11,464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Operational risk capital requirement</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67,628</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194,185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190,438</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181.6%</w:t>
            </w:r>
          </w:p>
        </w:tc>
        <w:tc>
          <w:tcPr>
            <w:tcW w:w="0" w:type="dxa"/>
            <w:vAlign w:val="bottom"/>
          </w:tcPr>
          <w:p>
            <w:pPr>
              <w:spacing w:after="0"/>
              <w:rPr>
                <w:sz w:val="1"/>
                <w:szCs w:val="1"/>
                <w:color w:val="auto"/>
              </w:rPr>
            </w:pPr>
          </w:p>
        </w:tc>
      </w:tr>
      <w:tr>
        <w:trPr>
          <w:trHeight w:val="26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Additional capital requirements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388,501</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145,725</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147,366</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2"/>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 xml:space="preserve">Common Equity Tier 1 - Basel </w:t>
            </w:r>
            <w:r>
              <w:rPr>
                <w:rFonts w:ascii="Times New Roman" w:cs="Times New Roman" w:eastAsia="Times New Roman" w:hAnsi="Times New Roman"/>
                <w:sz w:val="28"/>
                <w:szCs w:val="28"/>
                <w:b w:val="1"/>
                <w:bCs w:val="1"/>
                <w:color w:val="auto"/>
                <w:vertAlign w:val="superscript"/>
              </w:rPr>
              <w:t>(6)</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1,703,865</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1,809,165</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1,819,014</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0.5</w:t>
            </w:r>
          </w:p>
        </w:tc>
        <w:tc>
          <w:tcPr>
            <w:tcW w:w="1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and reserves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1,380,855</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1,538,613</w:t>
            </w:r>
          </w:p>
        </w:tc>
        <w:tc>
          <w:tcPr>
            <w:tcW w:w="2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1,960,674</w:t>
            </w:r>
          </w:p>
        </w:tc>
        <w:tc>
          <w:tcPr>
            <w:tcW w:w="280" w:type="dxa"/>
            <w:vAlign w:val="bottom"/>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520,041</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485,218</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70,284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w:t>
            </w:r>
          </w:p>
        </w:tc>
        <w:tc>
          <w:tcPr>
            <w:tcW w:w="0" w:type="dxa"/>
            <w:vAlign w:val="bottom"/>
          </w:tcPr>
          <w:p>
            <w:pPr>
              <w:spacing w:after="0"/>
              <w:rPr>
                <w:sz w:val="1"/>
                <w:szCs w:val="1"/>
                <w:color w:val="auto"/>
              </w:rPr>
            </w:pPr>
          </w:p>
        </w:tc>
      </w:tr>
      <w:tr>
        <w:trPr>
          <w:trHeight w:val="216"/>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gains (losses)</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2,091</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5,549</w:t>
            </w:r>
          </w:p>
        </w:tc>
        <w:tc>
          <w:tcPr>
            <w:tcW w:w="12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11,181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-301.5%</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434.6%</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 ill and intangibles</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(198,922)</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(219,993)</w:t>
            </w: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(222,904)</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63"/>
        </w:trPr>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subsidiaries</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(221)</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22"/>
                <w:szCs w:val="22"/>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gridSpan w:val="2"/>
            <w:vMerge w:val="restart"/>
            <w:shd w:val="clear" w:color="auto" w:fill="CCEEFF"/>
          </w:tcPr>
          <w:p>
            <w:pPr>
              <w:spacing w:after="0" w:line="243" w:lineRule="exact"/>
              <w:rPr>
                <w:sz w:val="20"/>
                <w:szCs w:val="20"/>
                <w:color w:val="auto"/>
              </w:rPr>
            </w:pPr>
            <w:r>
              <w:rPr>
                <w:rFonts w:ascii="Times New Roman" w:cs="Times New Roman" w:eastAsia="Times New Roman" w:hAnsi="Times New Roman"/>
                <w:sz w:val="17"/>
                <w:szCs w:val="17"/>
                <w:b w:val="1"/>
                <w:bCs w:val="1"/>
                <w:color w:val="auto"/>
              </w:rPr>
              <w:t xml:space="preserve">Adjusted Risk-Weighted Assets - Basel </w:t>
            </w:r>
            <w:r>
              <w:rPr>
                <w:rFonts w:ascii="Times New Roman" w:cs="Times New Roman" w:eastAsia="Times New Roman" w:hAnsi="Times New Roman"/>
                <w:sz w:val="28"/>
                <w:szCs w:val="28"/>
                <w:b w:val="1"/>
                <w:bCs w:val="1"/>
                <w:color w:val="auto"/>
                <w:vertAlign w:val="superscript"/>
              </w:rPr>
              <w:t>(7)</w:t>
            </w: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CCEEFF"/>
            </w:tcBorders>
            <w:vMerge w:val="restart"/>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line="20" w:lineRule="exact"/>
              <w:rPr>
                <w:sz w:val="1"/>
                <w:szCs w:val="1"/>
                <w:color w:val="auto"/>
              </w:rPr>
            </w:pPr>
          </w:p>
        </w:tc>
      </w:tr>
      <w:tr>
        <w:trPr>
          <w:trHeight w:val="223"/>
        </w:trPr>
        <w:tc>
          <w:tcPr>
            <w:tcW w:w="4740" w:type="dxa"/>
            <w:vAlign w:val="bottom"/>
            <w:gridSpan w:val="2"/>
            <w:vMerge w:val="continue"/>
            <w:shd w:val="clear" w:color="auto" w:fill="CCEEFF"/>
          </w:tcPr>
          <w:p>
            <w:pPr>
              <w:spacing w:after="0"/>
              <w:rPr>
                <w:sz w:val="19"/>
                <w:szCs w:val="19"/>
                <w:color w:val="auto"/>
              </w:rPr>
            </w:pP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10,732,859</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11,888,430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11,042,007</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w:t>
            </w:r>
          </w:p>
        </w:tc>
        <w:tc>
          <w:tcPr>
            <w:tcW w:w="180" w:type="dxa"/>
            <w:vAlign w:val="bottom"/>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Total risk-weighted assets</w:t>
            </w: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2"/>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10,985,106</w:t>
            </w:r>
          </w:p>
        </w:tc>
        <w:tc>
          <w:tcPr>
            <w:tcW w:w="28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13,154,838</w:t>
            </w:r>
          </w:p>
        </w:tc>
        <w:tc>
          <w:tcPr>
            <w:tcW w:w="260" w:type="dxa"/>
            <w:vAlign w:val="bottom"/>
            <w:vMerge w:val="continue"/>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11,755,497</w:t>
            </w:r>
          </w:p>
        </w:tc>
        <w:tc>
          <w:tcPr>
            <w:tcW w:w="280" w:type="dxa"/>
            <w:vAlign w:val="bottom"/>
            <w:vMerge w:val="continue"/>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47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RWA Intangible assets, excluding goodw ill.</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252,247</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642,000</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713,490</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bl>
    <w:p>
      <w:pPr>
        <w:ind w:left="340" w:right="6800" w:hanging="170"/>
        <w:spacing w:after="0" w:line="265" w:lineRule="auto"/>
        <w:tabs>
          <w:tab w:leader="none" w:pos="444"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RWA Deferred tax assets generated as a result of temporary differences in income tax, in excess of 10% of</w:t>
      </w:r>
    </w:p>
    <w:tbl>
      <w:tblPr>
        <w:tblLayout w:type="fixed"/>
        <w:tblInd w:w="0" w:type="dxa"/>
        <w:tblCellMar>
          <w:top w:w="0" w:type="dxa"/>
          <w:left w:w="0" w:type="dxa"/>
          <w:bottom w:w="0" w:type="dxa"/>
          <w:right w:w="0" w:type="dxa"/>
        </w:tblCellMar>
      </w:tblPr>
      <w:tr>
        <w:trPr>
          <w:trHeight w:val="216"/>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CET1</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 RWA adjustment for state coverage, originated by</w:t>
            </w:r>
          </w:p>
        </w:tc>
        <w:tc>
          <w:tcPr>
            <w:tcW w:w="1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temporary difference</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624,408</w:t>
            </w: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8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 RWA Deferred tax assets generated as a result of past</w:t>
            </w:r>
          </w:p>
        </w:tc>
        <w:tc>
          <w:tcPr>
            <w:tcW w:w="13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8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losses</w:t>
            </w:r>
          </w:p>
        </w:tc>
        <w:tc>
          <w:tcPr>
            <w:tcW w:w="1360" w:type="dxa"/>
            <w:vAlign w:val="bottom"/>
            <w:vMerge w:val="continue"/>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Capital ratios</w:t>
            </w:r>
          </w:p>
        </w:tc>
        <w:tc>
          <w:tcPr>
            <w:tcW w:w="1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4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Regulatory Tier 1 ratio </w:t>
            </w:r>
            <w:r>
              <w:rPr>
                <w:rFonts w:ascii="Times New Roman" w:cs="Times New Roman" w:eastAsia="Times New Roman" w:hAnsi="Times New Roman"/>
                <w:sz w:val="29"/>
                <w:szCs w:val="29"/>
                <w:color w:val="auto"/>
                <w:vertAlign w:val="superscript"/>
              </w:rPr>
              <w:t>(8)</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12.71%</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13.83%</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15.47%</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164 bps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276 bps</w:t>
            </w:r>
          </w:p>
        </w:tc>
        <w:tc>
          <w:tcPr>
            <w:tcW w:w="0" w:type="dxa"/>
            <w:vAlign w:val="bottom"/>
          </w:tcPr>
          <w:p>
            <w:pPr>
              <w:spacing w:after="0"/>
              <w:rPr>
                <w:sz w:val="1"/>
                <w:szCs w:val="1"/>
                <w:color w:val="auto"/>
              </w:rPr>
            </w:pPr>
          </w:p>
        </w:tc>
      </w:tr>
      <w:tr>
        <w:trPr>
          <w:trHeight w:val="257"/>
        </w:trPr>
        <w:tc>
          <w:tcPr>
            <w:tcW w:w="48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ratio </w:t>
            </w:r>
            <w:r>
              <w:rPr>
                <w:rFonts w:ascii="Times New Roman" w:cs="Times New Roman" w:eastAsia="Times New Roman" w:hAnsi="Times New Roman"/>
                <w:sz w:val="29"/>
                <w:szCs w:val="29"/>
                <w:color w:val="auto"/>
                <w:vertAlign w:val="superscript"/>
              </w:rPr>
              <w:t>(9)</w:t>
            </w:r>
          </w:p>
        </w:tc>
        <w:tc>
          <w:tcPr>
            <w:tcW w:w="1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15.88%</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15.22%</w:t>
            </w:r>
          </w:p>
        </w:tc>
        <w:tc>
          <w:tcPr>
            <w:tcW w:w="13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16.47%</w:t>
            </w:r>
          </w:p>
        </w:tc>
        <w:tc>
          <w:tcPr>
            <w:tcW w:w="138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125 bps</w:t>
            </w:r>
          </w:p>
        </w:tc>
        <w:tc>
          <w:tcPr>
            <w:tcW w:w="10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 bps</w:t>
            </w:r>
          </w:p>
        </w:tc>
        <w:tc>
          <w:tcPr>
            <w:tcW w:w="0" w:type="dxa"/>
            <w:vAlign w:val="bottom"/>
          </w:tcPr>
          <w:p>
            <w:pPr>
              <w:spacing w:after="0"/>
              <w:rPr>
                <w:sz w:val="1"/>
                <w:szCs w:val="1"/>
                <w:color w:val="auto"/>
              </w:rPr>
            </w:pPr>
          </w:p>
        </w:tc>
      </w:tr>
      <w:tr>
        <w:trPr>
          <w:trHeight w:val="256"/>
        </w:trPr>
        <w:tc>
          <w:tcPr>
            <w:tcW w:w="48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BIS ratio </w:t>
            </w:r>
            <w:r>
              <w:rPr>
                <w:rFonts w:ascii="Times New Roman" w:cs="Times New Roman" w:eastAsia="Times New Roman" w:hAnsi="Times New Roman"/>
                <w:sz w:val="29"/>
                <w:szCs w:val="29"/>
                <w:color w:val="auto"/>
                <w:vertAlign w:val="superscript"/>
              </w:rPr>
              <w:t>(10)</w:t>
            </w:r>
          </w:p>
        </w:tc>
        <w:tc>
          <w:tcPr>
            <w:tcW w:w="1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15.34%</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15.94%</w:t>
            </w:r>
          </w:p>
        </w:tc>
        <w:tc>
          <w:tcPr>
            <w:tcW w:w="13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17.69%</w:t>
            </w:r>
          </w:p>
        </w:tc>
        <w:tc>
          <w:tcPr>
            <w:tcW w:w="138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175 bps</w:t>
            </w: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235 bps</w:t>
            </w: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Risk-w eighted assets / Regulatory capital</w:t>
            </w:r>
          </w:p>
        </w:tc>
        <w:tc>
          <w:tcPr>
            <w:tcW w:w="1360" w:type="dxa"/>
            <w:vAlign w:val="bottom"/>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6.52</w:t>
            </w:r>
          </w:p>
        </w:tc>
        <w:tc>
          <w:tcPr>
            <w:tcW w:w="136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6.27</w:t>
            </w:r>
          </w:p>
        </w:tc>
        <w:tc>
          <w:tcPr>
            <w:tcW w:w="132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5.65</w:t>
            </w:r>
          </w:p>
        </w:tc>
        <w:tc>
          <w:tcPr>
            <w:tcW w:w="1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-9.9%</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1.25% of total risk-weighted assets.</w:t>
      </w:r>
    </w:p>
    <w:p>
      <w:pPr>
        <w:spacing w:after="0" w:line="27"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2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1 Capital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firstLine="8"/>
        <w:spacing w:after="0" w:line="250" w:lineRule="auto"/>
        <w:tabs>
          <w:tab w:leader="none" w:pos="25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2 Capital = Subordinated debt + Loan loss reserves + Unrestricted Reserves + (0.5 x Unrealized profit and net income in subsidiaries) - (0.5 x Investment in subsidiaries).</w:t>
      </w:r>
    </w:p>
    <w:p>
      <w:pPr>
        <w:ind w:firstLine="8"/>
        <w:spacing w:after="0" w:line="250" w:lineRule="auto"/>
        <w:tabs>
          <w:tab w:leader="none" w:pos="258"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July 2012, Total Risk-weighted assets = Credit risk-weighted assets * 1.00 + Capital requirement to cover market risk * 10 + Capital requirement to cover operational risk * 10 * 1.00 (since July 2014)</w:t>
      </w: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includes capital requirement to cover price and rate risk.</w:t>
      </w:r>
    </w:p>
    <w:p>
      <w:pPr>
        <w:spacing w:after="0" w:line="9" w:lineRule="exact"/>
        <w:rPr>
          <w:rFonts w:ascii="Times New Roman" w:cs="Times New Roman" w:eastAsia="Times New Roman" w:hAnsi="Times New Roman"/>
          <w:sz w:val="18"/>
          <w:szCs w:val="18"/>
          <w:color w:val="auto"/>
        </w:rPr>
      </w:pPr>
    </w:p>
    <w:p>
      <w:pPr>
        <w:ind w:right="20" w:firstLine="8"/>
        <w:spacing w:after="0" w:line="250" w:lineRule="auto"/>
        <w:tabs>
          <w:tab w:leader="none" w:pos="26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firstLine="8"/>
        <w:spacing w:after="0" w:line="250" w:lineRule="auto"/>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Risk-Weighted Assets = Risk-weighted assets - (RWA Intangible assets, excluding goodwill, + RWA Deferred tax assets generated as a result of temporary differences in income tax, in excess of 10% of CET1, + RWA Deferred tax assets generated as a result of past losses).</w:t>
      </w: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Tier 1 Capital / Total Risk-weighted assets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Adjusted Risk-Weighted Assetsd Risk-Weighted Assets</w:t>
      </w:r>
    </w:p>
    <w:p>
      <w:pPr>
        <w:spacing w:after="0" w:line="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Regulatory Capital / Total Risk-weighted assets (legal minimum = 10% since July 2011)</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0" w:gutter="0" w:footer="0" w:header="0"/>
        </w:sectPr>
      </w:pPr>
    </w:p>
    <w:bookmarkStart w:id="51" w:name="page52"/>
    <w:bookmarkEnd w:id="51"/>
    <w:p>
      <w:pPr>
        <w:jc w:val="both"/>
        <w:spacing w:after="0" w:line="282" w:lineRule="auto"/>
        <w:rPr>
          <w:sz w:val="20"/>
          <w:szCs w:val="20"/>
          <w:color w:val="auto"/>
        </w:rPr>
      </w:pPr>
      <w:r>
        <w:rPr>
          <w:rFonts w:ascii="Times New Roman" w:cs="Times New Roman" w:eastAsia="Times New Roman" w:hAnsi="Times New Roman"/>
          <w:sz w:val="18"/>
          <w:szCs w:val="18"/>
          <w:color w:val="auto"/>
        </w:rPr>
        <w:t>At the end of 3Q20, the BIS and Tier 1 ratios at Mibanco increased +175bps and 164bps QoQ to situate at 17.69% y 15.47% respectively. This was attributable to -10.6% reduction in RWAS, which was in turn driven by a contraction in structural loans and growth in loans with government guarantees.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YoY evolution shows an increase of 235bps and 276bps in the BIS Ratio and the Tier 1 Ratio respectively. The first was attributable to growth in total regulatory capital (+23.4%) while the second was driven by the positive evolution of Tier 1 (+30.2%), both of which were spurred by earnings capitalization in the second quarter of the year. RWAs expanded +7.0%, hand-in-hand with portfolio growth in the last quarter of 2019 and in the months prior to the onset of the pandemic in March 2020.</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Finally, the Tier 1 Common Equity Ratio (CET 1), which is considered the most rigorous measure of capitalization levels, reported growth of +125bps QoQ and situated at 16.47% at the end of 3Q20; this was driven by a -7.1% decrease in adjusted RWAs. In the YoY analysis, the CET 1 Ratio fell -38bps due to the 2.9% increase in adjusted RWAS. The 0.5% increase in the CET 1 was insufficient to offset the aforementioned.</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2" w:name="page53"/>
    <w:bookmarkEnd w:id="52"/>
    <w:p>
      <w:pPr>
        <w:ind w:left="460" w:hanging="452"/>
        <w:spacing w:after="0"/>
        <w:tabs>
          <w:tab w:leader="none" w:pos="4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Distribution channels</w:t>
      </w:r>
    </w:p>
    <w:p>
      <w:pPr>
        <w:spacing w:after="0" w:line="22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The distribution channels at BCP Stand-alone, Mibanco and BCP Bolivia reported a total of 11,040 points of contact at the end of 3Q20. This represented an increase of 137 points QoQ and 198 YoY that was driven by growth in Agentes, a more cost-efficient channel, at both BCP Stand-alone and BCP Bolivia. The number of branches, in comparison to last quarter’s figure fell –12, and –14 YoY.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Points of Contact</w:t>
            </w: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40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7"/>
              </w:rPr>
              <w:t>change (units)</w:t>
            </w: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Pr>
          <w:p>
            <w:pPr>
              <w:spacing w:after="0"/>
              <w:rPr>
                <w:sz w:val="19"/>
                <w:szCs w:val="19"/>
                <w:color w:val="auto"/>
              </w:rPr>
            </w:pP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8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100" w:type="dxa"/>
            <w:vAlign w:val="bottom"/>
            <w:gridSpan w:val="2"/>
          </w:tcPr>
          <w:p>
            <w:pPr>
              <w:spacing w:after="0"/>
              <w:rPr>
                <w:sz w:val="19"/>
                <w:szCs w:val="19"/>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BCP Stand-alone</w:t>
            </w: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404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2,266</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2,299</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Agentes BCP</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7,051</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6,939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6,997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BCP Stand-alone</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9,721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9,633</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9,689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4080" w:type="dxa"/>
            <w:vAlign w:val="bottom"/>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Total Mibanco's Network </w:t>
            </w:r>
            <w:r>
              <w:rPr>
                <w:rFonts w:ascii="Times New Roman" w:cs="Times New Roman" w:eastAsia="Times New Roman" w:hAnsi="Times New Roman"/>
                <w:sz w:val="27"/>
                <w:szCs w:val="27"/>
                <w:b w:val="1"/>
                <w:bCs w:val="1"/>
                <w:color w:val="auto"/>
                <w:vertAlign w:val="superscript"/>
              </w:rPr>
              <w:t>(1)</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324</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323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44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20"/>
                <w:szCs w:val="20"/>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BCP Bolivia</w:t>
            </w:r>
          </w:p>
        </w:tc>
        <w:tc>
          <w:tcPr>
            <w:tcW w:w="12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ATMs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Agentes BCP Bolivia</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4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Bolivia's Network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797</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82</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points of contact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10,842</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10,903</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11,040</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198" w:lineRule="exact"/>
        <w:rPr>
          <w:sz w:val="20"/>
          <w:szCs w:val="20"/>
          <w:color w:val="auto"/>
        </w:rPr>
      </w:pPr>
    </w:p>
    <w:p>
      <w:pPr>
        <w:ind w:right="1480" w:firstLine="8"/>
        <w:spacing w:after="0" w:line="282" w:lineRule="auto"/>
        <w:tabs>
          <w:tab w:leader="none" w:pos="2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Mibanco does not have Agents or ATMs because it uses the BCP network. Mibanco branches include Banco de la Nacion branches, which in September 19, Junes 20 and September 20 were 35.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 Universal Banking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9.1.1. Points of contact by geographic area – BCP Stand-alone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2"/>
          </w:tcPr>
          <w:p>
            <w:pPr>
              <w:ind w:left="4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2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7"/>
              </w:rPr>
              <w:t>change (units)</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80" w:type="dxa"/>
            <w:vAlign w:val="bottom"/>
          </w:tcPr>
          <w:p>
            <w:pPr>
              <w:spacing w:after="0"/>
              <w:rPr>
                <w:sz w:val="19"/>
                <w:szCs w:val="19"/>
                <w:color w:val="auto"/>
              </w:rPr>
            </w:pPr>
          </w:p>
        </w:tc>
        <w:tc>
          <w:tcPr>
            <w:tcW w:w="14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12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Pr>
          <w:p>
            <w:pPr>
              <w:spacing w:after="0"/>
              <w:rPr>
                <w:sz w:val="19"/>
                <w:szCs w:val="19"/>
                <w:color w:val="auto"/>
              </w:rPr>
            </w:pPr>
          </w:p>
        </w:tc>
        <w:tc>
          <w:tcPr>
            <w:tcW w:w="1880" w:type="dxa"/>
            <w:vAlign w:val="bottom"/>
            <w:gridSpan w:val="3"/>
          </w:tcPr>
          <w:p>
            <w:pPr>
              <w:ind w:left="420"/>
              <w:spacing w:after="0"/>
              <w:rPr>
                <w:sz w:val="20"/>
                <w:szCs w:val="20"/>
                <w:color w:val="auto"/>
              </w:rPr>
            </w:pPr>
            <w:r>
              <w:rPr>
                <w:rFonts w:ascii="Times New Roman" w:cs="Times New Roman" w:eastAsia="Times New Roman" w:hAnsi="Times New Roman"/>
                <w:sz w:val="18"/>
                <w:szCs w:val="18"/>
                <w:b w:val="1"/>
                <w:bCs w:val="1"/>
                <w:color w:val="auto"/>
              </w:rPr>
              <w:t>QoQ</w:t>
            </w:r>
          </w:p>
        </w:tc>
        <w:tc>
          <w:tcPr>
            <w:tcW w:w="8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1"/>
              </w:rPr>
              <w:t>YoY</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Lima</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Provinces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149</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080" w:type="dxa"/>
            <w:vAlign w:val="bottom"/>
            <w:vMerge w:val="restart"/>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Branches</w:t>
            </w:r>
            <w:r>
              <w:rPr>
                <w:rFonts w:ascii="Times New Roman" w:cs="Times New Roman" w:eastAsia="Times New Roman" w:hAnsi="Times New Roman"/>
                <w:sz w:val="29"/>
                <w:szCs w:val="29"/>
                <w:b w:val="1"/>
                <w:bCs w:val="1"/>
                <w:color w:val="auto"/>
                <w:vertAlign w:val="superscript"/>
              </w:rPr>
              <w:t>(1)</w:t>
            </w: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080" w:type="dxa"/>
            <w:vAlign w:val="bottom"/>
            <w:vMerge w:val="continue"/>
            <w:shd w:val="clear" w:color="auto" w:fill="CCEEFF"/>
          </w:tcPr>
          <w:p>
            <w:pPr>
              <w:spacing w:after="0"/>
              <w:rPr>
                <w:sz w:val="20"/>
                <w:szCs w:val="20"/>
                <w:color w:val="auto"/>
              </w:rPr>
            </w:pP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404</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403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393</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shd w:val="clear" w:color="auto" w:fill="CCEEFF"/>
          </w:tcPr>
          <w:p>
            <w:pPr>
              <w:spacing w:after="0"/>
              <w:rPr>
                <w:sz w:val="20"/>
                <w:szCs w:val="20"/>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Lima</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1,514</w:t>
            </w: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Provinces</w:t>
            </w:r>
          </w:p>
        </w:tc>
        <w:tc>
          <w:tcPr>
            <w:tcW w:w="14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752</w:t>
            </w:r>
          </w:p>
        </w:tc>
        <w:tc>
          <w:tcPr>
            <w:tcW w:w="14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755</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757</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0"/>
        </w:trPr>
        <w:tc>
          <w:tcPr>
            <w:tcW w:w="4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ATM's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2,266</w:t>
            </w:r>
          </w:p>
        </w:tc>
        <w:tc>
          <w:tcPr>
            <w:tcW w:w="240" w:type="dxa"/>
            <w:vAlign w:val="bottom"/>
            <w:tcBorders>
              <w:bottom w:val="single" w:sz="8" w:color="CCEEFF"/>
            </w:tcBorders>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2,291</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2,299</w:t>
            </w:r>
          </w:p>
        </w:tc>
        <w:tc>
          <w:tcPr>
            <w:tcW w:w="220" w:type="dxa"/>
            <w:vAlign w:val="bottom"/>
            <w:tcBorders>
              <w:bottom w:val="single" w:sz="8" w:color="CCEEFF"/>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Lima</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3,445</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Provinces</w:t>
            </w:r>
          </w:p>
        </w:tc>
        <w:tc>
          <w:tcPr>
            <w:tcW w:w="14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3,548</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3,494</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Agentes BCP</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7,051</w:t>
            </w:r>
          </w:p>
        </w:tc>
        <w:tc>
          <w:tcPr>
            <w:tcW w:w="2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6,939</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6,997</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points of contact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9,721</w:t>
            </w:r>
          </w:p>
        </w:tc>
        <w:tc>
          <w:tcPr>
            <w:tcW w:w="240" w:type="dxa"/>
            <w:vAlign w:val="bottom"/>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9,633</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9,689</w:t>
            </w:r>
          </w:p>
        </w:tc>
        <w:tc>
          <w:tcPr>
            <w:tcW w:w="22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w:t>
            </w:r>
          </w:p>
        </w:tc>
        <w:tc>
          <w:tcPr>
            <w:tcW w:w="22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differ from previously reported, consider the amounts presented in this report.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BCP Stand-alone posted an increase of +56 QoQ to reach a total of 9,689 points at the end of 3Q20. Growth in the points of contact was primarily attributable to the increase in Agentes BCP, which registered an increase of 58 points (-16 in Lima and +74 in the Provinces). The number of branches fell -10 QoQ, while the number of ATMs rose +8. The decrease in Agentes and branches in Lima in the third quarter of 2020 was attributable to initiatives to optimize the banking network given that digital channels such as Yape, Mobile Banking, Internet Banking, Cocos and Lucas, among others, have allowed the bank to attend to clients’ needs in a non-presential way.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provinces reported a significant increase in the number of Agentes BCP (+74 QoQ), after coverage was increased in areas that are generally served by presential channels. Since the beginning of the year, Agentes BCP have undergone training to help them take a more inclusive approach to client service and provide financial and digital education. Agentes are provided with digital tools to facilitate transactions and ensure that they are conducted securely, inexpensively and remotely.</w:t>
      </w:r>
    </w:p>
    <w:p>
      <w:pPr>
        <w:spacing w:after="0" w:line="396" w:lineRule="exact"/>
        <w:rPr>
          <w:sz w:val="20"/>
          <w:szCs w:val="20"/>
          <w:color w:val="auto"/>
        </w:rPr>
      </w:pPr>
    </w:p>
    <w:p>
      <w:pPr>
        <w:ind w:left="11060"/>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In the YoY analysis, the number of branches fell in Lima and the Provinces (-10 and -1 respectively) while the number of BCP ATMs increased +33, in line with our strategy to focus on more cost-efficient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9.1.2. Transactions per channel – BCP Stand-alone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Transactions per channel – BCP Stand-alone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2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N° of Transactions per channel </w:t>
            </w:r>
            <w:r>
              <w:rPr>
                <w:rFonts w:ascii="Times New Roman" w:cs="Times New Roman" w:eastAsia="Times New Roman" w:hAnsi="Times New Roman"/>
                <w:sz w:val="23"/>
                <w:szCs w:val="23"/>
                <w:b w:val="1"/>
                <w:bCs w:val="1"/>
                <w:color w:val="auto"/>
                <w:vertAlign w:val="superscript"/>
              </w:rPr>
              <w:t>(1)</w:t>
            </w:r>
          </w:p>
        </w:tc>
        <w:tc>
          <w:tcPr>
            <w:tcW w:w="100" w:type="dxa"/>
            <w:vAlign w:val="bottom"/>
            <w:vMerge w:val="restart"/>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Monthly average in each quarter</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bottom w:val="single" w:sz="8" w:color="auto"/>
            </w:tcBorders>
            <w:gridSpan w:val="4"/>
          </w:tcPr>
          <w:p>
            <w:pPr>
              <w:ind w:left="5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3Q19</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2Q20</w:t>
            </w: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8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QoQ</w:t>
            </w:r>
          </w:p>
        </w:tc>
        <w:tc>
          <w:tcPr>
            <w:tcW w:w="360" w:type="dxa"/>
            <w:vAlign w:val="bottom"/>
            <w:tcBorders>
              <w:bottom w:val="single" w:sz="8" w:color="CCEEFF"/>
            </w:tcBorders>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YoY</w:t>
            </w: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700" w:type="dxa"/>
            <w:vAlign w:val="bottom"/>
            <w:shd w:val="clear" w:color="auto" w:fill="CCEEFF"/>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Traditional</w:t>
            </w:r>
          </w:p>
        </w:tc>
        <w:tc>
          <w:tcPr>
            <w:tcW w:w="180" w:type="dxa"/>
            <w:vAlign w:val="bottom"/>
            <w:shd w:val="clear" w:color="auto" w:fill="CCEEFF"/>
          </w:tcPr>
          <w:p>
            <w:pPr>
              <w:spacing w:after="0"/>
              <w:rPr>
                <w:sz w:val="10"/>
                <w:szCs w:val="10"/>
                <w:color w:val="auto"/>
              </w:rPr>
            </w:pPr>
          </w:p>
        </w:tc>
        <w:tc>
          <w:tcPr>
            <w:tcW w:w="2220" w:type="dxa"/>
            <w:vAlign w:val="bottom"/>
            <w:shd w:val="clear" w:color="auto" w:fill="CCEEFF"/>
          </w:tcPr>
          <w:p>
            <w:pPr>
              <w:spacing w:after="0" w:line="118" w:lineRule="exact"/>
              <w:rPr>
                <w:sz w:val="20"/>
                <w:szCs w:val="20"/>
                <w:color w:val="auto"/>
              </w:rPr>
            </w:pPr>
            <w:r>
              <w:rPr>
                <w:rFonts w:ascii="Times New Roman" w:cs="Times New Roman" w:eastAsia="Times New Roman" w:hAnsi="Times New Roman"/>
                <w:sz w:val="13"/>
                <w:szCs w:val="13"/>
                <w:color w:val="auto"/>
              </w:rPr>
              <w:t>Teller</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7,711,756</w:t>
            </w:r>
          </w:p>
        </w:tc>
        <w:tc>
          <w:tcPr>
            <w:tcW w:w="2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8" w:lineRule="exact"/>
              <w:rPr>
                <w:sz w:val="20"/>
                <w:szCs w:val="20"/>
                <w:color w:val="auto"/>
              </w:rPr>
            </w:pPr>
            <w:r>
              <w:rPr>
                <w:rFonts w:ascii="Times New Roman" w:cs="Times New Roman" w:eastAsia="Times New Roman" w:hAnsi="Times New Roman"/>
                <w:sz w:val="13"/>
                <w:szCs w:val="13"/>
                <w:color w:val="auto"/>
              </w:rPr>
              <w:t>3.5%</w:t>
            </w:r>
          </w:p>
        </w:tc>
        <w:tc>
          <w:tcPr>
            <w:tcW w:w="180" w:type="dxa"/>
            <w:vAlign w:val="bottom"/>
            <w:gridSpan w:val="2"/>
            <w:shd w:val="clear" w:color="auto" w:fill="CCEEFF"/>
          </w:tcPr>
          <w:p>
            <w:pPr>
              <w:spacing w:after="0"/>
              <w:rPr>
                <w:sz w:val="10"/>
                <w:szCs w:val="10"/>
                <w:color w:val="auto"/>
              </w:rPr>
            </w:pPr>
          </w:p>
        </w:tc>
        <w:tc>
          <w:tcPr>
            <w:tcW w:w="74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3,038,449</w:t>
            </w:r>
          </w:p>
        </w:tc>
        <w:tc>
          <w:tcPr>
            <w:tcW w:w="2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1.2%</w:t>
            </w: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jc w:val="right"/>
              <w:spacing w:after="0" w:line="118" w:lineRule="exact"/>
              <w:rPr>
                <w:sz w:val="20"/>
                <w:szCs w:val="20"/>
                <w:color w:val="auto"/>
              </w:rPr>
            </w:pPr>
            <w:r>
              <w:rPr>
                <w:rFonts w:ascii="Times New Roman" w:cs="Times New Roman" w:eastAsia="Times New Roman" w:hAnsi="Times New Roman"/>
                <w:sz w:val="13"/>
                <w:szCs w:val="13"/>
                <w:color w:val="auto"/>
              </w:rPr>
              <w:t>4,087,916</w:t>
            </w:r>
          </w:p>
        </w:tc>
        <w:tc>
          <w:tcPr>
            <w:tcW w:w="22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1.1%</w:t>
            </w:r>
          </w:p>
        </w:tc>
        <w:tc>
          <w:tcPr>
            <w:tcW w:w="120" w:type="dxa"/>
            <w:vAlign w:val="bottom"/>
            <w:shd w:val="clear" w:color="auto" w:fill="CCEEFF"/>
          </w:tcPr>
          <w:p>
            <w:pPr>
              <w:spacing w:after="0"/>
              <w:rPr>
                <w:sz w:val="10"/>
                <w:szCs w:val="10"/>
                <w:color w:val="auto"/>
              </w:rPr>
            </w:pPr>
          </w:p>
        </w:tc>
        <w:tc>
          <w:tcPr>
            <w:tcW w:w="900" w:type="dxa"/>
            <w:vAlign w:val="bottom"/>
            <w:gridSpan w:val="2"/>
            <w:shd w:val="clear" w:color="auto" w:fill="CCEEFF"/>
          </w:tcPr>
          <w:p>
            <w:pPr>
              <w:jc w:val="right"/>
              <w:ind w:right="140"/>
              <w:spacing w:after="0" w:line="118" w:lineRule="exact"/>
              <w:rPr>
                <w:sz w:val="20"/>
                <w:szCs w:val="20"/>
                <w:color w:val="auto"/>
              </w:rPr>
            </w:pPr>
            <w:r>
              <w:rPr>
                <w:rFonts w:ascii="Times New Roman" w:cs="Times New Roman" w:eastAsia="Times New Roman" w:hAnsi="Times New Roman"/>
                <w:sz w:val="13"/>
                <w:szCs w:val="13"/>
                <w:color w:val="auto"/>
              </w:rPr>
              <w:t>34.5%</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18" w:lineRule="exact"/>
              <w:rPr>
                <w:sz w:val="20"/>
                <w:szCs w:val="20"/>
                <w:color w:val="auto"/>
              </w:rPr>
            </w:pPr>
            <w:r>
              <w:rPr>
                <w:rFonts w:ascii="Times New Roman" w:cs="Times New Roman" w:eastAsia="Times New Roman" w:hAnsi="Times New Roman"/>
                <w:sz w:val="13"/>
                <w:szCs w:val="13"/>
                <w:color w:val="auto"/>
              </w:rPr>
              <w:t>-47.0%</w:t>
            </w:r>
          </w:p>
        </w:tc>
        <w:tc>
          <w:tcPr>
            <w:tcW w:w="0" w:type="dxa"/>
            <w:vAlign w:val="bottom"/>
          </w:tcPr>
          <w:p>
            <w:pPr>
              <w:spacing w:after="0"/>
              <w:rPr>
                <w:sz w:val="1"/>
                <w:szCs w:val="1"/>
                <w:color w:val="auto"/>
              </w:rPr>
            </w:pPr>
          </w:p>
        </w:tc>
      </w:tr>
      <w:tr>
        <w:trPr>
          <w:trHeight w:val="153"/>
        </w:trPr>
        <w:tc>
          <w:tcPr>
            <w:tcW w:w="700" w:type="dxa"/>
            <w:vAlign w:val="bottom"/>
            <w:tcBorders>
              <w:bottom w:val="single" w:sz="8" w:color="CCEEFF"/>
            </w:tcBorders>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channels</w:t>
            </w:r>
          </w:p>
        </w:tc>
        <w:tc>
          <w:tcPr>
            <w:tcW w:w="2500" w:type="dxa"/>
            <w:vAlign w:val="bottom"/>
            <w:tcBorders>
              <w:bottom w:val="single" w:sz="8" w:color="CCEEFF"/>
            </w:tcBorders>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Telephone banking</w:t>
            </w:r>
          </w:p>
        </w:tc>
        <w:tc>
          <w:tcPr>
            <w:tcW w:w="1040" w:type="dxa"/>
            <w:vAlign w:val="bottom"/>
            <w:tcBorders>
              <w:bottom w:val="single" w:sz="8" w:color="CCEEFF"/>
            </w:tcBorders>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4,803,032</w:t>
            </w:r>
          </w:p>
        </w:tc>
        <w:tc>
          <w:tcPr>
            <w:tcW w:w="900" w:type="dxa"/>
            <w:vAlign w:val="bottom"/>
            <w:tcBorders>
              <w:bottom w:val="single" w:sz="8" w:color="CCEEFF"/>
            </w:tcBorders>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140" w:type="dxa"/>
            <w:vAlign w:val="bottom"/>
            <w:tcBorders>
              <w:bottom w:val="single" w:sz="8" w:color="CCEEFF"/>
            </w:tcBorders>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4,843,265</w:t>
            </w:r>
          </w:p>
        </w:tc>
        <w:tc>
          <w:tcPr>
            <w:tcW w:w="1000" w:type="dxa"/>
            <w:vAlign w:val="bottom"/>
            <w:tcBorders>
              <w:bottom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040" w:type="dxa"/>
            <w:vAlign w:val="bottom"/>
            <w:tcBorders>
              <w:bottom w:val="single" w:sz="8" w:color="CCEEFF"/>
            </w:tcBorders>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4,314,246</w:t>
            </w:r>
          </w:p>
        </w:tc>
        <w:tc>
          <w:tcPr>
            <w:tcW w:w="1000" w:type="dxa"/>
            <w:vAlign w:val="bottom"/>
            <w:tcBorders>
              <w:bottom w:val="single" w:sz="8" w:color="CCEEFF"/>
            </w:tcBorders>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20" w:type="dxa"/>
            <w:vAlign w:val="bottom"/>
            <w:tcBorders>
              <w:bottom w:val="single" w:sz="8" w:color="CCEEFF"/>
            </w:tcBorders>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20"/>
        </w:trPr>
        <w:tc>
          <w:tcPr>
            <w:tcW w:w="700" w:type="dxa"/>
            <w:vAlign w:val="bottom"/>
            <w:vMerge w:val="restart"/>
            <w:shd w:val="clear" w:color="auto" w:fill="CCEEFF"/>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shd w:val="clear" w:color="auto" w:fill="CCEEFF"/>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700" w:type="dxa"/>
            <w:vAlign w:val="bottom"/>
            <w:vMerge w:val="continue"/>
            <w:shd w:val="clear" w:color="auto" w:fill="CCEEFF"/>
          </w:tcPr>
          <w:p>
            <w:pPr>
              <w:spacing w:after="0"/>
              <w:rPr>
                <w:sz w:val="9"/>
                <w:szCs w:val="9"/>
                <w:color w:val="auto"/>
              </w:rPr>
            </w:pPr>
          </w:p>
        </w:tc>
        <w:tc>
          <w:tcPr>
            <w:tcW w:w="250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Agentes BCP</w:t>
            </w:r>
          </w:p>
        </w:tc>
        <w:tc>
          <w:tcPr>
            <w:tcW w:w="8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29,492,554</w:t>
            </w:r>
          </w:p>
        </w:tc>
        <w:tc>
          <w:tcPr>
            <w:tcW w:w="220" w:type="dxa"/>
            <w:vAlign w:val="bottom"/>
            <w:vMerge w:val="restart"/>
            <w:shd w:val="clear" w:color="auto" w:fill="CCEEFF"/>
          </w:tcPr>
          <w:p>
            <w:pPr>
              <w:spacing w:after="0"/>
              <w:rPr>
                <w:sz w:val="9"/>
                <w:szCs w:val="9"/>
                <w:color w:val="auto"/>
              </w:rPr>
            </w:pPr>
          </w:p>
        </w:tc>
        <w:tc>
          <w:tcPr>
            <w:tcW w:w="9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13.5%</w:t>
            </w:r>
          </w:p>
        </w:tc>
        <w:tc>
          <w:tcPr>
            <w:tcW w:w="1140" w:type="dxa"/>
            <w:vAlign w:val="bottom"/>
            <w:gridSpan w:val="4"/>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22,122,335</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w:t>
            </w:r>
          </w:p>
        </w:tc>
        <w:tc>
          <w:tcPr>
            <w:tcW w:w="10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31,527,275</w:t>
            </w:r>
          </w:p>
        </w:tc>
        <w:tc>
          <w:tcPr>
            <w:tcW w:w="10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w:t>
            </w:r>
          </w:p>
        </w:tc>
        <w:tc>
          <w:tcPr>
            <w:tcW w:w="102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42.5%</w:t>
            </w:r>
          </w:p>
        </w:tc>
        <w:tc>
          <w:tcPr>
            <w:tcW w:w="10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6.9%</w:t>
            </w:r>
          </w:p>
        </w:tc>
        <w:tc>
          <w:tcPr>
            <w:tcW w:w="0" w:type="dxa"/>
            <w:vAlign w:val="bottom"/>
          </w:tcPr>
          <w:p>
            <w:pPr>
              <w:spacing w:after="0"/>
              <w:rPr>
                <w:sz w:val="1"/>
                <w:szCs w:val="1"/>
                <w:color w:val="auto"/>
              </w:rPr>
            </w:pPr>
          </w:p>
        </w:tc>
      </w:tr>
      <w:tr>
        <w:trPr>
          <w:trHeight w:val="173"/>
        </w:trPr>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efficient</w:t>
            </w:r>
          </w:p>
        </w:tc>
        <w:tc>
          <w:tcPr>
            <w:tcW w:w="2500" w:type="dxa"/>
            <w:vAlign w:val="bottom"/>
            <w:gridSpan w:val="3"/>
            <w:vMerge w:val="continue"/>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1140" w:type="dxa"/>
            <w:vAlign w:val="bottom"/>
            <w:gridSpan w:val="4"/>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40" w:type="dxa"/>
            <w:vAlign w:val="bottom"/>
            <w:gridSpan w:val="3"/>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20" w:type="dxa"/>
            <w:vAlign w:val="bottom"/>
            <w:gridSpan w:val="3"/>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channels</w:t>
            </w:r>
          </w:p>
        </w:tc>
        <w:tc>
          <w:tcPr>
            <w:tcW w:w="250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ATMs</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24,953,751</w:t>
            </w:r>
          </w:p>
        </w:tc>
        <w:tc>
          <w:tcPr>
            <w:tcW w:w="2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11.4%</w:t>
            </w:r>
          </w:p>
        </w:tc>
        <w:tc>
          <w:tcPr>
            <w:tcW w:w="114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9,979,963</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14,006,791</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40.3%</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-43.9%</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00" w:type="dxa"/>
            <w:vAlign w:val="bottom"/>
            <w:gridSpan w:val="3"/>
            <w:vMerge w:val="restart"/>
            <w:shd w:val="clear" w:color="auto" w:fill="CCEEFF"/>
          </w:tcPr>
          <w:p>
            <w:pPr>
              <w:ind w:left="180"/>
              <w:spacing w:after="0" w:line="139" w:lineRule="exact"/>
              <w:rPr>
                <w:sz w:val="20"/>
                <w:szCs w:val="20"/>
                <w:color w:val="auto"/>
              </w:rPr>
            </w:pPr>
            <w:r>
              <w:rPr>
                <w:rFonts w:ascii="Times New Roman" w:cs="Times New Roman" w:eastAsia="Times New Roman" w:hAnsi="Times New Roman"/>
                <w:sz w:val="14"/>
                <w:szCs w:val="14"/>
                <w:color w:val="auto"/>
              </w:rPr>
              <w:t>Mobile banking</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Digital</w:t>
            </w:r>
          </w:p>
        </w:tc>
        <w:tc>
          <w:tcPr>
            <w:tcW w:w="2500" w:type="dxa"/>
            <w:vAlign w:val="bottom"/>
            <w:gridSpan w:val="3"/>
            <w:vMerge w:val="continue"/>
            <w:shd w:val="clear" w:color="auto" w:fill="CCEEFF"/>
          </w:tcPr>
          <w:p>
            <w:pPr>
              <w:spacing w:after="0"/>
              <w:rPr>
                <w:sz w:val="10"/>
                <w:szCs w:val="10"/>
                <w:color w:val="auto"/>
              </w:rPr>
            </w:pPr>
          </w:p>
        </w:tc>
        <w:tc>
          <w:tcPr>
            <w:tcW w:w="8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95,336,208</w:t>
            </w:r>
          </w:p>
        </w:tc>
        <w:tc>
          <w:tcPr>
            <w:tcW w:w="220" w:type="dxa"/>
            <w:vAlign w:val="bottom"/>
            <w:vMerge w:val="continue"/>
            <w:shd w:val="clear" w:color="auto" w:fill="CCEEFF"/>
          </w:tcPr>
          <w:p>
            <w:pPr>
              <w:spacing w:after="0"/>
              <w:rPr>
                <w:sz w:val="10"/>
                <w:szCs w:val="10"/>
                <w:color w:val="auto"/>
              </w:rPr>
            </w:pPr>
          </w:p>
        </w:tc>
        <w:tc>
          <w:tcPr>
            <w:tcW w:w="900" w:type="dxa"/>
            <w:vAlign w:val="bottom"/>
            <w:gridSpan w:val="2"/>
            <w:shd w:val="clear" w:color="auto" w:fill="CCEEFF"/>
          </w:tcPr>
          <w:p>
            <w:pPr>
              <w:jc w:val="right"/>
              <w:ind w:right="60"/>
              <w:spacing w:after="0" w:line="119" w:lineRule="exact"/>
              <w:rPr>
                <w:sz w:val="20"/>
                <w:szCs w:val="20"/>
                <w:color w:val="auto"/>
              </w:rPr>
            </w:pPr>
            <w:r>
              <w:rPr>
                <w:rFonts w:ascii="Times New Roman" w:cs="Times New Roman" w:eastAsia="Times New Roman" w:hAnsi="Times New Roman"/>
                <w:sz w:val="13"/>
                <w:szCs w:val="13"/>
                <w:color w:val="auto"/>
              </w:rPr>
              <w:t>43.5%</w:t>
            </w:r>
          </w:p>
        </w:tc>
        <w:tc>
          <w:tcPr>
            <w:tcW w:w="80" w:type="dxa"/>
            <w:vAlign w:val="bottom"/>
            <w:vMerge w:val="continue"/>
            <w:shd w:val="clear" w:color="auto" w:fill="CCEEFF"/>
          </w:tcPr>
          <w:p>
            <w:pPr>
              <w:spacing w:after="0"/>
              <w:rPr>
                <w:sz w:val="10"/>
                <w:szCs w:val="10"/>
                <w:color w:val="auto"/>
              </w:rPr>
            </w:pPr>
          </w:p>
        </w:tc>
        <w:tc>
          <w:tcPr>
            <w:tcW w:w="84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146,665,161</w:t>
            </w:r>
          </w:p>
        </w:tc>
        <w:tc>
          <w:tcPr>
            <w:tcW w:w="220" w:type="dxa"/>
            <w:vAlign w:val="bottom"/>
            <w:vMerge w:val="continue"/>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56.7%</w:t>
            </w:r>
          </w:p>
        </w:tc>
        <w:tc>
          <w:tcPr>
            <w:tcW w:w="820" w:type="dxa"/>
            <w:vAlign w:val="bottom"/>
            <w:gridSpan w:val="2"/>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197,821,818</w:t>
            </w:r>
          </w:p>
        </w:tc>
        <w:tc>
          <w:tcPr>
            <w:tcW w:w="220" w:type="dxa"/>
            <w:vAlign w:val="bottom"/>
            <w:vMerge w:val="continue"/>
            <w:shd w:val="clear" w:color="auto" w:fill="CCEEFF"/>
          </w:tcPr>
          <w:p>
            <w:pPr>
              <w:spacing w:after="0"/>
              <w:rPr>
                <w:sz w:val="10"/>
                <w:szCs w:val="10"/>
                <w:color w:val="auto"/>
              </w:rPr>
            </w:pPr>
          </w:p>
        </w:tc>
        <w:tc>
          <w:tcPr>
            <w:tcW w:w="1000" w:type="dxa"/>
            <w:vAlign w:val="bottom"/>
            <w:gridSpan w:val="2"/>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54.1%</w:t>
            </w:r>
          </w:p>
        </w:tc>
        <w:tc>
          <w:tcPr>
            <w:tcW w:w="1020" w:type="dxa"/>
            <w:vAlign w:val="bottom"/>
            <w:gridSpan w:val="3"/>
            <w:shd w:val="clear" w:color="auto" w:fill="CCEEFF"/>
          </w:tcPr>
          <w:p>
            <w:pPr>
              <w:jc w:val="right"/>
              <w:ind w:right="140"/>
              <w:spacing w:after="0" w:line="119" w:lineRule="exact"/>
              <w:rPr>
                <w:sz w:val="20"/>
                <w:szCs w:val="20"/>
                <w:color w:val="auto"/>
              </w:rPr>
            </w:pPr>
            <w:r>
              <w:rPr>
                <w:rFonts w:ascii="Times New Roman" w:cs="Times New Roman" w:eastAsia="Times New Roman" w:hAnsi="Times New Roman"/>
                <w:sz w:val="13"/>
                <w:szCs w:val="13"/>
                <w:color w:val="auto"/>
              </w:rPr>
              <w:t>34.9%</w:t>
            </w: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40" w:type="dxa"/>
            <w:vAlign w:val="bottom"/>
            <w:gridSpan w:val="2"/>
            <w:shd w:val="clear" w:color="auto" w:fill="CCEEFF"/>
          </w:tcPr>
          <w:p>
            <w:pPr>
              <w:jc w:val="right"/>
              <w:ind w:right="20"/>
              <w:spacing w:after="0" w:line="119" w:lineRule="exact"/>
              <w:rPr>
                <w:sz w:val="20"/>
                <w:szCs w:val="20"/>
                <w:color w:val="auto"/>
              </w:rPr>
            </w:pPr>
            <w:r>
              <w:rPr>
                <w:rFonts w:ascii="Times New Roman" w:cs="Times New Roman" w:eastAsia="Times New Roman" w:hAnsi="Times New Roman"/>
                <w:sz w:val="13"/>
                <w:szCs w:val="13"/>
                <w:color w:val="auto"/>
              </w:rPr>
              <w:t>107.5%</w:t>
            </w:r>
          </w:p>
        </w:tc>
        <w:tc>
          <w:tcPr>
            <w:tcW w:w="0" w:type="dxa"/>
            <w:vAlign w:val="bottom"/>
          </w:tcPr>
          <w:p>
            <w:pPr>
              <w:spacing w:after="0"/>
              <w:rPr>
                <w:sz w:val="1"/>
                <w:szCs w:val="1"/>
                <w:color w:val="auto"/>
              </w:rPr>
            </w:pPr>
          </w:p>
        </w:tc>
      </w:tr>
      <w:tr>
        <w:trPr>
          <w:trHeight w:val="146"/>
        </w:trPr>
        <w:tc>
          <w:tcPr>
            <w:tcW w:w="700" w:type="dxa"/>
            <w:vAlign w:val="bottom"/>
            <w:vMerge w:val="continue"/>
            <w:shd w:val="clear" w:color="auto" w:fill="CCEEFF"/>
          </w:tcPr>
          <w:p>
            <w:pPr>
              <w:spacing w:after="0"/>
              <w:rPr>
                <w:sz w:val="12"/>
                <w:szCs w:val="12"/>
                <w:color w:val="auto"/>
              </w:rPr>
            </w:pPr>
          </w:p>
        </w:tc>
        <w:tc>
          <w:tcPr>
            <w:tcW w:w="2500" w:type="dxa"/>
            <w:vAlign w:val="bottom"/>
            <w:gridSpan w:val="3"/>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Internet banking Via BCP</w:t>
            </w:r>
          </w:p>
        </w:tc>
        <w:tc>
          <w:tcPr>
            <w:tcW w:w="104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16,371,635</w:t>
            </w:r>
          </w:p>
        </w:tc>
        <w:tc>
          <w:tcPr>
            <w:tcW w:w="900" w:type="dxa"/>
            <w:vAlign w:val="bottom"/>
            <w:gridSpan w:val="2"/>
            <w:shd w:val="clear" w:color="auto" w:fill="CCEEFF"/>
          </w:tcPr>
          <w:p>
            <w:pPr>
              <w:jc w:val="right"/>
              <w:ind w:right="60"/>
              <w:spacing w:after="0" w:line="147" w:lineRule="exact"/>
              <w:rPr>
                <w:sz w:val="20"/>
                <w:szCs w:val="20"/>
                <w:color w:val="auto"/>
              </w:rPr>
            </w:pPr>
            <w:r>
              <w:rPr>
                <w:rFonts w:ascii="Times New Roman" w:cs="Times New Roman" w:eastAsia="Times New Roman" w:hAnsi="Times New Roman"/>
                <w:sz w:val="14"/>
                <w:szCs w:val="14"/>
                <w:color w:val="auto"/>
              </w:rPr>
              <w:t>7.5%</w:t>
            </w:r>
          </w:p>
        </w:tc>
        <w:tc>
          <w:tcPr>
            <w:tcW w:w="1140" w:type="dxa"/>
            <w:vAlign w:val="bottom"/>
            <w:gridSpan w:val="4"/>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24,956,089</w:t>
            </w:r>
          </w:p>
        </w:tc>
        <w:tc>
          <w:tcPr>
            <w:tcW w:w="10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1040" w:type="dxa"/>
            <w:vAlign w:val="bottom"/>
            <w:gridSpan w:val="3"/>
            <w:shd w:val="clear" w:color="auto" w:fill="CCEEFF"/>
          </w:tcPr>
          <w:p>
            <w:pPr>
              <w:jc w:val="right"/>
              <w:ind w:right="220"/>
              <w:spacing w:after="0" w:line="147" w:lineRule="exact"/>
              <w:rPr>
                <w:sz w:val="20"/>
                <w:szCs w:val="20"/>
                <w:color w:val="auto"/>
              </w:rPr>
            </w:pPr>
            <w:r>
              <w:rPr>
                <w:rFonts w:ascii="Times New Roman" w:cs="Times New Roman" w:eastAsia="Times New Roman" w:hAnsi="Times New Roman"/>
                <w:sz w:val="14"/>
                <w:szCs w:val="14"/>
                <w:color w:val="auto"/>
              </w:rPr>
              <w:t>25,753,187</w:t>
            </w:r>
          </w:p>
        </w:tc>
        <w:tc>
          <w:tcPr>
            <w:tcW w:w="1000" w:type="dxa"/>
            <w:vAlign w:val="bottom"/>
            <w:gridSpan w:val="2"/>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7.0%</w:t>
            </w:r>
          </w:p>
        </w:tc>
        <w:tc>
          <w:tcPr>
            <w:tcW w:w="1020" w:type="dxa"/>
            <w:vAlign w:val="bottom"/>
            <w:gridSpan w:val="3"/>
            <w:shd w:val="clear" w:color="auto" w:fill="CCEEFF"/>
          </w:tcPr>
          <w:p>
            <w:pPr>
              <w:jc w:val="right"/>
              <w:ind w:right="140"/>
              <w:spacing w:after="0" w:line="147"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7" w:lineRule="exact"/>
              <w:rPr>
                <w:sz w:val="20"/>
                <w:szCs w:val="20"/>
                <w:color w:val="auto"/>
              </w:rPr>
            </w:pPr>
            <w:r>
              <w:rPr>
                <w:rFonts w:ascii="Times New Roman" w:cs="Times New Roman" w:eastAsia="Times New Roman" w:hAnsi="Times New Roman"/>
                <w:sz w:val="14"/>
                <w:szCs w:val="14"/>
                <w:color w:val="auto"/>
              </w:rPr>
              <w:t>57.3%</w:t>
            </w:r>
          </w:p>
        </w:tc>
        <w:tc>
          <w:tcPr>
            <w:tcW w:w="0" w:type="dxa"/>
            <w:vAlign w:val="bottom"/>
          </w:tcPr>
          <w:p>
            <w:pPr>
              <w:spacing w:after="0"/>
              <w:rPr>
                <w:sz w:val="1"/>
                <w:szCs w:val="1"/>
                <w:color w:val="auto"/>
              </w:rPr>
            </w:pPr>
          </w:p>
        </w:tc>
      </w:tr>
      <w:tr>
        <w:trPr>
          <w:trHeight w:val="151"/>
        </w:trPr>
        <w:tc>
          <w:tcPr>
            <w:tcW w:w="700" w:type="dxa"/>
            <w:vAlign w:val="bottom"/>
            <w:shd w:val="clear" w:color="auto" w:fill="CCEEFF"/>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w w:val="99"/>
              </w:rPr>
              <w:t>channels</w:t>
            </w:r>
          </w:p>
        </w:tc>
        <w:tc>
          <w:tcPr>
            <w:tcW w:w="2500" w:type="dxa"/>
            <w:vAlign w:val="bottom"/>
            <w:gridSpan w:val="3"/>
            <w:shd w:val="clear" w:color="auto" w:fill="CCEEFF"/>
          </w:tcPr>
          <w:p>
            <w:pPr>
              <w:ind w:left="180"/>
              <w:spacing w:after="0" w:line="151" w:lineRule="exact"/>
              <w:rPr>
                <w:sz w:val="20"/>
                <w:szCs w:val="20"/>
                <w:color w:val="auto"/>
              </w:rPr>
            </w:pPr>
            <w:r>
              <w:rPr>
                <w:rFonts w:ascii="Times New Roman" w:cs="Times New Roman" w:eastAsia="Times New Roman" w:hAnsi="Times New Roman"/>
                <w:sz w:val="14"/>
                <w:szCs w:val="14"/>
                <w:color w:val="auto"/>
              </w:rPr>
              <w:t>Yape</w:t>
            </w:r>
          </w:p>
        </w:tc>
        <w:tc>
          <w:tcPr>
            <w:tcW w:w="1040" w:type="dxa"/>
            <w:vAlign w:val="bottom"/>
            <w:gridSpan w:val="3"/>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7,459,079</w:t>
            </w:r>
          </w:p>
        </w:tc>
        <w:tc>
          <w:tcPr>
            <w:tcW w:w="900" w:type="dxa"/>
            <w:vAlign w:val="bottom"/>
            <w:gridSpan w:val="2"/>
            <w:shd w:val="clear" w:color="auto" w:fill="CCEEFF"/>
          </w:tcPr>
          <w:p>
            <w:pPr>
              <w:jc w:val="right"/>
              <w:ind w:right="60"/>
              <w:spacing w:after="0" w:line="151" w:lineRule="exact"/>
              <w:rPr>
                <w:sz w:val="20"/>
                <w:szCs w:val="20"/>
                <w:color w:val="auto"/>
              </w:rPr>
            </w:pPr>
            <w:r>
              <w:rPr>
                <w:rFonts w:ascii="Times New Roman" w:cs="Times New Roman" w:eastAsia="Times New Roman" w:hAnsi="Times New Roman"/>
                <w:sz w:val="14"/>
                <w:szCs w:val="14"/>
                <w:color w:val="auto"/>
              </w:rPr>
              <w:t>3.4%</w:t>
            </w:r>
          </w:p>
        </w:tc>
        <w:tc>
          <w:tcPr>
            <w:tcW w:w="1140" w:type="dxa"/>
            <w:vAlign w:val="bottom"/>
            <w:gridSpan w:val="4"/>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21,966,541</w:t>
            </w:r>
          </w:p>
        </w:tc>
        <w:tc>
          <w:tcPr>
            <w:tcW w:w="10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8.5%</w:t>
            </w:r>
          </w:p>
        </w:tc>
        <w:tc>
          <w:tcPr>
            <w:tcW w:w="1040" w:type="dxa"/>
            <w:vAlign w:val="bottom"/>
            <w:gridSpan w:val="3"/>
            <w:shd w:val="clear" w:color="auto" w:fill="CCEEFF"/>
          </w:tcPr>
          <w:p>
            <w:pPr>
              <w:jc w:val="right"/>
              <w:ind w:right="220"/>
              <w:spacing w:after="0" w:line="151" w:lineRule="exact"/>
              <w:rPr>
                <w:sz w:val="20"/>
                <w:szCs w:val="20"/>
                <w:color w:val="auto"/>
              </w:rPr>
            </w:pPr>
            <w:r>
              <w:rPr>
                <w:rFonts w:ascii="Times New Roman" w:cs="Times New Roman" w:eastAsia="Times New Roman" w:hAnsi="Times New Roman"/>
                <w:sz w:val="14"/>
                <w:szCs w:val="14"/>
                <w:color w:val="auto"/>
              </w:rPr>
              <w:t>51,469,991</w:t>
            </w:r>
          </w:p>
        </w:tc>
        <w:tc>
          <w:tcPr>
            <w:tcW w:w="1000" w:type="dxa"/>
            <w:vAlign w:val="bottom"/>
            <w:gridSpan w:val="2"/>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14.1%</w:t>
            </w:r>
          </w:p>
        </w:tc>
        <w:tc>
          <w:tcPr>
            <w:tcW w:w="1020" w:type="dxa"/>
            <w:vAlign w:val="bottom"/>
            <w:gridSpan w:val="3"/>
            <w:shd w:val="clear" w:color="auto" w:fill="CCEEFF"/>
          </w:tcPr>
          <w:p>
            <w:pPr>
              <w:jc w:val="right"/>
              <w:ind w:right="140"/>
              <w:spacing w:after="0" w:line="151" w:lineRule="exact"/>
              <w:rPr>
                <w:sz w:val="20"/>
                <w:szCs w:val="20"/>
                <w:color w:val="auto"/>
              </w:rPr>
            </w:pPr>
            <w:r>
              <w:rPr>
                <w:rFonts w:ascii="Times New Roman" w:cs="Times New Roman" w:eastAsia="Times New Roman" w:hAnsi="Times New Roman"/>
                <w:sz w:val="14"/>
                <w:szCs w:val="14"/>
                <w:color w:val="auto"/>
              </w:rPr>
              <w:t>134.3%</w:t>
            </w: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20"/>
              <w:spacing w:after="0" w:line="151" w:lineRule="exact"/>
              <w:rPr>
                <w:sz w:val="20"/>
                <w:szCs w:val="20"/>
                <w:color w:val="auto"/>
              </w:rPr>
            </w:pPr>
            <w:r>
              <w:rPr>
                <w:rFonts w:ascii="Times New Roman" w:cs="Times New Roman" w:eastAsia="Times New Roman" w:hAnsi="Times New Roman"/>
                <w:sz w:val="14"/>
                <w:szCs w:val="14"/>
                <w:color w:val="auto"/>
              </w:rPr>
              <w:t>590.0%</w:t>
            </w:r>
          </w:p>
        </w:tc>
        <w:tc>
          <w:tcPr>
            <w:tcW w:w="0" w:type="dxa"/>
            <w:vAlign w:val="bottom"/>
          </w:tcPr>
          <w:p>
            <w:pPr>
              <w:spacing w:after="0"/>
              <w:rPr>
                <w:sz w:val="1"/>
                <w:szCs w:val="1"/>
                <w:color w:val="auto"/>
              </w:rPr>
            </w:pPr>
          </w:p>
        </w:tc>
      </w:tr>
      <w:tr>
        <w:trPr>
          <w:trHeight w:val="171"/>
        </w:trPr>
        <w:tc>
          <w:tcPr>
            <w:tcW w:w="700" w:type="dxa"/>
            <w:vAlign w:val="bottom"/>
            <w:shd w:val="clear" w:color="auto" w:fill="CCEEFF"/>
          </w:tcPr>
          <w:p>
            <w:pPr>
              <w:spacing w:after="0"/>
              <w:rPr>
                <w:sz w:val="14"/>
                <w:szCs w:val="14"/>
                <w:color w:val="auto"/>
              </w:rPr>
            </w:pPr>
          </w:p>
        </w:tc>
        <w:tc>
          <w:tcPr>
            <w:tcW w:w="250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Balance inquiries</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1,342,920</w:t>
            </w:r>
          </w:p>
        </w:tc>
        <w:tc>
          <w:tcPr>
            <w:tcW w:w="2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0.6%</w:t>
            </w:r>
          </w:p>
        </w:tc>
        <w:tc>
          <w:tcPr>
            <w:tcW w:w="114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513,239</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623,598</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0.2%</w:t>
            </w:r>
          </w:p>
        </w:tc>
        <w:tc>
          <w:tcPr>
            <w:tcW w:w="10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21.5%</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-53.6%</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0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Telecrédito</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2500" w:type="dxa"/>
            <w:vAlign w:val="bottom"/>
            <w:gridSpan w:val="3"/>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12,536,785</w:t>
            </w:r>
          </w:p>
        </w:tc>
        <w:tc>
          <w:tcPr>
            <w:tcW w:w="22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5.7%</w:t>
            </w:r>
          </w:p>
        </w:tc>
        <w:tc>
          <w:tcPr>
            <w:tcW w:w="8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9,187,512</w:t>
            </w:r>
          </w:p>
        </w:tc>
        <w:tc>
          <w:tcPr>
            <w:tcW w:w="22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3.6%</w:t>
            </w: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11,597,227</w:t>
            </w:r>
          </w:p>
        </w:tc>
        <w:tc>
          <w:tcPr>
            <w:tcW w:w="22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3.2%</w:t>
            </w:r>
          </w:p>
        </w:tc>
        <w:tc>
          <w:tcPr>
            <w:tcW w:w="102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26.2%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8"/>
        </w:trPr>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Others</w:t>
            </w:r>
          </w:p>
        </w:tc>
        <w:tc>
          <w:tcPr>
            <w:tcW w:w="250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Direct debit</w:t>
            </w: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837,254</w:t>
            </w: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14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989,707</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0.4%</w:t>
            </w: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815,488</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8"/>
        </w:trPr>
        <w:tc>
          <w:tcPr>
            <w:tcW w:w="700" w:type="dxa"/>
            <w:vAlign w:val="bottom"/>
            <w:shd w:val="clear" w:color="auto" w:fill="CCEEFF"/>
          </w:tcPr>
          <w:p>
            <w:pPr>
              <w:spacing w:after="0"/>
              <w:rPr>
                <w:sz w:val="12"/>
                <w:szCs w:val="12"/>
                <w:color w:val="auto"/>
              </w:rPr>
            </w:pPr>
          </w:p>
        </w:tc>
        <w:tc>
          <w:tcPr>
            <w:tcW w:w="2500" w:type="dxa"/>
            <w:vAlign w:val="bottom"/>
            <w:gridSpan w:val="3"/>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Points of sale P.O.S.</w:t>
            </w: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17,958,329</w:t>
            </w:r>
          </w:p>
        </w:tc>
        <w:tc>
          <w:tcPr>
            <w:tcW w:w="9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140" w:type="dxa"/>
            <w:vAlign w:val="bottom"/>
            <w:gridSpan w:val="4"/>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14,294,237</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1040" w:type="dxa"/>
            <w:vAlign w:val="bottom"/>
            <w:gridSpan w:val="3"/>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23,601,741</w:t>
            </w:r>
          </w:p>
        </w:tc>
        <w:tc>
          <w:tcPr>
            <w:tcW w:w="10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2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65.1%</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31.4%</w:t>
            </w: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2500" w:type="dxa"/>
            <w:vAlign w:val="bottom"/>
            <w:gridSpan w:val="3"/>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ATMs network</w:t>
            </w:r>
          </w:p>
        </w:tc>
        <w:tc>
          <w:tcPr>
            <w:tcW w:w="8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258,168</w:t>
            </w:r>
          </w:p>
        </w:tc>
        <w:tc>
          <w:tcPr>
            <w:tcW w:w="2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140" w:type="dxa"/>
            <w:vAlign w:val="bottom"/>
            <w:gridSpan w:val="4"/>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155,208</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40" w:type="dxa"/>
            <w:vAlign w:val="bottom"/>
            <w:gridSpan w:val="3"/>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188,783</w:t>
            </w:r>
          </w:p>
        </w:tc>
        <w:tc>
          <w:tcPr>
            <w:tcW w:w="10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2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0" w:type="dxa"/>
            <w:vAlign w:val="bottom"/>
          </w:tcPr>
          <w:p>
            <w:pPr>
              <w:spacing w:after="0"/>
              <w:rPr>
                <w:sz w:val="1"/>
                <w:szCs w:val="1"/>
                <w:color w:val="auto"/>
              </w:rPr>
            </w:pPr>
          </w:p>
        </w:tc>
      </w:tr>
      <w:tr>
        <w:trPr>
          <w:trHeight w:val="20"/>
        </w:trPr>
        <w:tc>
          <w:tcPr>
            <w:tcW w:w="700" w:type="dxa"/>
            <w:vAlign w:val="bottom"/>
            <w:shd w:val="clear" w:color="auto" w:fill="CCEEFF"/>
          </w:tcPr>
          <w:p>
            <w:pPr>
              <w:spacing w:after="0" w:line="20" w:lineRule="exact"/>
              <w:rPr>
                <w:sz w:val="1"/>
                <w:szCs w:val="1"/>
                <w:color w:val="auto"/>
              </w:rPr>
            </w:pPr>
          </w:p>
        </w:tc>
        <w:tc>
          <w:tcPr>
            <w:tcW w:w="2500" w:type="dxa"/>
            <w:vAlign w:val="bottom"/>
            <w:gridSpan w:val="3"/>
            <w:vMerge w:val="restart"/>
            <w:shd w:val="clear" w:color="auto" w:fill="CCEEFF"/>
          </w:tcPr>
          <w:p>
            <w:pPr>
              <w:ind w:left="180"/>
              <w:spacing w:after="0"/>
              <w:rPr>
                <w:sz w:val="20"/>
                <w:szCs w:val="20"/>
                <w:color w:val="auto"/>
              </w:rPr>
            </w:pPr>
            <w:r>
              <w:rPr>
                <w:rFonts w:ascii="Times New Roman" w:cs="Times New Roman" w:eastAsia="Times New Roman" w:hAnsi="Times New Roman"/>
                <w:sz w:val="14"/>
                <w:szCs w:val="14"/>
                <w:b w:val="1"/>
                <w:bCs w:val="1"/>
                <w:color w:val="auto"/>
              </w:rPr>
              <w:t>Total transactions</w:t>
            </w: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 w:type="dxa"/>
            <w:vAlign w:val="bottom"/>
            <w:shd w:val="clear" w:color="auto" w:fill="CCEEFF"/>
          </w:tcPr>
          <w:p>
            <w:pPr>
              <w:spacing w:after="0"/>
              <w:rPr>
                <w:sz w:val="12"/>
                <w:szCs w:val="12"/>
                <w:color w:val="auto"/>
              </w:rPr>
            </w:pPr>
          </w:p>
        </w:tc>
        <w:tc>
          <w:tcPr>
            <w:tcW w:w="2500" w:type="dxa"/>
            <w:vAlign w:val="bottom"/>
            <w:gridSpan w:val="3"/>
            <w:vMerge w:val="continue"/>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219,061,471</w:t>
            </w:r>
          </w:p>
        </w:tc>
        <w:tc>
          <w:tcPr>
            <w:tcW w:w="220" w:type="dxa"/>
            <w:vAlign w:val="bottom"/>
            <w:vMerge w:val="continue"/>
            <w:shd w:val="clear" w:color="auto" w:fill="CCEEFF"/>
          </w:tcPr>
          <w:p>
            <w:pPr>
              <w:spacing w:after="0"/>
              <w:rPr>
                <w:sz w:val="12"/>
                <w:szCs w:val="12"/>
                <w:color w:val="auto"/>
              </w:rPr>
            </w:pPr>
          </w:p>
        </w:tc>
        <w:tc>
          <w:tcPr>
            <w:tcW w:w="90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0" w:type="dxa"/>
            <w:vAlign w:val="bottom"/>
            <w:vMerge w:val="continue"/>
            <w:shd w:val="clear" w:color="auto" w:fill="CCEEFF"/>
          </w:tcPr>
          <w:p>
            <w:pPr>
              <w:spacing w:after="0"/>
              <w:rPr>
                <w:sz w:val="12"/>
                <w:szCs w:val="12"/>
                <w:color w:val="auto"/>
              </w:rPr>
            </w:pPr>
          </w:p>
        </w:tc>
        <w:tc>
          <w:tcPr>
            <w:tcW w:w="8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258,711,706</w:t>
            </w:r>
          </w:p>
        </w:tc>
        <w:tc>
          <w:tcPr>
            <w:tcW w:w="22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82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365,808,060</w:t>
            </w:r>
          </w:p>
        </w:tc>
        <w:tc>
          <w:tcPr>
            <w:tcW w:w="220" w:type="dxa"/>
            <w:vAlign w:val="bottom"/>
            <w:vMerge w:val="continue"/>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100.0%</w:t>
            </w:r>
          </w:p>
        </w:tc>
        <w:tc>
          <w:tcPr>
            <w:tcW w:w="1020" w:type="dxa"/>
            <w:vAlign w:val="bottom"/>
            <w:gridSpan w:val="3"/>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41.4%</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67.0%</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2832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-496570</wp:posOffset>
            </wp:positionV>
            <wp:extent cx="7132320" cy="3860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38608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include monetary and non-monetary transactions.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suffering the effects of stringent measures to restrict mobility during the pandemic, which included paralyzing numerous business activities, transactions increased 41.4% in 3Q20 versus 2Q20. The majority of this recovery was seen in July, after the Peruvian government lifted many restrictions and initiated reactivation plans, which included allowing some workers to physically return to work. The transactions level increased +67.0% YoY, after more requests for products and services were served through digital channels.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QoQ analysis:</w:t>
      </w:r>
    </w:p>
    <w:p>
      <w:pPr>
        <w:spacing w:after="0" w:line="225" w:lineRule="exact"/>
        <w:rPr>
          <w:sz w:val="20"/>
          <w:szCs w:val="20"/>
          <w:color w:val="auto"/>
        </w:rPr>
      </w:pPr>
    </w:p>
    <w:p>
      <w:pPr>
        <w:jc w:val="both"/>
        <w:ind w:left="880" w:hanging="494"/>
        <w:spacing w:after="0" w:line="266" w:lineRule="auto"/>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transactions was seen across the majority of channels, with the exception of Telephone Banking (-10.9%) and Direct debit (-17.6%), channels that account for a smaller percentage of transactions given that a large number of transactions are now made through alternative channels in the current context, as is Yape with and increase (+134.3%).</w:t>
      </w:r>
    </w:p>
    <w:p>
      <w:pPr>
        <w:spacing w:after="0" w:line="175" w:lineRule="exact"/>
        <w:rPr>
          <w:rFonts w:ascii="Times New Roman" w:cs="Times New Roman" w:eastAsia="Times New Roman" w:hAnsi="Times New Roman"/>
          <w:sz w:val="18"/>
          <w:szCs w:val="18"/>
          <w:color w:val="auto"/>
        </w:rPr>
      </w:pPr>
    </w:p>
    <w:p>
      <w:pPr>
        <w:jc w:val="both"/>
        <w:ind w:left="880" w:hanging="494"/>
        <w:spacing w:after="0" w:line="261" w:lineRule="auto"/>
        <w:tabs>
          <w:tab w:leader="none" w:pos="8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important to note that in 3Q20, the most significant increase in terms of volume was driven mainly by Mobile Banking (+34.9%), followed by Agentes BCP (+42.5%), Points of Sale POS (+65.1%) and ATM transactions (+40.3%). This reflects the fact that companies and individuals have assumed protocols to prevent contagion, sparking an uptick in the use of our digital and non-presential channels, which are more cost-efficient.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YoY analysis:</w:t>
      </w:r>
    </w:p>
    <w:p>
      <w:pPr>
        <w:spacing w:after="0" w:line="225" w:lineRule="exact"/>
        <w:rPr>
          <w:sz w:val="20"/>
          <w:szCs w:val="20"/>
          <w:color w:val="auto"/>
        </w:rPr>
      </w:pPr>
    </w:p>
    <w:p>
      <w:pPr>
        <w:jc w:val="both"/>
        <w:ind w:left="880" w:hanging="494"/>
        <w:spacing w:after="0" w:line="261" w:lineRule="auto"/>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via digital channels have been particularly dynamic, posting a significant increase in transactions volumes: Mobile Banking (+107.5% YoY), Internet Banking Via BCP (+57.3% YoY) and Yape (+590.0% YoY). The availability of functions provided by digital channels and the continuous implementation of digital platforms in offices. The objective is to allow clients to consult balances, execute transactions, pay services and/or make transfers without recurring to traditional channels.</w:t>
      </w:r>
    </w:p>
    <w:p>
      <w:pPr>
        <w:spacing w:after="0" w:line="179" w:lineRule="exact"/>
        <w:rPr>
          <w:rFonts w:ascii="Times New Roman" w:cs="Times New Roman" w:eastAsia="Times New Roman" w:hAnsi="Times New Roman"/>
          <w:sz w:val="18"/>
          <w:szCs w:val="18"/>
          <w:color w:val="auto"/>
        </w:rPr>
      </w:pPr>
    </w:p>
    <w:p>
      <w:pPr>
        <w:ind w:left="880" w:right="20" w:hanging="494"/>
        <w:spacing w:after="0" w:line="282" w:lineRule="auto"/>
        <w:tabs>
          <w:tab w:leader="none" w:pos="8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volume through traditional channels fell significantly due to the pandemic: Tellers (- 47.0%) and Telephone Banking (-10.2%), due to social immobility; restrictions on the number of people allowed in physical spaces; and a reduction in business hours.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that growth in banking transactions in the region will continue to be seen primarily in digital channels. Demand for these kinds of transactions will be bolstered by social distancing and public health measures to combat COVID-19. Consequently, increases in transactions volumes will take place mainly through Mobile Banking and Internet Banking, which is aligned with our objective to possess an efficient and profitable network for client services. Lastly, it is important to note that the interbank payment application Yape hit the 4-million user mark in 3Q20 and has become a useful tool for individual and business-based payments that offers efficient, no-cost transactions.</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9.1.3. Points of Contact – BCP Bolivia</w:t>
            </w: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5"/>
        </w:trPr>
        <w:tc>
          <w:tcPr>
            <w:tcW w:w="5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20" w:type="dxa"/>
            <w:vAlign w:val="bottom"/>
            <w:gridSpan w:val="4"/>
          </w:tcPr>
          <w:p>
            <w:pPr>
              <w:ind w:left="56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23"/>
        </w:trPr>
        <w:tc>
          <w:tcPr>
            <w:tcW w:w="5200" w:type="dxa"/>
            <w:vAlign w:val="bottom"/>
          </w:tcPr>
          <w:p>
            <w:pPr>
              <w:spacing w:after="0"/>
              <w:rPr>
                <w:sz w:val="19"/>
                <w:szCs w:val="19"/>
                <w:color w:val="auto"/>
              </w:rPr>
            </w:pPr>
          </w:p>
        </w:tc>
        <w:tc>
          <w:tcPr>
            <w:tcW w:w="1260" w:type="dxa"/>
            <w:vAlign w:val="bottom"/>
            <w:tcBorders>
              <w:top w:val="single" w:sz="8" w:color="auto"/>
            </w:tcBorders>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240" w:type="dxa"/>
            <w:vAlign w:val="bottom"/>
            <w:tcBorders>
              <w:top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10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20" w:type="dxa"/>
            <w:vAlign w:val="bottom"/>
          </w:tcPr>
          <w:p>
            <w:pPr>
              <w:spacing w:after="0"/>
              <w:rPr>
                <w:sz w:val="19"/>
                <w:szCs w:val="19"/>
                <w:color w:val="auto"/>
              </w:rPr>
            </w:pPr>
          </w:p>
        </w:tc>
        <w:tc>
          <w:tcPr>
            <w:tcW w:w="1220" w:type="dxa"/>
            <w:vAlign w:val="bottom"/>
            <w:tcBorders>
              <w:top w:val="single" w:sz="8" w:color="auto"/>
            </w:tcBorders>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QoQ</w:t>
            </w:r>
          </w:p>
        </w:tc>
        <w:tc>
          <w:tcPr>
            <w:tcW w:w="10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YoY</w:t>
            </w:r>
          </w:p>
        </w:tc>
        <w:tc>
          <w:tcPr>
            <w:tcW w:w="100" w:type="dxa"/>
            <w:vAlign w:val="bottom"/>
          </w:tcPr>
          <w:p>
            <w:pPr>
              <w:spacing w:after="0"/>
              <w:rPr>
                <w:sz w:val="19"/>
                <w:szCs w:val="19"/>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Branches</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303</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 BCP Bolivia</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438</w:t>
            </w: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TotaI Bolivia’s Network</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797</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1,028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231</w:t>
            </w:r>
          </w:p>
        </w:tc>
      </w:tr>
    </w:tbl>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At BCP Bolivia, points of contact increased QoQ (+82) due to an increase in Agentes BCP (+81) and in ATMs (+2), in line with our strategy to expand through cost-efficient channels.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YoY evolution, the total number of points of contact at BCP Bolivia increased +231, which was primarily due to an increase in the number of Agentes BCP (+226) and, to a lesser extent, to growth in ATMs (+7). On the contrary, the number of offices fell (-2). The increase in the number of agentes and ATMs was, as mentioned earlier, part of our strategy to bolster cost-efficient channels to reach more clients while offsetting the effect of branch closures.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9.2. Microfinance</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9.2.1. Points of Contact – Mibanco</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36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gridSpan w:val="4"/>
          </w:tcPr>
          <w:p>
            <w:pPr>
              <w:ind w:left="640"/>
              <w:spacing w:after="0"/>
              <w:rPr>
                <w:sz w:val="20"/>
                <w:szCs w:val="20"/>
                <w:color w:val="auto"/>
              </w:rPr>
            </w:pPr>
            <w:r>
              <w:rPr>
                <w:rFonts w:ascii="Times New Roman" w:cs="Times New Roman" w:eastAsia="Times New Roman" w:hAnsi="Times New Roman"/>
                <w:sz w:val="18"/>
                <w:szCs w:val="18"/>
                <w:b w:val="1"/>
                <w:bCs w:val="1"/>
                <w:color w:val="auto"/>
              </w:rPr>
              <w:t>change (units)</w:t>
            </w:r>
          </w:p>
        </w:tc>
      </w:tr>
      <w:tr>
        <w:trPr>
          <w:trHeight w:val="223"/>
        </w:trPr>
        <w:tc>
          <w:tcPr>
            <w:tcW w:w="366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20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Jun 20</w:t>
            </w:r>
          </w:p>
        </w:tc>
        <w:tc>
          <w:tcPr>
            <w:tcW w:w="220" w:type="dxa"/>
            <w:vAlign w:val="bottom"/>
            <w:tcBorders>
              <w:top w:val="single" w:sz="8" w:color="auto"/>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00" w:type="dxa"/>
            <w:vAlign w:val="bottom"/>
            <w:tcBorders>
              <w:bottom w:val="single" w:sz="8" w:color="CCEEFF"/>
            </w:tcBorders>
          </w:tcPr>
          <w:p>
            <w:pPr>
              <w:spacing w:after="0"/>
              <w:rPr>
                <w:sz w:val="19"/>
                <w:szCs w:val="19"/>
                <w:color w:val="auto"/>
              </w:rPr>
            </w:pPr>
          </w:p>
        </w:tc>
        <w:tc>
          <w:tcPr>
            <w:tcW w:w="10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QoQ</w:t>
            </w:r>
          </w:p>
        </w:tc>
        <w:tc>
          <w:tcPr>
            <w:tcW w:w="200" w:type="dxa"/>
            <w:vAlign w:val="bottom"/>
            <w:tcBorders>
              <w:top w:val="single" w:sz="8" w:color="auto"/>
              <w:bottom w:val="single" w:sz="8" w:color="CCEEFF"/>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YoY</w:t>
            </w:r>
          </w:p>
        </w:tc>
        <w:tc>
          <w:tcPr>
            <w:tcW w:w="80" w:type="dxa"/>
            <w:vAlign w:val="bottom"/>
            <w:tcBorders>
              <w:bottom w:val="single" w:sz="8" w:color="CCEEFF"/>
            </w:tcBorders>
          </w:tcPr>
          <w:p>
            <w:pPr>
              <w:spacing w:after="0"/>
              <w:rPr>
                <w:sz w:val="19"/>
                <w:szCs w:val="19"/>
                <w:color w:val="auto"/>
              </w:rPr>
            </w:pPr>
          </w:p>
        </w:tc>
      </w:tr>
      <w:tr>
        <w:trPr>
          <w:trHeight w:val="236"/>
        </w:trPr>
        <w:tc>
          <w:tcPr>
            <w:tcW w:w="366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b w:val="1"/>
                <w:bCs w:val="1"/>
                <w:color w:val="auto"/>
              </w:rPr>
              <w:t xml:space="preserve">Total Mibanco's Network </w:t>
            </w:r>
            <w:r>
              <w:rPr>
                <w:rFonts w:ascii="Times New Roman" w:cs="Times New Roman" w:eastAsia="Times New Roman" w:hAnsi="Times New Roman"/>
                <w:sz w:val="27"/>
                <w:szCs w:val="27"/>
                <w:b w:val="1"/>
                <w:bCs w:val="1"/>
                <w:color w:val="auto"/>
                <w:vertAlign w:val="superscript"/>
              </w:rPr>
              <w:t>(1)</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c>
          <w:tcPr>
            <w:tcW w:w="20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324</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323</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20"/>
                <w:szCs w:val="20"/>
                <w:color w:val="auto"/>
              </w:rPr>
            </w:pPr>
          </w:p>
        </w:tc>
      </w:tr>
      <w:tr>
        <w:trPr>
          <w:trHeight w:val="20"/>
        </w:trPr>
        <w:tc>
          <w:tcPr>
            <w:tcW w:w="36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firstLine="8"/>
        <w:spacing w:after="0" w:line="282" w:lineRule="auto"/>
        <w:tabs>
          <w:tab w:leader="none" w:pos="29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Mibanco does not have Agents or ATMs because it uses the BCP network. Mibanco branches include Banco de la Nacion branches, which in September 20, June 20 and September 20 were 35.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Mibanco reported a decrease in its branches (-1) QoQ after an office was closed. YoY, the number of branches fell -1. It is important to note that Mibanco has an agreement with Banco de la Nacion that allows it to use the latter’s branches throughout the country to reduce operating costs. At the end of 3Q20, these branches represented 11% (35 branches) of the 323 owned by Mibanco.</w:t>
      </w:r>
    </w:p>
    <w:p>
      <w:pPr>
        <w:spacing w:after="0" w:line="39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w:t>
            </w:r>
          </w:p>
        </w:tc>
        <w:tc>
          <w:tcPr>
            <w:tcW w:w="23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Economic Perspectives</w:t>
            </w: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10.1. Peru Economic Forecasts</w:t>
            </w: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400" w:type="dxa"/>
            <w:vAlign w:val="bottom"/>
          </w:tcPr>
          <w:p>
            <w:pPr>
              <w:spacing w:after="0"/>
              <w:rPr>
                <w:sz w:val="24"/>
                <w:szCs w:val="24"/>
                <w:color w:val="auto"/>
              </w:rPr>
            </w:pPr>
          </w:p>
        </w:tc>
        <w:tc>
          <w:tcPr>
            <w:tcW w:w="230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Peru</w:t>
            </w:r>
          </w:p>
        </w:tc>
        <w:tc>
          <w:tcPr>
            <w:tcW w:w="11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80" w:type="dxa"/>
            <w:vAlign w:val="bottom"/>
          </w:tcPr>
          <w:p>
            <w:pPr>
              <w:spacing w:after="0"/>
              <w:rPr>
                <w:sz w:val="24"/>
                <w:szCs w:val="24"/>
                <w:color w:val="auto"/>
              </w:rPr>
            </w:pPr>
          </w:p>
        </w:tc>
        <w:tc>
          <w:tcPr>
            <w:tcW w:w="11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60" w:type="dxa"/>
            <w:vAlign w:val="bottom"/>
          </w:tcPr>
          <w:p>
            <w:pPr>
              <w:spacing w:after="0"/>
              <w:rPr>
                <w:sz w:val="24"/>
                <w:szCs w:val="24"/>
                <w:color w:val="auto"/>
              </w:rPr>
            </w:pPr>
          </w:p>
        </w:tc>
        <w:tc>
          <w:tcPr>
            <w:tcW w:w="11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60" w:type="dxa"/>
            <w:vAlign w:val="bottom"/>
          </w:tcPr>
          <w:p>
            <w:pPr>
              <w:spacing w:after="0"/>
              <w:rPr>
                <w:sz w:val="24"/>
                <w:szCs w:val="24"/>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29"/>
                <w:szCs w:val="29"/>
                <w:b w:val="1"/>
                <w:bCs w:val="1"/>
                <w:color w:val="auto"/>
                <w:vertAlign w:val="superscript"/>
              </w:rPr>
              <w:t>(3)</w:t>
            </w:r>
          </w:p>
        </w:tc>
        <w:tc>
          <w:tcPr>
            <w:tcW w:w="280" w:type="dxa"/>
            <w:vAlign w:val="bottom"/>
          </w:tcPr>
          <w:p>
            <w:pPr>
              <w:spacing w:after="0"/>
              <w:rPr>
                <w:sz w:val="24"/>
                <w:szCs w:val="24"/>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342F42"/>
              </w:rPr>
              <w:t xml:space="preserve">2020 </w:t>
            </w:r>
            <w:r>
              <w:rPr>
                <w:rFonts w:ascii="Times New Roman" w:cs="Times New Roman" w:eastAsia="Times New Roman" w:hAnsi="Times New Roman"/>
                <w:sz w:val="29"/>
                <w:szCs w:val="29"/>
                <w:b w:val="1"/>
                <w:bCs w:val="1"/>
                <w:color w:val="342F42"/>
                <w:vertAlign w:val="superscript"/>
              </w:rPr>
              <w:t>(3)</w:t>
            </w:r>
          </w:p>
        </w:tc>
        <w:tc>
          <w:tcPr>
            <w:tcW w:w="26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342F42"/>
              </w:rPr>
              <w:t xml:space="preserve">2021 </w:t>
            </w:r>
            <w:r>
              <w:rPr>
                <w:rFonts w:ascii="Times New Roman" w:cs="Times New Roman" w:eastAsia="Times New Roman" w:hAnsi="Times New Roman"/>
                <w:sz w:val="29"/>
                <w:szCs w:val="29"/>
                <w:b w:val="1"/>
                <w:bCs w:val="1"/>
                <w:color w:val="000000"/>
                <w:vertAlign w:val="superscript"/>
              </w:rPr>
              <w:t>(3)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6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(US$ Millions)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194,660</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214,352</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225,308</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230,809</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195,105</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218,565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Real GDP (% change)</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-12.5</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GDP per capita (US$)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6,180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6,741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6,997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7,102</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5,951</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6,574</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Domestic demand (% change)</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4.3</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-11.9</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fixed investment (as % GDP)</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22.0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21.4</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Public Debt (as % GDP)</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24.9</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25.7</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26.8</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34.2</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57"/>
        </w:trPr>
        <w:tc>
          <w:tcPr>
            <w:tcW w:w="2700" w:type="dxa"/>
            <w:vAlign w:val="bottom"/>
            <w:gridSpan w:val="3"/>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342F42"/>
              </w:rPr>
              <w:t>System loan growth (% change)</w:t>
            </w:r>
            <w:r>
              <w:rPr>
                <w:rFonts w:ascii="Times New Roman" w:cs="Times New Roman" w:eastAsia="Times New Roman" w:hAnsi="Times New Roman"/>
                <w:sz w:val="29"/>
                <w:szCs w:val="29"/>
                <w:color w:val="342F42"/>
                <w:vertAlign w:val="superscript"/>
              </w:rPr>
              <w:t>(1)</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4.9</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700" w:type="dxa"/>
            <w:vAlign w:val="bottom"/>
            <w:gridSpan w:val="3"/>
            <w:vMerge w:val="restart"/>
          </w:tcPr>
          <w:p>
            <w:pPr>
              <w:spacing w:after="0" w:line="256" w:lineRule="exact"/>
              <w:rPr>
                <w:sz w:val="20"/>
                <w:szCs w:val="20"/>
                <w:color w:val="auto"/>
              </w:rPr>
            </w:pPr>
            <w:r>
              <w:rPr>
                <w:rFonts w:ascii="Times New Roman" w:cs="Times New Roman" w:eastAsia="Times New Roman" w:hAnsi="Times New Roman"/>
                <w:sz w:val="18"/>
                <w:szCs w:val="18"/>
                <w:color w:val="342F42"/>
              </w:rPr>
              <w:t>Inflation</w:t>
            </w:r>
            <w:r>
              <w:rPr>
                <w:rFonts w:ascii="Times New Roman" w:cs="Times New Roman" w:eastAsia="Times New Roman" w:hAnsi="Times New Roman"/>
                <w:sz w:val="29"/>
                <w:szCs w:val="29"/>
                <w:color w:val="342F42"/>
                <w:vertAlign w:val="superscript"/>
              </w:rPr>
              <w:t>(2)</w:t>
            </w:r>
          </w:p>
        </w:tc>
        <w:tc>
          <w:tcPr>
            <w:tcW w:w="1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700" w:type="dxa"/>
            <w:vAlign w:val="bottom"/>
            <w:gridSpan w:val="3"/>
            <w:vMerge w:val="continue"/>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1.4</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1.3</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9"/>
        </w:trPr>
        <w:tc>
          <w:tcPr>
            <w:tcW w:w="2700" w:type="dxa"/>
            <w:vAlign w:val="bottom"/>
            <w:tcBorders>
              <w:top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Reference Rate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6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Exchange rate, end of period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42F42"/>
              </w:rPr>
              <w:t>3.50-3.55</w:t>
            </w:r>
          </w:p>
        </w:tc>
        <w:tc>
          <w:tcPr>
            <w:tcW w:w="2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342F42"/>
              </w:rPr>
              <w:t>3.40-3.45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rate, (% change)</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w:t>
            </w:r>
          </w:p>
        </w:tc>
        <w:tc>
          <w:tcPr>
            <w:tcW w:w="1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3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17"/>
        </w:trPr>
        <w:tc>
          <w:tcPr>
            <w:tcW w:w="2700" w:type="dxa"/>
            <w:vAlign w:val="bottom"/>
            <w:tcBorders>
              <w:top w:val="single" w:sz="8" w:color="CCEEFF"/>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Fiscal balance (% GDP)</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6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80" w:type="dxa"/>
            <w:vAlign w:val="bottom"/>
            <w:tcBorders>
              <w:top w:val="single" w:sz="8" w:color="CCEEFF"/>
              <w:bottom w:val="single" w:sz="8" w:color="CCEEFF"/>
            </w:tcBorders>
          </w:tcPr>
          <w:p>
            <w:pPr>
              <w:spacing w:after="0"/>
              <w:rPr>
                <w:sz w:val="18"/>
                <w:szCs w:val="18"/>
                <w:color w:val="auto"/>
              </w:rPr>
            </w:pP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60" w:type="dxa"/>
            <w:vAlign w:val="bottom"/>
            <w:tcBorders>
              <w:top w:val="single" w:sz="8" w:color="CCEEFF"/>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balance (US$ Millions)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w:t>
            </w: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7,197</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 GDP)</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Exports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37,082</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45,422</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49,066</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47,688</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39,800</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47,400</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Imports</w:t>
            </w: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35,128</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38,722</w:t>
            </w:r>
          </w:p>
        </w:tc>
        <w:tc>
          <w:tcPr>
            <w:tcW w:w="14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41,870</w:t>
            </w:r>
          </w:p>
        </w:tc>
        <w:tc>
          <w:tcPr>
            <w:tcW w:w="1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41,074</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33,800</w:t>
            </w:r>
          </w:p>
        </w:tc>
        <w:tc>
          <w:tcPr>
            <w:tcW w:w="13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40,400</w:t>
            </w: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Current account balance (US$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-5,064</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-2,779</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-3,821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-3,530</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-971</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-2,602</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 GDP)</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-0.5%</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8"/>
        </w:trPr>
        <w:tc>
          <w:tcPr>
            <w:tcW w:w="27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international reserves (US$</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61,686</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63,621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60,121</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68,316</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73,200</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74,500</w:t>
            </w:r>
          </w:p>
        </w:tc>
        <w:tc>
          <w:tcPr>
            <w:tcW w:w="0" w:type="dxa"/>
            <w:vAlign w:val="bottom"/>
          </w:tcPr>
          <w:p>
            <w:pPr>
              <w:spacing w:after="0"/>
              <w:rPr>
                <w:sz w:val="1"/>
                <w:szCs w:val="1"/>
                <w:color w:val="auto"/>
              </w:rPr>
            </w:pPr>
          </w:p>
        </w:tc>
      </w:tr>
      <w:tr>
        <w:trPr>
          <w:trHeight w:val="216"/>
        </w:trPr>
        <w:tc>
          <w:tcPr>
            <w:tcW w:w="2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 GDP)</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29.7%</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37.7%</w:t>
            </w:r>
          </w:p>
        </w:tc>
        <w:tc>
          <w:tcPr>
            <w:tcW w:w="13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16"/>
        </w:trPr>
        <w:tc>
          <w:tcPr>
            <w:tcW w:w="27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 months of imports)</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21</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14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20</w:t>
            </w:r>
          </w:p>
        </w:tc>
        <w:tc>
          <w:tcPr>
            <w:tcW w:w="14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13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INEI, BCRP, and SBS.</w:t>
      </w:r>
    </w:p>
    <w:p>
      <w:pPr>
        <w:spacing w:after="0" w:line="29" w:lineRule="exact"/>
        <w:rPr>
          <w:sz w:val="20"/>
          <w:szCs w:val="20"/>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System, Current Exchange Rate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target: 1% - 3%</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by BCP Economic Research as of October,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10.2. Main Economic Variables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Economic Activity – GDP </w:t>
      </w:r>
      <w:r>
        <w:rPr>
          <w:rFonts w:ascii="Times New Roman" w:cs="Times New Roman" w:eastAsia="Times New Roman" w:hAnsi="Times New Roman"/>
          <w:sz w:val="18"/>
          <w:szCs w:val="18"/>
          <w:color w:val="auto"/>
        </w:rPr>
        <w:t>(% change YoY)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1676400</wp:posOffset>
            </wp:positionH>
            <wp:positionV relativeFrom="paragraph">
              <wp:posOffset>19685</wp:posOffset>
            </wp:positionV>
            <wp:extent cx="3797300" cy="15944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797300" cy="159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Source: INEI</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After GDP contracted 30.2% YoY during the second quarter of 2020, primarily due to the nationwide lockdown to mitigate COVID-19 contagion, economic activity began to show signals of notable recovery this quarter. This translated into lower levels of economic contraction. In this scenario, economic activity fell 9.8% YoY in August after falling 11.7% YoY in July and 18.1% YoY in June. Accordingly, we believe that we have left the worst behind in terms of economic contraction.</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p>
      <w:pPr>
        <w:jc w:val="both"/>
        <w:spacing w:after="0" w:line="256" w:lineRule="auto"/>
        <w:rPr>
          <w:sz w:val="20"/>
          <w:szCs w:val="20"/>
          <w:color w:val="auto"/>
        </w:rPr>
      </w:pPr>
      <w:r>
        <w:rPr>
          <w:rFonts w:ascii="Times New Roman" w:cs="Times New Roman" w:eastAsia="Times New Roman" w:hAnsi="Times New Roman"/>
          <w:sz w:val="18"/>
          <w:szCs w:val="18"/>
          <w:color w:val="auto"/>
        </w:rPr>
        <w:t>The most recent economic activity indicators show that recovery continues. The following indicators stand out in September, as they have shown a V-shaped recovery: (i) electricity demand fell 2% YoY (Aug-20: -3%); in October it contracted 0.3% YoY, (ii) cement dispatchment increased 10% YoY (Aug-20: -0.3%), and (iii) real estate transactions declined 6% YoY after falling above 90% YoY during the general lockdown. In addition, in September other economic indicator also showed a recovery, such as general government public investment, which fell 5% YoY in real terms (Aug-20: -25%), and the number of transfers in the Real-Time Gross Settlement System increased 7% YoY (Aug-20: -8.4%). Moreover, in the BCRP survey for current situation and macroeconomic expectations continued to recover with regard to last month’s figures but still stand far from pre-pandemic levels.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Inflation and Monetary Policy rate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1702435</wp:posOffset>
            </wp:positionH>
            <wp:positionV relativeFrom="paragraph">
              <wp:posOffset>19685</wp:posOffset>
            </wp:positionV>
            <wp:extent cx="3737610" cy="16198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737610" cy="1619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Source: INEI, BCRP</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headline inflation rate closed the third quarter of 2020 at 1.8% YoY (2Q20: 1.6%), accumulating 13 consecutive months below the mid-point of the BCRP target range (1% - 3%). In parallel, core inflation (excluding food and energy) stood at 1.8% YoY (2Q20: 1.9%) and registered 7 consecutive months below 2%.</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reference rate has remained at 0.25% since April, after having been cut 100pbs after that month’s extraordinary monetary policy meeting. In the last monetary policy meeting in October, the Central Bank stressed for the sixth consecutive month that “the Board considers it appropriate to maintain a strong monetary stimulus for a prolonged period or for as long as the negative effects on inflation and its determinants persist. The Central Bank remains vigilant to increase monetary stimulus through several mechanisms”.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end of June, the Central Bank keeps implementing the second phase of the “Reactiva Peru” program (each phase is made up of PEN 30 billion), a loan program for working capital, where liquidity is provided by the Central Bank and loans have government-backed guarantees. Through this program, as well as other Central Bank operations, the Central Bank has provided unprecedented levels of liquidity in local currency. As of October 20, as part of the second phase of program, Repos have been placed for PEN 25.3 billion at an average interest rate of 1.73%.</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Fiscal Result and Current Account Balance (% of GDP,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19685</wp:posOffset>
            </wp:positionV>
            <wp:extent cx="3429000" cy="1688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00" cy="168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i w:val="1"/>
          <w:iCs w:val="1"/>
          <w:color w:val="auto"/>
        </w:rPr>
        <w:t>Source: BCRP</w:t>
      </w:r>
    </w:p>
    <w:p>
      <w:pPr>
        <w:spacing w:after="0" w:line="29"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color w:val="auto"/>
        </w:rPr>
        <w:t>*BCP estimates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t>In annualized terms up to 3Q20, the fiscal deficit represented 6.2% of GDP (2Q20: 4.7%, 2019: 1.6%). In the third quarter of 2020, fiscal revenues fell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YoY in real terms (2Q20: -37%). The drop is due to a decline in value added tax revenues (17% YoY) and in income tax revenues (18% YoY).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parallel, in 3Q20, non-financial government spending increased 7% YoY in real terms (2Q20: -10%). Although current spending rose 13% YoY (2Q20: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due to a 41% YoY increase in transfers (2Q20: +55%), public investment by the general government declined 24% YoY in real terms (2Q20: -73%).</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January to August 2020, the trade balance posted a surplus of USD 2,291 million, 37% below the number recorded for the same period in 2019. Exports fell 23% YoY during the same period (3.5% YoY drop in price and 21.3% YoY decline in volume) due to traditional exports (-26%, represented by a decrease of copper: -25%) whereas non-traditional exports fell 17% YoY. It is important to note that since the end of March, the price of copper has followed a significant upward trend, and currently stands around USD/lb. 3.10. This implies an increase of 11% year-to-date. Imports also fell, registering a decline of 22% YoY where the most affected sectors were raw materials (-25% YoY) and capital goods (-22% YoY). Lastly, in August terms of trade grew 8.6% YoY, a 30-month peak, and in the January/August period, they increased 2.3% YoY.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Exchange rate (S/ per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2019300</wp:posOffset>
            </wp:positionH>
            <wp:positionV relativeFrom="paragraph">
              <wp:posOffset>156845</wp:posOffset>
            </wp:positionV>
            <wp:extent cx="3471545" cy="21602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7154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i w:val="1"/>
          <w:iCs w:val="1"/>
          <w:color w:val="auto"/>
        </w:rPr>
        <w:t>Source: SBS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exchange rate closed 3Q20 at USDPEN 3.597. Consequently, the Peruvian Sol depreciated 1.7% compared to 2Q20’s closing rate (USDPEN 3.538) and 8.5% compared to the closing rate of 2019 (USDPEN 3.314). At closing 3Q20, currencies in the region presented mixed results. On one hand, there was an appreciation of the Chilean Peso (+4.5%) and Mexican Peso (+3.8%). On the other hand, there was a depreciation of the Brazilian Real (-2.6%) and Colombian Peso (-1.9%).</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3Q20, the Central Bank intervened in the exchange rate market to mitigate PEN depreciation pressures. On the spot market, the institution sold USD 1 million when the exchange rate reached USDPEN 3.606, and in the first week of October it sold USD 12 million at an exchange rate of USDPEN 3.620. Additionally, in 3Q20 (mainly in August and September), the Central Bank issued USD 1,694 million in BCRP Re-adjustable Deposit Certificates and USD 1,481 million in FX Swaps (sales) to mitigate the depreciation of the Peruvian Sol.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Lastly, at the end of 3Q20, net international reserves stood at USD 72.4 billion, which represented an increase of USD 0.9 billion with regard to the level in the last quarter (2019: USD 68.3 billion). The FX position at the end of 3Q20 was situated at USD 55.2 billion, which reflected an increase of USD 9.2 billion compared to 2Q20’s figure (2019: USD 42.6 billion). It is important to highlight that a significant amount of the increase in the FX position is attributable to MEF’s decision to convert the FC-denominated funds in the Fiscal Stabilization Fund (USD 5.2 billion at the end of 2Q20) into local currency.</w:t>
      </w:r>
    </w:p>
    <w:p>
      <w:pPr>
        <w:spacing w:after="0" w:line="39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color w:val="auto"/>
        </w:rPr>
        <w:t>Safe Harbor for Forward-Looking Statements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material includes “forward-looking statements” within the meaning of Section 21E of the Securities Exchange Act of 1934. All statements other than statements of historical information provided herein are forward-looking and may contain information about financial results, economic conditions, trends and known uncertainties. Forward-looking statements are neither historical facts nor assurances of future performance. Instead, they are based only on the Company’s current beliefs, expectations and assumptions regarding the future of our business, future plans and strategies, projections, anticipated events and trends, the economy and other future conditions.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Forward-looking statements can be identified by words such as: "anticipate”, "intend", "plan", "goal”, "seek”, "believe”, "project", "estimate”, "expect", "strategy”, "future”, "likely”, "may”, "should”, "will" and similar references to future periods. Examples of forward-looking statements include, among others, statements or estimates we make regarding guidance relating to Return on Average Equity, Sustainable Return on Average Equity, Cost of Risk, Loan growth, Efficiency ratio, BCP Stand-alone Common Equity Tier 1 Capital ratio and Net Interest Margin, current or future volatility in the credit markets and future market conditions, expected macroeconomic conditions, our belief that we have sufficient liquidity to fund our business operations during the next year, expectations of the effect on our financial condition of claims, litigation, environmental costs, contingent liabilities and governmental and regulatory investigations and proceedings, strategy for customer retention, growth, product development, market position, financial results and reserves and strategy for risk management.</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cautions readers that actual results could differ materially from those expected by the Company, depending on the outcome of certain factors, including, without limitation: (1) adverse changes in the Peruvian economy with respect to the rates of inflation, economic growth, currency devaluation, and other factors, (2) adverse changes in the Peruvian political situation, including, without limitation, the reversal of market-oriented reforms and economic recovery measures, or the failure of such measures and reforms to achieve their goals, and (3) adverse changes in the markets in which the Company operates, including increased competition, decreased demand for financial services, and other factors. Readers are cautioned not to place undue reliance on these forward-looking statements, which speak only as of the date hereof. Our actual results and financial condition may differ materially from those indicated in the forward-looking statements. Therefore, you should not rely on any of these 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forward-looking statement made in this material is based only on information currently available to the Company and speaks only as of the date on which it is made. The Company undertakes no obligation to release publicly the result of any revisions to these forward-looking statements which may be made to reflect events or circumstances after the date hereof, including, without limitation, changes in the Company’s business strategy or planned capital expenditures, or to reflect the occurrence of unanticipated events</w:t>
      </w:r>
    </w:p>
    <w:p>
      <w:pPr>
        <w:spacing w:after="0" w:line="39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59" w:name="page60"/>
    <w:bookmarkEnd w:id="59"/>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Appendix</w:t>
      </w:r>
    </w:p>
    <w:p>
      <w:pPr>
        <w:spacing w:after="0" w:line="225" w:lineRule="exact"/>
        <w:rPr>
          <w:rFonts w:ascii="Times New Roman" w:cs="Times New Roman" w:eastAsia="Times New Roman" w:hAnsi="Times New Roman"/>
          <w:sz w:val="18"/>
          <w:szCs w:val="18"/>
          <w:b w:val="1"/>
          <w:bCs w:val="1"/>
          <w:color w:val="auto"/>
        </w:rPr>
      </w:pPr>
    </w:p>
    <w:p>
      <w:pPr>
        <w:ind w:left="400" w:hanging="392"/>
        <w:spacing w:after="0"/>
        <w:tabs>
          <w:tab w:leader="none" w:pos="40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60" w:type="dxa"/>
            <w:vAlign w:val="bottom"/>
          </w:tcPr>
          <w:p>
            <w:pPr>
              <w:spacing w:after="0"/>
              <w:rPr>
                <w:sz w:val="19"/>
                <w:szCs w:val="19"/>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 2019</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Jun 2020</w:t>
            </w:r>
          </w:p>
        </w:tc>
        <w:tc>
          <w:tcPr>
            <w:tcW w:w="13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Sep 2020</w:t>
            </w:r>
          </w:p>
        </w:tc>
        <w:tc>
          <w:tcPr>
            <w:tcW w:w="142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QoQ</w:t>
            </w:r>
          </w:p>
        </w:tc>
        <w:tc>
          <w:tcPr>
            <w:tcW w:w="74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Cash and due from banks </w:t>
            </w:r>
            <w:r>
              <w:rPr>
                <w:rFonts w:ascii="Times New Roman" w:cs="Times New Roman" w:eastAsia="Times New Roman" w:hAnsi="Times New Roman"/>
                <w:sz w:val="26"/>
                <w:szCs w:val="26"/>
                <w:color w:val="auto"/>
                <w:vertAlign w:val="superscript"/>
              </w:rPr>
              <w:t>(1)</w:t>
            </w: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6,138,225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6,685,864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6,916,416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20,258,177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29,430,518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28,221,543</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-4.1%</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26,396,402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36,116,382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35,137,959</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Cash collateral, reverse repurchase agreements and securities borrowing </w:t>
            </w:r>
            <w:r>
              <w:rPr>
                <w:rFonts w:ascii="Times New Roman" w:cs="Times New Roman" w:eastAsia="Times New Roman" w:hAnsi="Times New Roman"/>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3,903,051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2,920,789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2,821,116</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3,808,137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5,118,994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6,658,680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26,794,192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32,213,665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40,712,831</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26.4%</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3,353,898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4,304,385</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4,277,475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Loans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112,209,990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132,741,720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136,148,711</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108,863,601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128,898,890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132,005,867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Internal overdue loans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3,346,389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3,842,830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4,142,844</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7.8%</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Less - allowance for loan losses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(4,977,809)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(8,412,544)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(9,656,383)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Loans, net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107,232,181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124,329,176</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126,492,328</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Financial assets designated at fair value through profit or loss </w:t>
            </w:r>
            <w:r>
              <w:rPr>
                <w:rFonts w:ascii="Times New Roman" w:cs="Times New Roman" w:eastAsia="Times New Roman" w:hAnsi="Times New Roman"/>
                <w:sz w:val="26"/>
                <w:szCs w:val="26"/>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617,387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662,634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729,059</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w:t>
            </w:r>
          </w:p>
        </w:tc>
        <w:tc>
          <w:tcPr>
            <w:tcW w:w="1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Accounts receivable from reinsurers and coinsurers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779,961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817,773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833,039</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1.9%</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Premiums and other policyholder receivables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793,858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799,644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801,480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0.2%</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Property, plant and equipment, net </w:t>
            </w:r>
            <w:r>
              <w:rPr>
                <w:rFonts w:ascii="Times New Roman" w:cs="Times New Roman" w:eastAsia="Times New Roman" w:hAnsi="Times New Roman"/>
                <w:sz w:val="26"/>
                <w:szCs w:val="26"/>
                <w:color w:val="auto"/>
                <w:vertAlign w:val="superscript"/>
              </w:rPr>
              <w:t>(3)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2,230,152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2,122,445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2,090,092</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Due from customers on acceptances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434,457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331,591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256,238</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Investments in associates </w:t>
            </w:r>
            <w:r>
              <w:rPr>
                <w:rFonts w:ascii="Times New Roman" w:cs="Times New Roman" w:eastAsia="Times New Roman" w:hAnsi="Times New Roman"/>
                <w:sz w:val="26"/>
                <w:szCs w:val="26"/>
                <w:color w:val="auto"/>
                <w:vertAlign w:val="superscript"/>
              </w:rPr>
              <w:t>(4)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603,487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626,992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627,786</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Intangible assets and goodwill, net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2,099,563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2,474,740</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2,474,665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Other assets </w:t>
            </w:r>
            <w:r>
              <w:rPr>
                <w:rFonts w:ascii="Times New Roman" w:cs="Times New Roman" w:eastAsia="Times New Roman" w:hAnsi="Times New Roman"/>
                <w:sz w:val="26"/>
                <w:szCs w:val="26"/>
                <w:color w:val="auto"/>
                <w:vertAlign w:val="superscript"/>
              </w:rPr>
              <w:t>(5)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6,565,418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8,673,717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7,773,402</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-10.4%</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185,612,144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221,512,927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231,686,150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26,707,196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41,310,487</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45,680,396</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80,684,524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88,353,845</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91,522,278</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Total deposits and obligations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107,391,720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129,664,332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137,202,674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Payables from repurchase agreements and securities lending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7,684,690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22,437,742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27,778,922</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23.8%</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BCRP instruments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4,144,908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19,441,733</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25,344,724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30.4%</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Repurchase agreements with third parties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2,031,025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2,091,798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1,204,487</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-42.4%</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Repurchase agreements with customers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1,508,757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904,211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1,229,711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36.0%</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Due to banks and correspondents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8,624,286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8,374,009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6,601,722</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-21.2%</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-23.5%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Bonds and notes issued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17,160,564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17,250,531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16,425,832</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Banker’s acceptances outstanding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434,457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331,591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256,238</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-22.7%</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Reserves for property and casualty claims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1,547,981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1,791,871</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1,982,653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Reserve for unearned premiums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7,597,409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8,839,019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9,111,195</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3.1%</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Accounts payable to reinsurers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220,731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221,118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222,194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0.5%</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Financial liabilities at fair value through profit or loss </w:t>
            </w:r>
            <w:r>
              <w:rPr>
                <w:rFonts w:ascii="Times New Roman" w:cs="Times New Roman" w:eastAsia="Times New Roman" w:hAnsi="Times New Roman"/>
                <w:sz w:val="26"/>
                <w:szCs w:val="26"/>
                <w:color w:val="auto"/>
                <w:vertAlign w:val="superscript"/>
              </w:rPr>
              <w:t>(6)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417,695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480,952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352,889</w:t>
            </w:r>
          </w:p>
        </w:tc>
        <w:tc>
          <w:tcPr>
            <w:tcW w:w="22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-26.6%</w:t>
            </w:r>
          </w:p>
        </w:tc>
        <w:tc>
          <w:tcPr>
            <w:tcW w:w="160" w:type="dxa"/>
            <w:vAlign w:val="bottom"/>
          </w:tcPr>
          <w:p>
            <w:pPr>
              <w:spacing w:after="0"/>
              <w:rPr>
                <w:sz w:val="21"/>
                <w:szCs w:val="21"/>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-15.5%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liabilities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8,072,467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8,245,706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7,685,061</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159,152,000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197,636,871</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207,619,380</w:t>
            </w:r>
          </w:p>
        </w:tc>
        <w:tc>
          <w:tcPr>
            <w:tcW w:w="220" w:type="dxa"/>
            <w:vAlign w:val="bottom"/>
          </w:tcPr>
          <w:p>
            <w:pPr>
              <w:spacing w:after="0"/>
              <w:rPr>
                <w:sz w:val="17"/>
                <w:szCs w:val="17"/>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5.1%</w:t>
            </w:r>
          </w:p>
        </w:tc>
        <w:tc>
          <w:tcPr>
            <w:tcW w:w="1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30.5%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equity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26,000,638</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23,396,028</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23,594,683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0.8%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Capital stock</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1,318,993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1,318,993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1,318,993</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Treasury stock</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(207,839)</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(209,309)</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(209,305)</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0.0%</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Capital surplus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222,605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160,430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157,767</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19,416,912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21,381,402</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21,405,740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0.1%</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Unrealized gains and losses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1,844,990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1,151,939</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1,224,135</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6.3%</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Retained earnings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3,404,977</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(407,427)</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(302,647)</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-25.7%</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459,506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480,028</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472,087</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-1.7%</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Total Net Equity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26,460,144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23,876,056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24,066,770</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0.8%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185,612,144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221,512,927</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231,686,150</w:t>
            </w:r>
          </w:p>
        </w:tc>
        <w:tc>
          <w:tcPr>
            <w:tcW w:w="22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4.6%</w:t>
            </w:r>
          </w:p>
        </w:tc>
        <w:tc>
          <w:tcPr>
            <w:tcW w:w="1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Off-balance sheet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133,337,813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129,132,266</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131,512,273</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performance bonds, stand-by and L/Cs.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20,416,414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19,271,152</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18,519,960</w:t>
            </w:r>
          </w:p>
        </w:tc>
        <w:tc>
          <w:tcPr>
            <w:tcW w:w="22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-3.9%</w:t>
            </w:r>
          </w:p>
        </w:tc>
        <w:tc>
          <w:tcPr>
            <w:tcW w:w="16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Undrawn credit lines, advised but not committed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80,887,384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80,651,014</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81,926,284</w:t>
            </w:r>
          </w:p>
        </w:tc>
        <w:tc>
          <w:tcPr>
            <w:tcW w:w="22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w:t>
            </w:r>
          </w:p>
        </w:tc>
        <w:tc>
          <w:tcPr>
            <w:tcW w:w="16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Total derivatives (notional) and others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32,034,015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29,210,100</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31,066,029</w:t>
            </w:r>
          </w:p>
        </w:tc>
        <w:tc>
          <w:tcPr>
            <w:tcW w:w="22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w:t>
            </w:r>
          </w:p>
        </w:tc>
        <w:tc>
          <w:tcPr>
            <w:tcW w:w="1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firstLine="8"/>
        <w:spacing w:after="0" w:line="261" w:lineRule="auto"/>
        <w:tabs>
          <w:tab w:leader="none" w:pos="25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differ from those previously reported in 2018 period, due to the reclassification to the item "Cash collateral, reverse repurchase agreements and securities borrowing" mainly for the cash collateral in dollars delivered to the BCRP, previously presented in the item "Cash and due from banks".</w:t>
      </w:r>
    </w:p>
    <w:p>
      <w:pPr>
        <w:ind w:right="20" w:firstLine="8"/>
        <w:spacing w:after="0" w:line="250" w:lineRule="auto"/>
        <w:tabs>
          <w:tab w:leader="none" w:pos="263"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2019 period, this item was opened in the statement of financial position; previously presented under the item "Investments at fair value through profit or loss".</w:t>
      </w:r>
    </w:p>
    <w:p>
      <w:pPr>
        <w:jc w:val="both"/>
        <w:ind w:firstLine="8"/>
        <w:spacing w:after="0" w:line="250" w:lineRule="auto"/>
        <w:tabs>
          <w:tab w:leader="none" w:pos="269"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differ from those previously reported in 2018 period, due to the reclassification of the expenses on improvements in building for rent, previously presented in the item “Other assets”. Likewise, in the period 2019, the asset for the right to use the lease contracts was incorporated, in application of IFRS 16.</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investments in associates, mainly Banmedica and Visanet, among others.</w:t>
      </w:r>
    </w:p>
    <w:p>
      <w:pPr>
        <w:sectPr>
          <w:pgSz w:w="11900" w:h="16838" w:orient="portrait"/>
          <w:cols w:equalWidth="0" w:num="1">
            <w:col w:w="11240"/>
          </w:cols>
          <w:pgMar w:left="320" w:top="900" w:right="339" w:bottom="0" w:gutter="0" w:footer="0" w:header="0"/>
        </w:sectPr>
      </w:pPr>
    </w:p>
    <w:bookmarkStart w:id="60" w:name="page61"/>
    <w:bookmarkEnd w:id="60"/>
    <w:p>
      <w:pPr>
        <w:ind w:left="260" w:hanging="252"/>
        <w:spacing w:after="0"/>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mainly accounts receivables from brokerage and others.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2019 period, this item was opened in the statement of financial position; previously presented in the item "Other liabilities".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CREDICORP LTD.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YTD</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20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780" w:type="dxa"/>
            <w:vAlign w:val="bottom"/>
            <w:tcBorders>
              <w:top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Pr>
          <w:p>
            <w:pPr>
              <w:spacing w:after="0"/>
              <w:rPr>
                <w:sz w:val="13"/>
                <w:szCs w:val="13"/>
                <w:color w:val="auto"/>
              </w:rPr>
            </w:pPr>
          </w:p>
        </w:tc>
        <w:tc>
          <w:tcPr>
            <w:tcW w:w="1240" w:type="dxa"/>
            <w:vAlign w:val="bottom"/>
            <w:tcBorders>
              <w:top w:val="single" w:sz="8" w:color="auto"/>
            </w:tcBorders>
            <w:gridSpan w:val="3"/>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54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3"/>
                <w:szCs w:val="13"/>
                <w:color w:val="auto"/>
              </w:rPr>
            </w:pPr>
          </w:p>
        </w:tc>
        <w:tc>
          <w:tcPr>
            <w:tcW w:w="1080" w:type="dxa"/>
            <w:vAlign w:val="bottom"/>
            <w:tcBorders>
              <w:top w:val="single" w:sz="8" w:color="auto"/>
            </w:tcBorders>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68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00" w:type="dxa"/>
            <w:vAlign w:val="bottom"/>
            <w:tcBorders>
              <w:top w:val="single" w:sz="8" w:color="CCEEFF"/>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3,123,672</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2,727,369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2,953,570</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9,208,969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8,844,548</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(847,272)</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(766,241)</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(791,875)</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3.3%</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-6.5%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(2,482,998)</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(2,342,426)</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9"/>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2,276,400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1,961,128</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2,161,695</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10.2%</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-5.0%</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6,725,971</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6,502,122</w:t>
            </w:r>
          </w:p>
        </w:tc>
        <w:tc>
          <w:tcPr>
            <w:tcW w:w="1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-3.3%</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Gross provision for credit losses on loan portfolio</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(568,034)</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(2,557,658)</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(1,348,726)</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137.4%</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(1,531,364)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(5,295,095)</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245.8%</w:t>
            </w: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Recoveries of written-off loans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65,262</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17,201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42,821</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148.9%</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-34.4%</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197,087</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107,252</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24"/>
        </w:trPr>
        <w:tc>
          <w:tcPr>
            <w:tcW w:w="3200" w:type="dxa"/>
            <w:vAlign w:val="bottom"/>
            <w:shd w:val="clear" w:color="auto" w:fill="CCEEFF"/>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Provision for credit losses on loan portfolio, net of</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(502,772)</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(2,540,457)</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(1,305,905)</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-48.6%</w:t>
            </w:r>
          </w:p>
        </w:tc>
        <w:tc>
          <w:tcPr>
            <w:tcW w:w="2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159.7%</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(1,334,277)</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(5,187,843)</w:t>
            </w:r>
          </w:p>
        </w:tc>
        <w:tc>
          <w:tcPr>
            <w:tcW w:w="116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288.8%</w:t>
            </w:r>
          </w:p>
        </w:tc>
        <w:tc>
          <w:tcPr>
            <w:tcW w:w="0" w:type="dxa"/>
            <w:vAlign w:val="bottom"/>
          </w:tcPr>
          <w:p>
            <w:pPr>
              <w:spacing w:after="0"/>
              <w:rPr>
                <w:sz w:val="1"/>
                <w:szCs w:val="1"/>
                <w:color w:val="auto"/>
              </w:rPr>
            </w:pPr>
          </w:p>
        </w:tc>
      </w:tr>
      <w:tr>
        <w:trPr>
          <w:trHeight w:val="173"/>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98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6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Risk-adjusted net interest income</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1,773,628</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(579,329)</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855,790</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-247.7%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-51.7%</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5,391,694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1,314,279</w:t>
            </w:r>
          </w:p>
        </w:tc>
        <w:tc>
          <w:tcPr>
            <w:tcW w:w="1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-75.6%</w:t>
            </w: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Non-financial income</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815,403</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503,488</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775,805</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2,385,575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2,039,623</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188,073</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149,308</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155,028</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554,854</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471,319</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Net gain on sales of securities </w:t>
            </w:r>
            <w:r>
              <w:rPr>
                <w:rFonts w:ascii="Times New Roman" w:cs="Times New Roman" w:eastAsia="Times New Roman" w:hAnsi="Times New Roman"/>
                <w:sz w:val="21"/>
                <w:szCs w:val="21"/>
                <w:color w:val="auto"/>
                <w:vertAlign w:val="superscript"/>
              </w:rPr>
              <w:t>(2)</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150,427</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280,563</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135,957</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51.5%</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-9.6%</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364,959</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295,887</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-18.9%</w:t>
            </w:r>
          </w:p>
        </w:tc>
        <w:tc>
          <w:tcPr>
            <w:tcW w:w="0" w:type="dxa"/>
            <w:vAlign w:val="bottom"/>
          </w:tcPr>
          <w:p>
            <w:pPr>
              <w:spacing w:after="0"/>
              <w:rPr>
                <w:sz w:val="1"/>
                <w:szCs w:val="1"/>
                <w:color w:val="auto"/>
              </w:rPr>
            </w:pPr>
          </w:p>
        </w:tc>
      </w:tr>
      <w:tr>
        <w:trPr>
          <w:trHeight w:val="189"/>
        </w:trPr>
        <w:tc>
          <w:tcPr>
            <w:tcW w:w="3200" w:type="dxa"/>
            <w:vAlign w:val="bottom"/>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Net gain from associates </w:t>
            </w:r>
            <w:r>
              <w:rPr>
                <w:rFonts w:ascii="Times New Roman" w:cs="Times New Roman" w:eastAsia="Times New Roman" w:hAnsi="Times New Roman"/>
                <w:sz w:val="21"/>
                <w:szCs w:val="21"/>
                <w:color w:val="auto"/>
                <w:vertAlign w:val="superscript"/>
              </w:rPr>
              <w:t>(2)(3)</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21,842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14,906</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11,245</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-24.6%</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-48.5%</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57,106</w:t>
            </w:r>
          </w:p>
        </w:tc>
        <w:tc>
          <w:tcPr>
            <w:tcW w:w="10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45,375</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derivatives held for trading</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8,358</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(21,297)</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-354.8%</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22,491</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from exchange differences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(11,775)</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23,531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6,361</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73.0%</w:t>
            </w:r>
          </w:p>
        </w:tc>
        <w:tc>
          <w:tcPr>
            <w:tcW w:w="220" w:type="dxa"/>
            <w:vAlign w:val="bottom"/>
          </w:tcPr>
          <w:p>
            <w:pPr>
              <w:spacing w:after="0"/>
              <w:rPr>
                <w:sz w:val="12"/>
                <w:szCs w:val="12"/>
                <w:color w:val="auto"/>
              </w:rPr>
            </w:pP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8,652</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386.6%</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non-financial income</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133,128</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35,196</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39,498</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-70.3%</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323,757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192,464</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-40.6%</w:t>
            </w:r>
          </w:p>
        </w:tc>
        <w:tc>
          <w:tcPr>
            <w:tcW w:w="0" w:type="dxa"/>
            <w:vAlign w:val="bottom"/>
          </w:tcPr>
          <w:p>
            <w:pPr>
              <w:spacing w:after="0"/>
              <w:rPr>
                <w:sz w:val="1"/>
                <w:szCs w:val="1"/>
                <w:color w:val="auto"/>
              </w:rPr>
            </w:pPr>
          </w:p>
        </w:tc>
      </w:tr>
      <w:tr>
        <w:trPr>
          <w:trHeight w:val="149"/>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non-financial income</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1,299,256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1,015,350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1,102,597</w:t>
            </w:r>
          </w:p>
        </w:tc>
        <w:tc>
          <w:tcPr>
            <w:tcW w:w="10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8.6%</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-15.1%</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3,687,029</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3,075,811</w:t>
            </w:r>
          </w:p>
        </w:tc>
        <w:tc>
          <w:tcPr>
            <w:tcW w:w="116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-16.6%</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Insurance underwriting result</w:t>
            </w: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earned premiums</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604,877</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552,061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595,394</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1,773,665</w:t>
            </w:r>
          </w:p>
        </w:tc>
        <w:tc>
          <w:tcPr>
            <w:tcW w:w="10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1,775,391</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claims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(385,487)</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(328,783)</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(513,091)</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56.1%</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33.1%</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(1,143,992)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(1,215,375)</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0" w:type="dxa"/>
            <w:vAlign w:val="bottom"/>
          </w:tcPr>
          <w:p>
            <w:pPr>
              <w:spacing w:after="0"/>
              <w:rPr>
                <w:sz w:val="1"/>
                <w:szCs w:val="1"/>
                <w:color w:val="auto"/>
              </w:rPr>
            </w:pPr>
          </w:p>
        </w:tc>
      </w:tr>
      <w:tr>
        <w:trPr>
          <w:trHeight w:val="189"/>
        </w:trPr>
        <w:tc>
          <w:tcPr>
            <w:tcW w:w="3200" w:type="dxa"/>
            <w:vAlign w:val="bottom"/>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Acquisition cost </w:t>
            </w:r>
            <w:r>
              <w:rPr>
                <w:rFonts w:ascii="Times New Roman" w:cs="Times New Roman" w:eastAsia="Times New Roman" w:hAnsi="Times New Roman"/>
                <w:sz w:val="21"/>
                <w:szCs w:val="21"/>
                <w:color w:val="auto"/>
                <w:vertAlign w:val="superscript"/>
              </w:rPr>
              <w:t>(4)</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(94,239)</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(87,598)</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(86,643)</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Pr>
          <w:p>
            <w:pPr>
              <w:spacing w:after="0"/>
              <w:rPr>
                <w:sz w:val="16"/>
                <w:szCs w:val="16"/>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-8.1%</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(277,186)</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(286,749)</w:t>
            </w:r>
          </w:p>
        </w:tc>
        <w:tc>
          <w:tcPr>
            <w:tcW w:w="11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insurance underwriting result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125,151</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135,680</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(4,340)</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-103.2%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-103.5%</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352,487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273,267</w:t>
            </w:r>
          </w:p>
        </w:tc>
        <w:tc>
          <w:tcPr>
            <w:tcW w:w="1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-22.5%</w:t>
            </w: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(845,345)</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(825,997)</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(803,438)</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(2,525,497)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(2,520,619)</w:t>
            </w:r>
          </w:p>
        </w:tc>
        <w:tc>
          <w:tcPr>
            <w:tcW w:w="116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Administrative, general and tax expenses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(570,290)</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(508,078)</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(588,994)</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(1,661,100)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(1,636,715)</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Depreciation and amortization </w:t>
            </w:r>
            <w:r>
              <w:rPr>
                <w:rFonts w:ascii="Times New Roman" w:cs="Times New Roman" w:eastAsia="Times New Roman" w:hAnsi="Times New Roman"/>
                <w:sz w:val="21"/>
                <w:szCs w:val="21"/>
                <w:color w:val="auto"/>
                <w:vertAlign w:val="superscript"/>
              </w:rPr>
              <w:t>(5)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(165,195)</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(171,439)</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(168,234)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-1.9%</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(455,183)</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(511,421)</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12.4%</w:t>
            </w:r>
          </w:p>
        </w:tc>
        <w:tc>
          <w:tcPr>
            <w:tcW w:w="0" w:type="dxa"/>
            <w:vAlign w:val="bottom"/>
          </w:tcPr>
          <w:p>
            <w:pPr>
              <w:spacing w:after="0"/>
              <w:rPr>
                <w:sz w:val="1"/>
                <w:szCs w:val="1"/>
                <w:color w:val="auto"/>
              </w:rPr>
            </w:pPr>
          </w:p>
        </w:tc>
      </w:tr>
      <w:tr>
        <w:trPr>
          <w:trHeight w:val="149"/>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Impairment loss on goodwill</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(63,978)</w:t>
            </w:r>
          </w:p>
        </w:tc>
        <w:tc>
          <w:tcPr>
            <w:tcW w:w="124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(63,978)</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9"/>
        </w:trPr>
        <w:tc>
          <w:tcPr>
            <w:tcW w:w="320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Association in participation </w:t>
            </w:r>
            <w:r>
              <w:rPr>
                <w:rFonts w:ascii="Times New Roman" w:cs="Times New Roman" w:eastAsia="Times New Roman" w:hAnsi="Times New Roman"/>
                <w:sz w:val="21"/>
                <w:szCs w:val="21"/>
                <w:color w:val="auto"/>
                <w:vertAlign w:val="superscript"/>
              </w:rPr>
              <w:t>(6)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(5,348)</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(17,944)</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(10,566)</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-41.1%</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97.6%</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(12,830)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(34,940)</w:t>
            </w:r>
          </w:p>
        </w:tc>
        <w:tc>
          <w:tcPr>
            <w:tcW w:w="11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48"/>
        </w:trPr>
        <w:tc>
          <w:tcPr>
            <w:tcW w:w="320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(93,056)</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(104,454)</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(166,710)</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59.6%</w:t>
            </w:r>
          </w:p>
        </w:tc>
        <w:tc>
          <w:tcPr>
            <w:tcW w:w="22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79.2%</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(177,373)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(440,794)</w:t>
            </w:r>
          </w:p>
        </w:tc>
        <w:tc>
          <w:tcPr>
            <w:tcW w:w="116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148.5%</w:t>
            </w:r>
          </w:p>
        </w:tc>
        <w:tc>
          <w:tcPr>
            <w:tcW w:w="0" w:type="dxa"/>
            <w:vAlign w:val="bottom"/>
          </w:tcPr>
          <w:p>
            <w:pPr>
              <w:spacing w:after="0"/>
              <w:rPr>
                <w:sz w:val="1"/>
                <w:szCs w:val="1"/>
                <w:color w:val="auto"/>
              </w:rPr>
            </w:pPr>
          </w:p>
        </w:tc>
      </w:tr>
      <w:tr>
        <w:trPr>
          <w:trHeight w:val="149"/>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(1,679,234)</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(1,627,912)</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(1,801,920)</w:t>
            </w:r>
          </w:p>
        </w:tc>
        <w:tc>
          <w:tcPr>
            <w:tcW w:w="10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10.7%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7.3%</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(4,831,983)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(5,208,467)</w:t>
            </w:r>
          </w:p>
        </w:tc>
        <w:tc>
          <w:tcPr>
            <w:tcW w:w="116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w:t>
            </w:r>
          </w:p>
        </w:tc>
        <w:tc>
          <w:tcPr>
            <w:tcW w:w="0" w:type="dxa"/>
            <w:vAlign w:val="bottom"/>
          </w:tcPr>
          <w:p>
            <w:pPr>
              <w:spacing w:after="0"/>
              <w:rPr>
                <w:sz w:val="1"/>
                <w:szCs w:val="1"/>
                <w:color w:val="auto"/>
              </w:rPr>
            </w:pPr>
          </w:p>
        </w:tc>
      </w:tr>
      <w:tr>
        <w:trPr>
          <w:trHeight w:val="148"/>
        </w:trPr>
        <w:tc>
          <w:tcPr>
            <w:tcW w:w="3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Profit before income tax</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1,518,801</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(1,056,211)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152,127</w:t>
            </w:r>
          </w:p>
        </w:tc>
        <w:tc>
          <w:tcPr>
            <w:tcW w:w="124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-90.0%</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4,599,227</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(545,110)</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(403,221)</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414,775</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(55,539)</w:t>
            </w: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-86.2%</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(1,239,852)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213,437</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49"/>
        </w:trPr>
        <w:tc>
          <w:tcPr>
            <w:tcW w:w="32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Net profit</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1,115,580</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(641,436)</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96,588</w:t>
            </w:r>
          </w:p>
        </w:tc>
        <w:tc>
          <w:tcPr>
            <w:tcW w:w="1240" w:type="dxa"/>
            <w:vAlign w:val="bottom"/>
            <w:gridSpan w:val="3"/>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-91.3%</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3,359,375</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(331,673)</w:t>
            </w:r>
          </w:p>
        </w:tc>
        <w:tc>
          <w:tcPr>
            <w:tcW w:w="10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r>
        <w:trPr>
          <w:trHeight w:val="148"/>
        </w:trPr>
        <w:tc>
          <w:tcPr>
            <w:tcW w:w="3200" w:type="dxa"/>
            <w:vAlign w:val="bottom"/>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22,545</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(21,046)</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(8,018)</w:t>
            </w:r>
          </w:p>
        </w:tc>
        <w:tc>
          <w:tcPr>
            <w:tcW w:w="1240" w:type="dxa"/>
            <w:vAlign w:val="bottom"/>
            <w:gridSpan w:val="3"/>
            <w:shd w:val="clear" w:color="auto" w:fill="CCEEFF"/>
          </w:tcPr>
          <w:p>
            <w:pPr>
              <w:jc w:val="right"/>
              <w:ind w:right="48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80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66,900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(25,163)</w:t>
            </w:r>
          </w:p>
        </w:tc>
        <w:tc>
          <w:tcPr>
            <w:tcW w:w="1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90"/>
        </w:trPr>
        <w:tc>
          <w:tcPr>
            <w:tcW w:w="32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profit attributable to Credicorp</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1,093,035</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(620,390)</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104,606</w:t>
            </w:r>
          </w:p>
        </w:tc>
        <w:tc>
          <w:tcPr>
            <w:tcW w:w="1240" w:type="dxa"/>
            <w:vAlign w:val="bottom"/>
            <w:gridSpan w:val="3"/>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n.a.</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-90.4%</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3,292,474</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(306,510)</w:t>
            </w:r>
          </w:p>
        </w:tc>
        <w:tc>
          <w:tcPr>
            <w:tcW w:w="10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n.a.</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00" w:hanging="192"/>
        <w:spacing w:after="0"/>
        <w:tabs>
          <w:tab w:leader="none" w:pos="2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2019, financing expenses related to lease agreements is included according to the application of IFRS 16.</w:t>
      </w:r>
    </w:p>
    <w:p>
      <w:pPr>
        <w:spacing w:after="0" w:line="3" w:lineRule="exact"/>
        <w:rPr>
          <w:rFonts w:ascii="Times New Roman" w:cs="Times New Roman" w:eastAsia="Times New Roman" w:hAnsi="Times New Roman"/>
          <w:sz w:val="14"/>
          <w:szCs w:val="14"/>
          <w:color w:val="auto"/>
        </w:rPr>
      </w:pPr>
    </w:p>
    <w:p>
      <w:pPr>
        <w:ind w:right="20" w:firstLine="8"/>
        <w:spacing w:after="0"/>
        <w:tabs>
          <w:tab w:leader="none" w:pos="221"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Starting in 2019 the gain from other investments in related companies has been included in the item "Net gain in associates"; which previously was presented in the item "Net gain on securities".</w:t>
      </w:r>
    </w:p>
    <w:p>
      <w:pPr>
        <w:spacing w:after="0" w:line="136" w:lineRule="exact"/>
        <w:rPr>
          <w:rFonts w:ascii="Times New Roman" w:cs="Times New Roman" w:eastAsia="Times New Roman" w:hAnsi="Times New Roman"/>
          <w:sz w:val="14"/>
          <w:szCs w:val="14"/>
          <w:color w:val="auto"/>
        </w:rPr>
      </w:pPr>
    </w:p>
    <w:p>
      <w:pPr>
        <w:ind w:left="220" w:hanging="212"/>
        <w:spacing w:after="0" w:line="221" w:lineRule="auto"/>
        <w:tabs>
          <w:tab w:leader="none" w:pos="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on other investments, mainly made up of the profit of Banmedica.</w:t>
      </w:r>
    </w:p>
    <w:p>
      <w:pPr>
        <w:ind w:left="200" w:hanging="192"/>
        <w:spacing w:after="0" w:line="221" w:lineRule="auto"/>
        <w:tabs>
          <w:tab w:leader="none" w:pos="20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acquisition cost of Pacífico iIncludes net fees and underwriting expenses.</w:t>
      </w:r>
    </w:p>
    <w:p>
      <w:pPr>
        <w:ind w:firstLine="8"/>
        <w:spacing w:after="0" w:line="221" w:lineRule="auto"/>
        <w:tabs>
          <w:tab w:leader="none" w:pos="213"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1Q19,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ind w:left="220" w:hanging="212"/>
        <w:spacing w:after="0"/>
        <w:tabs>
          <w:tab w:leader="none" w:pos="22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this quarter, the item “Association in participation” was incorporated, which previously was presented in the item “Net gain on securities”</w:t>
      </w:r>
    </w:p>
    <w:p>
      <w:pPr>
        <w:spacing w:after="0" w:line="200" w:lineRule="exact"/>
        <w:rPr>
          <w:sz w:val="20"/>
          <w:szCs w:val="20"/>
          <w:color w:val="auto"/>
        </w:rPr>
      </w:pPr>
    </w:p>
    <w:p>
      <w:pPr>
        <w:spacing w:after="0" w:line="20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11.2. Credicorp Stand-alone</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1140" w:type="dxa"/>
            <w:vAlign w:val="bottom"/>
          </w:tcPr>
          <w:p>
            <w:pPr>
              <w:spacing w:after="0"/>
              <w:rPr>
                <w:sz w:val="24"/>
                <w:szCs w:val="24"/>
                <w:color w:val="auto"/>
              </w:rPr>
            </w:pPr>
          </w:p>
        </w:tc>
        <w:tc>
          <w:tcPr>
            <w:tcW w:w="79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Credicorp Ltd.</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Separate Statement of Financal Position</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8"/>
        </w:trPr>
        <w:tc>
          <w:tcPr>
            <w:tcW w:w="1140" w:type="dxa"/>
            <w:vAlign w:val="bottom"/>
          </w:tcPr>
          <w:p>
            <w:pPr>
              <w:spacing w:after="0"/>
              <w:rPr>
                <w:sz w:val="20"/>
                <w:szCs w:val="20"/>
                <w:color w:val="auto"/>
              </w:rPr>
            </w:pPr>
          </w:p>
        </w:tc>
        <w:tc>
          <w:tcPr>
            <w:tcW w:w="7920" w:type="dxa"/>
            <w:vAlign w:val="bottom"/>
            <w:gridSpan w:val="2"/>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(In S/ thousands, IFRS)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23"/>
        </w:trPr>
        <w:tc>
          <w:tcPr>
            <w:tcW w:w="11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238"/>
        </w:trPr>
        <w:tc>
          <w:tcPr>
            <w:tcW w:w="11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Sep-20</w:t>
            </w:r>
          </w:p>
        </w:tc>
      </w:tr>
      <w:tr>
        <w:trPr>
          <w:trHeight w:val="209"/>
        </w:trPr>
        <w:tc>
          <w:tcPr>
            <w:tcW w:w="1140" w:type="dxa"/>
            <w:vAlign w:val="bottom"/>
          </w:tcPr>
          <w:p>
            <w:pPr>
              <w:spacing w:after="0"/>
              <w:rPr>
                <w:sz w:val="18"/>
                <w:szCs w:val="18"/>
                <w:color w:val="auto"/>
              </w:rPr>
            </w:pPr>
          </w:p>
        </w:tc>
        <w:tc>
          <w:tcPr>
            <w:tcW w:w="79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777,709</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through other comprehensive income investments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459,217</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subsidiaries and associates investments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27,361,569</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1,064,712</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ind w:left="34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29,663,507</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NET SHAREHOLDERS’ EQUITY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Bonds and notes issued</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1,795,528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99,861</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ind w:left="330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1,895,389</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stock</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1,318,993</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Surplus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384,542</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21,070,409</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Unrealized results</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1,020,916</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3,973,258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Total net equity</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27,768,118</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29,663,507</w:t>
            </w:r>
          </w:p>
        </w:tc>
        <w:tc>
          <w:tcPr>
            <w:tcW w:w="80" w:type="dxa"/>
            <w:vAlign w:val="bottom"/>
            <w:shd w:val="clear" w:color="auto" w:fill="CCEEFF"/>
          </w:tcPr>
          <w:p>
            <w:pPr>
              <w:spacing w:after="0"/>
              <w:rPr>
                <w:sz w:val="18"/>
                <w:szCs w:val="18"/>
                <w:color w:val="auto"/>
              </w:rPr>
            </w:pPr>
          </w:p>
        </w:tc>
      </w:tr>
      <w:tr>
        <w:trPr>
          <w:trHeight w:val="423"/>
        </w:trPr>
        <w:tc>
          <w:tcPr>
            <w:tcW w:w="1140" w:type="dxa"/>
            <w:vAlign w:val="bottom"/>
          </w:tcPr>
          <w:p>
            <w:pPr>
              <w:spacing w:after="0"/>
              <w:rPr>
                <w:sz w:val="24"/>
                <w:szCs w:val="24"/>
                <w:color w:val="auto"/>
              </w:rPr>
            </w:pPr>
          </w:p>
        </w:tc>
        <w:tc>
          <w:tcPr>
            <w:tcW w:w="7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Quarter</w:t>
            </w:r>
          </w:p>
        </w:tc>
      </w:tr>
      <w:tr>
        <w:trPr>
          <w:trHeight w:val="238"/>
        </w:trPr>
        <w:tc>
          <w:tcPr>
            <w:tcW w:w="1140" w:type="dxa"/>
            <w:vAlign w:val="bottom"/>
          </w:tcPr>
          <w:p>
            <w:pPr>
              <w:spacing w:after="0"/>
              <w:rPr>
                <w:sz w:val="20"/>
                <w:szCs w:val="20"/>
                <w:color w:val="auto"/>
              </w:rPr>
            </w:pPr>
          </w:p>
        </w:tc>
        <w:tc>
          <w:tcPr>
            <w:tcW w:w="7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3Q20</w:t>
            </w:r>
          </w:p>
        </w:tc>
      </w:tr>
      <w:tr>
        <w:trPr>
          <w:trHeight w:val="210"/>
        </w:trPr>
        <w:tc>
          <w:tcPr>
            <w:tcW w:w="1140" w:type="dxa"/>
            <w:vAlign w:val="bottom"/>
          </w:tcPr>
          <w:p>
            <w:pPr>
              <w:spacing w:after="0"/>
              <w:rPr>
                <w:sz w:val="18"/>
                <w:szCs w:val="18"/>
                <w:color w:val="auto"/>
              </w:rPr>
            </w:pPr>
          </w:p>
        </w:tc>
        <w:tc>
          <w:tcPr>
            <w:tcW w:w="7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Interest income</w:t>
            </w: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share of the income from investments in subsidiaries and associates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238,049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income</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246,427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similar expense</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(15,052)</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Administrative and general expenses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(16,216)</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(31,268)</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215,159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Exchange differences, net</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(4,622)</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net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(4,745)</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Profit before income tax</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210,414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(32,986)</w:t>
            </w:r>
          </w:p>
        </w:tc>
        <w:tc>
          <w:tcPr>
            <w:tcW w:w="80" w:type="dxa"/>
            <w:vAlign w:val="bottom"/>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177,428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7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Double Leverage Ratio</w:t>
            </w:r>
          </w:p>
        </w:tc>
        <w:tc>
          <w:tcPr>
            <w:tcW w:w="10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98.54%</w:t>
            </w:r>
          </w:p>
        </w:tc>
      </w:tr>
    </w:tbl>
    <w:p>
      <w:pPr>
        <w:spacing w:after="0" w:line="200" w:lineRule="exact"/>
        <w:rPr>
          <w:sz w:val="20"/>
          <w:szCs w:val="20"/>
          <w:color w:val="auto"/>
        </w:rPr>
      </w:pPr>
    </w:p>
    <w:p>
      <w:pPr>
        <w:spacing w:after="0" w:line="21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11.3. BCP Consolidated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CONSOLIDATED STATEMENT OF FINANCIAL POSITION</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6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0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1"/>
        </w:trPr>
        <w:tc>
          <w:tcPr>
            <w:tcW w:w="5160" w:type="dxa"/>
            <w:vAlign w:val="bottom"/>
          </w:tcPr>
          <w:p>
            <w:pPr>
              <w:spacing w:after="0"/>
              <w:rPr>
                <w:sz w:val="18"/>
                <w:szCs w:val="18"/>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 2019</w:t>
            </w: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Jun 2020</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Sep 2020</w:t>
            </w:r>
          </w:p>
        </w:tc>
        <w:tc>
          <w:tcPr>
            <w:tcW w:w="200" w:type="dxa"/>
            <w:vAlign w:val="bottom"/>
          </w:tcPr>
          <w:p>
            <w:pPr>
              <w:spacing w:after="0"/>
              <w:rPr>
                <w:sz w:val="18"/>
                <w:szCs w:val="18"/>
                <w:color w:val="auto"/>
              </w:rPr>
            </w:pPr>
          </w:p>
        </w:tc>
        <w:tc>
          <w:tcPr>
            <w:tcW w:w="1560" w:type="dxa"/>
            <w:vAlign w:val="bottom"/>
            <w:gridSpan w:val="3"/>
          </w:tcPr>
          <w:p>
            <w:pPr>
              <w:ind w:left="340"/>
              <w:spacing w:after="0"/>
              <w:rPr>
                <w:sz w:val="20"/>
                <w:szCs w:val="20"/>
                <w:color w:val="auto"/>
              </w:rPr>
            </w:pPr>
            <w:r>
              <w:rPr>
                <w:rFonts w:ascii="Times New Roman" w:cs="Times New Roman" w:eastAsia="Times New Roman" w:hAnsi="Times New Roman"/>
                <w:sz w:val="16"/>
                <w:szCs w:val="16"/>
                <w:b w:val="1"/>
                <w:bCs w:val="1"/>
                <w:color w:val="auto"/>
              </w:rPr>
              <w:t>QoQ</w:t>
            </w:r>
          </w:p>
        </w:tc>
        <w:tc>
          <w:tcPr>
            <w:tcW w:w="72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YoY</w:t>
            </w:r>
          </w:p>
        </w:tc>
        <w:tc>
          <w:tcPr>
            <w:tcW w:w="160" w:type="dxa"/>
            <w:vAlign w:val="bottom"/>
          </w:tcPr>
          <w:p>
            <w:pPr>
              <w:spacing w:after="0"/>
              <w:rPr>
                <w:sz w:val="18"/>
                <w:szCs w:val="18"/>
                <w:color w:val="auto"/>
              </w:rPr>
            </w:pPr>
          </w:p>
        </w:tc>
      </w:tr>
      <w:tr>
        <w:trPr>
          <w:trHeight w:val="198"/>
        </w:trPr>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and due from banks</w:t>
            </w: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Non-interest bearing</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4,778,987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5,041,371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5,097,856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1.1%</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bearing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19,146,069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26,863,958</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26,887,477</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40.4%</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Total cash and due from banks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23,925,056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31,905,329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31,985,333</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0.3%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33.7%</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collateral, reverse repurchase agreements and securities borrowing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2,969,737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1,987,570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1,767,692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-40.5%</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Fair value through profit or loss investments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182,957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1,630,272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1,874,577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15.0%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924.6%</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through other comprehensive income investments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14,934,297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18,724,601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27,515,047</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46.9%</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84.2%</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Amortized cost investments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3,293,125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4,280,002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4,251,291</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-0.7%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29.1%</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102,338,510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121,391,338</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124,515,950</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21.7%</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99,151,976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117,707,704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120,522,261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2.4%</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w:t>
            </w: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Internal overdue loans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3,186,534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3,683,634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3,993,689</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8.4%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25.3%</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 allowance for loan losses</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(4,734,401)</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(7,910,329)</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(9,078,981)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91.8%</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Loans, net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97,604,109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113,481,009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115,436,969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18.3%</w:t>
            </w:r>
          </w:p>
        </w:tc>
      </w:tr>
      <w:tr>
        <w:trPr>
          <w:trHeight w:val="243"/>
        </w:trPr>
        <w:tc>
          <w:tcPr>
            <w:tcW w:w="5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Property, furniture and equipment, net </w:t>
            </w:r>
            <w:r>
              <w:rPr>
                <w:rFonts w:ascii="Times New Roman" w:cs="Times New Roman" w:eastAsia="Times New Roman" w:hAnsi="Times New Roman"/>
                <w:sz w:val="26"/>
                <w:szCs w:val="26"/>
                <w:b w:val="1"/>
                <w:bCs w:val="1"/>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1,974,925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1,837,161</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1,819,367</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-7.9%</w:t>
            </w:r>
          </w:p>
        </w:tc>
      </w:tr>
      <w:tr>
        <w:trPr>
          <w:trHeight w:val="203"/>
        </w:trPr>
        <w:tc>
          <w:tcPr>
            <w:tcW w:w="516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rPr>
              <w:t>Due from customers on acceptances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434,457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331,591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256,238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r>
      <w:tr>
        <w:trPr>
          <w:trHeight w:val="243"/>
        </w:trPr>
        <w:tc>
          <w:tcPr>
            <w:tcW w:w="516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Other assets </w:t>
            </w:r>
            <w:r>
              <w:rPr>
                <w:rFonts w:ascii="Times New Roman" w:cs="Times New Roman" w:eastAsia="Times New Roman" w:hAnsi="Times New Roman"/>
                <w:sz w:val="26"/>
                <w:szCs w:val="26"/>
                <w:b w:val="1"/>
                <w:bCs w:val="1"/>
                <w:color w:val="auto"/>
                <w:vertAlign w:val="superscript"/>
              </w:rPr>
              <w:t>(2)</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5,198,766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7,295,908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6,515,998</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-10.7%</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25.3%</w:t>
            </w:r>
          </w:p>
        </w:tc>
      </w:tr>
      <w:tr>
        <w:trPr>
          <w:trHeight w:val="203"/>
        </w:trPr>
        <w:tc>
          <w:tcPr>
            <w:tcW w:w="516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150,517,429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181,473,443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191,422,512</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5.5%</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r>
      <w:tr>
        <w:trPr>
          <w:trHeight w:val="187"/>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8"/>
        </w:trPr>
        <w:tc>
          <w:tcPr>
            <w:tcW w:w="5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Deposits and obligations</w:t>
            </w: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43"/>
        </w:trPr>
        <w:tc>
          <w:tcPr>
            <w:tcW w:w="5160" w:type="dxa"/>
            <w:vAlign w:val="bottom"/>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Non-interest bearing </w:t>
            </w:r>
            <w:r>
              <w:rPr>
                <w:rFonts w:ascii="Times New Roman" w:cs="Times New Roman" w:eastAsia="Times New Roman" w:hAnsi="Times New Roman"/>
                <w:sz w:val="26"/>
                <w:szCs w:val="26"/>
                <w:color w:val="auto"/>
                <w:vertAlign w:val="superscript"/>
              </w:rPr>
              <w:t>(1)</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24,483,137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44,355,291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49,111,613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10.7%</w:t>
            </w:r>
          </w:p>
        </w:tc>
        <w:tc>
          <w:tcPr>
            <w:tcW w:w="280" w:type="dxa"/>
            <w:vAlign w:val="bottom"/>
          </w:tcPr>
          <w:p>
            <w:pPr>
              <w:spacing w:after="0"/>
              <w:rPr>
                <w:sz w:val="21"/>
                <w:szCs w:val="21"/>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100.6%</w:t>
            </w:r>
          </w:p>
        </w:tc>
      </w:tr>
      <w:tr>
        <w:trPr>
          <w:trHeight w:val="243"/>
        </w:trPr>
        <w:tc>
          <w:tcPr>
            <w:tcW w:w="5160" w:type="dxa"/>
            <w:vAlign w:val="bottom"/>
            <w:shd w:val="clear" w:color="auto" w:fill="CCEEFF"/>
          </w:tcPr>
          <w:p>
            <w:pPr>
              <w:ind w:left="140"/>
              <w:spacing w:after="0" w:line="243" w:lineRule="exact"/>
              <w:rPr>
                <w:sz w:val="20"/>
                <w:szCs w:val="20"/>
                <w:color w:val="auto"/>
              </w:rPr>
            </w:pPr>
            <w:r>
              <w:rPr>
                <w:rFonts w:ascii="Times New Roman" w:cs="Times New Roman" w:eastAsia="Times New Roman" w:hAnsi="Times New Roman"/>
                <w:sz w:val="16"/>
                <w:szCs w:val="16"/>
                <w:color w:val="auto"/>
              </w:rPr>
              <w:t xml:space="preserve">Interest bearing </w:t>
            </w:r>
            <w:r>
              <w:rPr>
                <w:rFonts w:ascii="Times New Roman" w:cs="Times New Roman" w:eastAsia="Times New Roman" w:hAnsi="Times New Roman"/>
                <w:sz w:val="26"/>
                <w:szCs w:val="26"/>
                <w:color w:val="auto"/>
                <w:vertAlign w:val="superscript"/>
              </w:rPr>
              <w:t>(1)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71,620,420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70,151,519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73,488,701</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w:t>
            </w:r>
          </w:p>
        </w:tc>
        <w:tc>
          <w:tcPr>
            <w:tcW w:w="28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Total deposits and obligations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96,103,557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114,506,810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122,600,314</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7.1%</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27.6%</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Payables from repurchase agreements and securities lending</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5,721,581</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20,912,125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25,869,675</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23.7%</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352.1%</w:t>
            </w:r>
          </w:p>
        </w:tc>
      </w:tr>
      <w:tr>
        <w:trPr>
          <w:trHeight w:val="202"/>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BCRP instruments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4,144,908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19,441,733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25,344,725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30.4%</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511.5%</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Repurchase agreements with third parties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1,576,673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1,470,392</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524,950</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-64.3%</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-66.7%</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Due to banks and correspondents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8,714,198</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8,205,084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6,410,499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-21.9%</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-26.4%</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Bonds and notes issued</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16,546,780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14,964,339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14,081,882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-14.9%</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Banker’s acceptances outstanding</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434,457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331,591</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256,238</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-22.7%</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-41.0%</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Financial liabilities at fair value through profit or loss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13,977</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108,189</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116,523</w:t>
            </w:r>
          </w:p>
        </w:tc>
        <w:tc>
          <w:tcPr>
            <w:tcW w:w="12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733.7%</w:t>
            </w:r>
          </w:p>
        </w:tc>
      </w:tr>
      <w:tr>
        <w:trPr>
          <w:trHeight w:val="243"/>
        </w:trPr>
        <w:tc>
          <w:tcPr>
            <w:tcW w:w="5160" w:type="dxa"/>
            <w:vAlign w:val="bottom"/>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Other liabilities </w:t>
            </w:r>
            <w:r>
              <w:rPr>
                <w:rFonts w:ascii="Times New Roman" w:cs="Times New Roman" w:eastAsia="Times New Roman" w:hAnsi="Times New Roman"/>
                <w:sz w:val="26"/>
                <w:szCs w:val="26"/>
                <w:b w:val="1"/>
                <w:bCs w:val="1"/>
                <w:color w:val="auto"/>
                <w:vertAlign w:val="superscript"/>
              </w:rPr>
              <w:t>(3)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4,849,909</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5,378,042</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4,753,221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-11.6%</w:t>
            </w:r>
          </w:p>
        </w:tc>
        <w:tc>
          <w:tcPr>
            <w:tcW w:w="28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w:t>
            </w:r>
          </w:p>
        </w:tc>
      </w:tr>
      <w:tr>
        <w:trPr>
          <w:trHeight w:val="203"/>
        </w:trPr>
        <w:tc>
          <w:tcPr>
            <w:tcW w:w="516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132,384,459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164,406,180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174,088,352</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31.5%</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equity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18,013,914</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16,963,220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17,238,491</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-4.3%</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stock</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9,924,006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10,774,006</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10,774,006</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8.6%</w:t>
            </w: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Reserves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4,476,256</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5,945,313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5,945,313</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0.0%</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32.8%</w:t>
            </w:r>
          </w:p>
        </w:tc>
      </w:tr>
      <w:tr>
        <w:trPr>
          <w:trHeight w:val="20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Unrealized gains and losses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296,915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333,548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330,977</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-0.8%</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11.5%</w:t>
            </w:r>
          </w:p>
        </w:tc>
      </w:tr>
      <w:tr>
        <w:trPr>
          <w:trHeight w:val="203"/>
        </w:trPr>
        <w:tc>
          <w:tcPr>
            <w:tcW w:w="51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3,316,737</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(89,647)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188,195</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-309.9%</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-94.3%</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119,056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104,043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95,668</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-8.0%</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r>
      <w:tr>
        <w:trPr>
          <w:trHeight w:val="203"/>
        </w:trPr>
        <w:tc>
          <w:tcPr>
            <w:tcW w:w="5160" w:type="dxa"/>
            <w:vAlign w:val="bottom"/>
          </w:tcPr>
          <w:p>
            <w:pPr>
              <w:ind w:left="1920"/>
              <w:spacing w:after="0"/>
              <w:rPr>
                <w:sz w:val="20"/>
                <w:szCs w:val="20"/>
                <w:color w:val="auto"/>
              </w:rPr>
            </w:pPr>
            <w:r>
              <w:rPr>
                <w:rFonts w:ascii="Times New Roman" w:cs="Times New Roman" w:eastAsia="Times New Roman" w:hAnsi="Times New Roman"/>
                <w:sz w:val="16"/>
                <w:szCs w:val="16"/>
                <w:b w:val="1"/>
                <w:bCs w:val="1"/>
                <w:color w:val="auto"/>
              </w:rPr>
              <w:t>Total Net Equity</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18,132,970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17,067,263</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17,334,159</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1.6%</w:t>
            </w: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-4.4%</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150,517,429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181,473,443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191,422,511</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5.5%</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27.2%</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Off-balance sheet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119,919,107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115,150,387</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114,983,316</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-0.1%</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w:t>
            </w:r>
          </w:p>
        </w:tc>
      </w:tr>
      <w:tr>
        <w:trPr>
          <w:trHeight w:val="203"/>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performance bonds, stand-by and L/Cs.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18,482,396</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17,490,615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16,977,684</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-2.9%</w:t>
            </w: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5160" w:type="dxa"/>
            <w:vAlign w:val="bottom"/>
          </w:tcPr>
          <w:p>
            <w:pPr>
              <w:spacing w:after="0"/>
              <w:rPr>
                <w:sz w:val="20"/>
                <w:szCs w:val="20"/>
                <w:color w:val="auto"/>
              </w:rPr>
            </w:pPr>
            <w:r>
              <w:rPr>
                <w:rFonts w:ascii="Times New Roman" w:cs="Times New Roman" w:eastAsia="Times New Roman" w:hAnsi="Times New Roman"/>
                <w:sz w:val="16"/>
                <w:szCs w:val="16"/>
                <w:color w:val="auto"/>
              </w:rPr>
              <w:t>Undrawn credit lines, advised but not committed</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70,846,512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70,509,409</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68,867,418</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w:t>
            </w:r>
          </w:p>
        </w:tc>
        <w:tc>
          <w:tcPr>
            <w:tcW w:w="280" w:type="dxa"/>
            <w:vAlign w:val="bottom"/>
          </w:tcPr>
          <w:p>
            <w:pPr>
              <w:spacing w:after="0"/>
              <w:rPr>
                <w:sz w:val="17"/>
                <w:szCs w:val="17"/>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-2.8%</w:t>
            </w:r>
          </w:p>
        </w:tc>
      </w:tr>
      <w:tr>
        <w:trPr>
          <w:trHeight w:val="216"/>
        </w:trPr>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derivatives (notional) and others</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30,590,199</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27,150,363</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29,138,214</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7.3%</w:t>
            </w:r>
          </w:p>
        </w:tc>
        <w:tc>
          <w:tcPr>
            <w:tcW w:w="2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w:t>
            </w:r>
          </w:p>
        </w:tc>
      </w:tr>
    </w:tbl>
    <w:p>
      <w:pPr>
        <w:spacing w:after="0" w:line="198" w:lineRule="exact"/>
        <w:rPr>
          <w:sz w:val="20"/>
          <w:szCs w:val="20"/>
          <w:color w:val="auto"/>
        </w:rPr>
      </w:pPr>
    </w:p>
    <w:p>
      <w:pPr>
        <w:ind w:firstLine="8"/>
        <w:spacing w:after="0" w:line="261" w:lineRule="auto"/>
        <w:tabs>
          <w:tab w:leader="none" w:pos="252"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differ from those previously reported due to the reclassification of the expenses on improvements in building for rent, previously presented in the item “Other assets”. Likewise, in the 2019 the asset is incorporated for the right to use the lease contracts, in application of the IFRS 16.</w:t>
      </w: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intangible assets, other receivable accounts and tax credit.</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other payable accounts.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740"/>
              <w:spacing w:after="0"/>
              <w:rPr>
                <w:sz w:val="20"/>
                <w:szCs w:val="20"/>
                <w:color w:val="auto"/>
              </w:rPr>
            </w:pPr>
            <w:r>
              <w:rPr>
                <w:rFonts w:ascii="Times New Roman" w:cs="Times New Roman" w:eastAsia="Times New Roman" w:hAnsi="Times New Roman"/>
                <w:sz w:val="14"/>
                <w:szCs w:val="14"/>
                <w:b w:val="1"/>
                <w:bCs w:val="1"/>
                <w:color w:val="auto"/>
              </w:rPr>
              <w:t>YTD</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3220" w:type="dxa"/>
            <w:vAlign w:val="bottom"/>
          </w:tcPr>
          <w:p>
            <w:pPr>
              <w:spacing w:after="0"/>
              <w:rPr>
                <w:sz w:val="13"/>
                <w:szCs w:val="13"/>
                <w:color w:val="auto"/>
              </w:rPr>
            </w:pP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10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2Q19</w:t>
            </w:r>
          </w:p>
        </w:tc>
        <w:tc>
          <w:tcPr>
            <w:tcW w:w="760" w:type="dxa"/>
            <w:vAlign w:val="bottom"/>
            <w:tcBorders>
              <w:top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Pr>
          <w:p>
            <w:pPr>
              <w:spacing w:after="0"/>
              <w:rPr>
                <w:sz w:val="13"/>
                <w:szCs w:val="13"/>
                <w:color w:val="auto"/>
              </w:rPr>
            </w:pPr>
          </w:p>
        </w:tc>
        <w:tc>
          <w:tcPr>
            <w:tcW w:w="1240" w:type="dxa"/>
            <w:vAlign w:val="bottom"/>
            <w:tcBorders>
              <w:top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560" w:type="dxa"/>
            <w:vAlign w:val="bottom"/>
            <w:tcBorders>
              <w:top w:val="single" w:sz="8" w:color="auto"/>
            </w:tcBorders>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40" w:type="dxa"/>
            <w:vAlign w:val="bottom"/>
          </w:tcPr>
          <w:p>
            <w:pPr>
              <w:spacing w:after="0"/>
              <w:rPr>
                <w:sz w:val="13"/>
                <w:szCs w:val="13"/>
                <w:color w:val="auto"/>
              </w:rPr>
            </w:pPr>
          </w:p>
        </w:tc>
        <w:tc>
          <w:tcPr>
            <w:tcW w:w="1100" w:type="dxa"/>
            <w:vAlign w:val="bottom"/>
            <w:tcBorders>
              <w:top w:val="single" w:sz="8" w:color="auto"/>
            </w:tcBorders>
            <w:gridSpan w:val="3"/>
          </w:tcPr>
          <w:p>
            <w:pPr>
              <w:ind w:left="180"/>
              <w:spacing w:after="0" w:line="155" w:lineRule="exact"/>
              <w:rPr>
                <w:sz w:val="20"/>
                <w:szCs w:val="20"/>
                <w:color w:val="auto"/>
              </w:rPr>
            </w:pPr>
            <w:r>
              <w:rPr>
                <w:rFonts w:ascii="Times New Roman" w:cs="Times New Roman" w:eastAsia="Times New Roman" w:hAnsi="Times New Roman"/>
                <w:sz w:val="14"/>
                <w:szCs w:val="14"/>
                <w:b w:val="1"/>
                <w:bCs w:val="1"/>
                <w:color w:val="auto"/>
              </w:rPr>
              <w:t>Sep-19</w:t>
            </w:r>
          </w:p>
        </w:tc>
        <w:tc>
          <w:tcPr>
            <w:tcW w:w="660" w:type="dxa"/>
            <w:vAlign w:val="bottom"/>
            <w:tcBorders>
              <w:top w:val="single" w:sz="8" w:color="auto"/>
            </w:tcBorders>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Sep-20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32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2,780,173</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2,325,119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2,553,354</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5,383,662</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7,642,397</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42.0%</w:t>
            </w:r>
          </w:p>
        </w:tc>
        <w:tc>
          <w:tcPr>
            <w:tcW w:w="0" w:type="dxa"/>
            <w:vAlign w:val="bottom"/>
          </w:tcPr>
          <w:p>
            <w:pPr>
              <w:spacing w:after="0"/>
              <w:rPr>
                <w:sz w:val="1"/>
                <w:szCs w:val="1"/>
                <w:color w:val="auto"/>
              </w:rPr>
            </w:pPr>
          </w:p>
        </w:tc>
      </w:tr>
      <w:tr>
        <w:trPr>
          <w:trHeight w:val="189"/>
        </w:trPr>
        <w:tc>
          <w:tcPr>
            <w:tcW w:w="3220" w:type="dxa"/>
            <w:vAlign w:val="bottom"/>
            <w:shd w:val="clear" w:color="auto" w:fill="CCEEFF"/>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1"/>
                <w:szCs w:val="21"/>
                <w:color w:val="auto"/>
                <w:vertAlign w:val="superscript"/>
              </w:rPr>
              <w:t>(1)</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(756,146)</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(636,539)</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(655,594)</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(1,410,810)</w:t>
            </w: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(1,953,108)</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2,024,027</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1,688,580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1,897,760</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12.4%</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-6.2%</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3,972,852</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5,689,289</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 on loan portfolio</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(557,416)</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(2,425,753)</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(1,250,211)</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(931,706)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(5,016,939)</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438.5%</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Recoveries of written-off loans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64,728</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16,184</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40,126</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147.9%</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-38.0%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130,697</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100,263</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0" w:type="dxa"/>
            <w:vAlign w:val="bottom"/>
          </w:tcPr>
          <w:p>
            <w:pPr>
              <w:spacing w:after="0"/>
              <w:rPr>
                <w:sz w:val="1"/>
                <w:szCs w:val="1"/>
                <w:color w:val="auto"/>
              </w:rPr>
            </w:pPr>
          </w:p>
        </w:tc>
      </w:tr>
      <w:tr>
        <w:trPr>
          <w:trHeight w:val="124"/>
        </w:trPr>
        <w:tc>
          <w:tcPr>
            <w:tcW w:w="32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Provision for credit losses on loan portfolio, net of</w:t>
            </w: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(492,688)</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(2,409,569)</w:t>
            </w:r>
          </w:p>
        </w:tc>
        <w:tc>
          <w:tcPr>
            <w:tcW w:w="9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(1,210,085)</w:t>
            </w: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-49.8%</w:t>
            </w:r>
          </w:p>
        </w:tc>
        <w:tc>
          <w:tcPr>
            <w:tcW w:w="2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145.6%</w:t>
            </w:r>
          </w:p>
        </w:tc>
        <w:tc>
          <w:tcPr>
            <w:tcW w:w="10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(801,009)</w:t>
            </w:r>
          </w:p>
        </w:tc>
        <w:tc>
          <w:tcPr>
            <w:tcW w:w="10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(4,916,676)</w:t>
            </w:r>
          </w:p>
        </w:tc>
        <w:tc>
          <w:tcPr>
            <w:tcW w:w="112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recoveries</w:t>
            </w:r>
          </w:p>
        </w:tc>
        <w:tc>
          <w:tcPr>
            <w:tcW w:w="98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vMerge w:val="continue"/>
            <w:shd w:val="clear" w:color="auto" w:fill="CCEEFF"/>
          </w:tcPr>
          <w:p>
            <w:pPr>
              <w:spacing w:after="0"/>
              <w:rPr>
                <w:sz w:val="15"/>
                <w:szCs w:val="15"/>
                <w:color w:val="auto"/>
              </w:rPr>
            </w:pPr>
          </w:p>
        </w:tc>
        <w:tc>
          <w:tcPr>
            <w:tcW w:w="1120" w:type="dxa"/>
            <w:vAlign w:val="bottom"/>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Risk-adjusted net interest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1,531,339</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(720,989)</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687,675</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-195.4%</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-55.1%</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3,171,843</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772,613</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Non-financial income</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661,070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379,933</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572,044</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50.6%</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1,268,108</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1,554,562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22.6%</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184,383</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143,905</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152,862</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354,150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474,174</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securities</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85,506</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72,350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73,630</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26,301</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114,189</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334.2%</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on derivatives held for trading</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2,762</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34,979</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12,502</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352.6%</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25,588</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46,913</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83.3%</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Net gain from exchange differences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(11,517)</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8,495</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1,151</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-86.5%</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-110.0%</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12,671</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(9,901)</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75,755</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21,512</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38,667</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79.7%</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-49.0%</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97,913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152,987</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income</w:t>
            </w:r>
          </w:p>
        </w:tc>
        <w:tc>
          <w:tcPr>
            <w:tcW w:w="9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997,959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661,174</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850,856</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28.7%</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-14.7%</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1,784,731</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2,332,924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(638,819)</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(589,893)</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(568,595)</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(1,265,570)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(1,816,262)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Administrative expenses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(431,272)</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(378,687)</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(452,764)</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19.6%</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(873,255)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(1,236,368)</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0" w:type="dxa"/>
            <w:vAlign w:val="bottom"/>
          </w:tcPr>
          <w:p>
            <w:pPr>
              <w:spacing w:after="0"/>
              <w:rPr>
                <w:sz w:val="1"/>
                <w:szCs w:val="1"/>
                <w:color w:val="auto"/>
              </w:rPr>
            </w:pPr>
          </w:p>
        </w:tc>
      </w:tr>
      <w:tr>
        <w:trPr>
          <w:trHeight w:val="189"/>
        </w:trPr>
        <w:tc>
          <w:tcPr>
            <w:tcW w:w="3220" w:type="dxa"/>
            <w:vAlign w:val="bottom"/>
          </w:tcPr>
          <w:p>
            <w:pPr>
              <w:ind w:left="120"/>
              <w:spacing w:after="0" w:line="189" w:lineRule="exact"/>
              <w:rPr>
                <w:sz w:val="20"/>
                <w:szCs w:val="20"/>
                <w:color w:val="auto"/>
              </w:rPr>
            </w:pPr>
            <w:r>
              <w:rPr>
                <w:rFonts w:ascii="Times New Roman" w:cs="Times New Roman" w:eastAsia="Times New Roman" w:hAnsi="Times New Roman"/>
                <w:sz w:val="13"/>
                <w:szCs w:val="13"/>
                <w:color w:val="auto"/>
              </w:rPr>
              <w:t xml:space="preserve">Depreciation and amortization </w:t>
            </w:r>
            <w:r>
              <w:rPr>
                <w:rFonts w:ascii="Times New Roman" w:cs="Times New Roman" w:eastAsia="Times New Roman" w:hAnsi="Times New Roman"/>
                <w:sz w:val="21"/>
                <w:szCs w:val="21"/>
                <w:color w:val="auto"/>
                <w:vertAlign w:val="superscript"/>
              </w:rPr>
              <w:t>(2)</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(145,052)</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(134,137)</w:t>
            </w: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(129,157)</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-3.7%</w:t>
            </w:r>
          </w:p>
        </w:tc>
        <w:tc>
          <w:tcPr>
            <w:tcW w:w="22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-11.0%</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(220,801)</w:t>
            </w:r>
          </w:p>
        </w:tc>
        <w:tc>
          <w:tcPr>
            <w:tcW w:w="10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(397,222)</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(39,507)</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(77,386)</w:t>
            </w:r>
          </w:p>
        </w:tc>
        <w:tc>
          <w:tcPr>
            <w:tcW w:w="98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(86,663)</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119.4%</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(59,033)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(315,412)</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434.3%</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(1,254,650)</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(1,180,103)</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(1,237,179)</w:t>
            </w:r>
          </w:p>
        </w:tc>
        <w:tc>
          <w:tcPr>
            <w:tcW w:w="10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4.8%</w:t>
            </w:r>
          </w:p>
        </w:tc>
        <w:tc>
          <w:tcPr>
            <w:tcW w:w="22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(2,418,659)</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(3,765,264)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55.7%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Profit before income tax</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1,274,648</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(1,239,918)</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301,352</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-124.3%</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-76.4%</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2,537,915</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(659,727)</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-126.0%</w:t>
            </w:r>
          </w:p>
        </w:tc>
        <w:tc>
          <w:tcPr>
            <w:tcW w:w="0" w:type="dxa"/>
            <w:vAlign w:val="bottom"/>
          </w:tcPr>
          <w:p>
            <w:pPr>
              <w:spacing w:after="0"/>
              <w:rPr>
                <w:sz w:val="1"/>
                <w:szCs w:val="1"/>
                <w:color w:val="auto"/>
              </w:rPr>
            </w:pPr>
          </w:p>
        </w:tc>
      </w:tr>
      <w:tr>
        <w:trPr>
          <w:trHeight w:val="148"/>
        </w:trPr>
        <w:tc>
          <w:tcPr>
            <w:tcW w:w="32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(324,546)</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422,109</w:t>
            </w: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(31,731)</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-107.5%</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-90.2%</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(691,239)</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292,796</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-142.4%</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profit</w:t>
            </w:r>
          </w:p>
        </w:tc>
        <w:tc>
          <w:tcPr>
            <w:tcW w:w="9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950,102</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(817,809)</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269,621</w:t>
            </w:r>
          </w:p>
        </w:tc>
        <w:tc>
          <w:tcPr>
            <w:tcW w:w="10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-71.6%</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1,846,676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(366,931)</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(4,729)</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14,266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8,220</w:t>
            </w:r>
          </w:p>
        </w:tc>
        <w:tc>
          <w:tcPr>
            <w:tcW w:w="10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-42.4%</w:t>
            </w:r>
          </w:p>
        </w:tc>
        <w:tc>
          <w:tcPr>
            <w:tcW w:w="220" w:type="dxa"/>
            <w:vAlign w:val="bottom"/>
          </w:tcPr>
          <w:p>
            <w:pPr>
              <w:spacing w:after="0"/>
              <w:rPr>
                <w:sz w:val="12"/>
                <w:szCs w:val="12"/>
                <w:color w:val="auto"/>
              </w:rPr>
            </w:pPr>
          </w:p>
        </w:tc>
        <w:tc>
          <w:tcPr>
            <w:tcW w:w="8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-273.8%</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(9,775)</w:t>
            </w:r>
          </w:p>
        </w:tc>
        <w:tc>
          <w:tcPr>
            <w:tcW w:w="100" w:type="dxa"/>
            <w:vAlign w:val="bottom"/>
          </w:tcPr>
          <w:p>
            <w:pPr>
              <w:spacing w:after="0"/>
              <w:rPr>
                <w:sz w:val="12"/>
                <w:szCs w:val="12"/>
                <w:color w:val="auto"/>
              </w:rPr>
            </w:pPr>
          </w:p>
        </w:tc>
        <w:tc>
          <w:tcPr>
            <w:tcW w:w="8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20,952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-314.3%</w:t>
            </w:r>
          </w:p>
        </w:tc>
        <w:tc>
          <w:tcPr>
            <w:tcW w:w="0" w:type="dxa"/>
            <w:vAlign w:val="bottom"/>
          </w:tcPr>
          <w:p>
            <w:pPr>
              <w:spacing w:after="0"/>
              <w:rPr>
                <w:sz w:val="1"/>
                <w:szCs w:val="1"/>
                <w:color w:val="auto"/>
              </w:rPr>
            </w:pPr>
          </w:p>
        </w:tc>
      </w:tr>
      <w:tr>
        <w:trPr>
          <w:trHeight w:val="162"/>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profit attributable to BCP Consolidated</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945,373</w:t>
            </w: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(803,543)</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277,841</w:t>
            </w:r>
          </w:p>
        </w:tc>
        <w:tc>
          <w:tcPr>
            <w:tcW w:w="10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-134.6%</w:t>
            </w:r>
          </w:p>
        </w:tc>
        <w:tc>
          <w:tcPr>
            <w:tcW w:w="22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-70.6%</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1,836,901</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(345,979)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00" w:hanging="192"/>
        <w:spacing w:after="0"/>
        <w:tabs>
          <w:tab w:leader="none" w:pos="20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2019, financing expenses related to lease agreements is included according to the application of IFRS 16.</w:t>
      </w:r>
    </w:p>
    <w:p>
      <w:pPr>
        <w:spacing w:after="0" w:line="3" w:lineRule="exact"/>
        <w:rPr>
          <w:rFonts w:ascii="Times New Roman" w:cs="Times New Roman" w:eastAsia="Times New Roman" w:hAnsi="Times New Roman"/>
          <w:sz w:val="14"/>
          <w:szCs w:val="14"/>
          <w:color w:val="auto"/>
        </w:rPr>
      </w:pPr>
    </w:p>
    <w:p>
      <w:pPr>
        <w:ind w:right="160" w:firstLine="8"/>
        <w:spacing w:after="0" w:line="239" w:lineRule="auto"/>
        <w:tabs>
          <w:tab w:leader="none" w:pos="204"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5" w:name="page66"/>
    <w:bookmarkEnd w:id="65"/>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BANCO DE CREDITO DEL PERU AND SUBSIDIARIES</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1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Quarter</w:t>
            </w:r>
          </w:p>
        </w:tc>
        <w:tc>
          <w:tcPr>
            <w:tcW w:w="10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6"/>
                <w:szCs w:val="16"/>
                <w:b w:val="1"/>
                <w:bCs w:val="1"/>
                <w:color w:val="auto"/>
              </w:rPr>
              <w:t>YTD</w:t>
            </w:r>
          </w:p>
        </w:tc>
        <w:tc>
          <w:tcPr>
            <w:tcW w:w="8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r>
      <w:tr>
        <w:trPr>
          <w:trHeight w:val="211"/>
        </w:trPr>
        <w:tc>
          <w:tcPr>
            <w:tcW w:w="5140" w:type="dxa"/>
            <w:vAlign w:val="bottom"/>
          </w:tcPr>
          <w:p>
            <w:pPr>
              <w:spacing w:after="0"/>
              <w:rPr>
                <w:sz w:val="18"/>
                <w:szCs w:val="18"/>
                <w:color w:val="auto"/>
              </w:rPr>
            </w:pP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3Q19</w:t>
            </w:r>
          </w:p>
        </w:tc>
        <w:tc>
          <w:tcPr>
            <w:tcW w:w="12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2Q20</w:t>
            </w:r>
          </w:p>
        </w:tc>
        <w:tc>
          <w:tcPr>
            <w:tcW w:w="1000" w:type="dxa"/>
            <w:vAlign w:val="bottom"/>
          </w:tcPr>
          <w:p>
            <w:pPr>
              <w:ind w:left="320"/>
              <w:spacing w:after="0"/>
              <w:rPr>
                <w:sz w:val="20"/>
                <w:szCs w:val="20"/>
                <w:color w:val="auto"/>
              </w:rPr>
            </w:pPr>
            <w:r>
              <w:rPr>
                <w:rFonts w:ascii="Times New Roman" w:cs="Times New Roman" w:eastAsia="Times New Roman" w:hAnsi="Times New Roman"/>
                <w:sz w:val="16"/>
                <w:szCs w:val="16"/>
                <w:b w:val="1"/>
                <w:bCs w:val="1"/>
                <w:color w:val="auto"/>
              </w:rPr>
              <w:t>2Q20</w:t>
            </w:r>
          </w:p>
        </w:tc>
        <w:tc>
          <w:tcPr>
            <w:tcW w:w="240" w:type="dxa"/>
            <w:vAlign w:val="bottom"/>
          </w:tcPr>
          <w:p>
            <w:pPr>
              <w:spacing w:after="0"/>
              <w:rPr>
                <w:sz w:val="18"/>
                <w:szCs w:val="18"/>
                <w:color w:val="auto"/>
              </w:rPr>
            </w:pPr>
          </w:p>
        </w:tc>
        <w:tc>
          <w:tcPr>
            <w:tcW w:w="1400" w:type="dxa"/>
            <w:vAlign w:val="bottom"/>
            <w:gridSpan w:val="3"/>
          </w:tcPr>
          <w:p>
            <w:pPr>
              <w:ind w:left="260"/>
              <w:spacing w:after="0"/>
              <w:rPr>
                <w:sz w:val="20"/>
                <w:szCs w:val="20"/>
                <w:color w:val="auto"/>
              </w:rPr>
            </w:pPr>
            <w:r>
              <w:rPr>
                <w:rFonts w:ascii="Times New Roman" w:cs="Times New Roman" w:eastAsia="Times New Roman" w:hAnsi="Times New Roman"/>
                <w:sz w:val="16"/>
                <w:szCs w:val="16"/>
                <w:b w:val="1"/>
                <w:bCs w:val="1"/>
                <w:color w:val="auto"/>
              </w:rPr>
              <w:t>Sep-19</w:t>
            </w:r>
          </w:p>
        </w:tc>
        <w:tc>
          <w:tcPr>
            <w:tcW w:w="8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Sep-20</w:t>
            </w:r>
          </w:p>
        </w:tc>
        <w:tc>
          <w:tcPr>
            <w:tcW w:w="140" w:type="dxa"/>
            <w:vAlign w:val="bottom"/>
          </w:tcPr>
          <w:p>
            <w:pPr>
              <w:spacing w:after="0"/>
              <w:rPr>
                <w:sz w:val="18"/>
                <w:szCs w:val="18"/>
                <w:color w:val="auto"/>
              </w:rPr>
            </w:pPr>
          </w:p>
        </w:tc>
      </w:tr>
      <w:tr>
        <w:trPr>
          <w:trHeight w:val="198"/>
        </w:trPr>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Profitability</w:t>
            </w: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Earnings per share </w:t>
            </w:r>
            <w:r>
              <w:rPr>
                <w:rFonts w:ascii="Times New Roman" w:cs="Times New Roman" w:eastAsia="Times New Roman" w:hAnsi="Times New Roman"/>
                <w:sz w:val="26"/>
                <w:szCs w:val="26"/>
                <w:color w:val="auto"/>
                <w:vertAlign w:val="superscript"/>
              </w:rPr>
              <w:t>(1)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0.085</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(0.073)</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0.025</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0.166</w:t>
            </w:r>
          </w:p>
        </w:tc>
        <w:tc>
          <w:tcPr>
            <w:tcW w:w="16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(0.031)</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ROAA</w:t>
            </w:r>
            <w:r>
              <w:rPr>
                <w:rFonts w:ascii="Times New Roman" w:cs="Times New Roman" w:eastAsia="Times New Roman" w:hAnsi="Times New Roman"/>
                <w:sz w:val="12"/>
                <w:szCs w:val="12"/>
                <w:color w:val="auto"/>
              </w:rPr>
              <w:t xml:space="preserve"> (2)(3)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28"/>
                <w:szCs w:val="28"/>
                <w:color w:val="auto"/>
                <w:vertAlign w:val="subscript"/>
              </w:rPr>
              <w:t>ROAE</w:t>
            </w:r>
            <w:r>
              <w:rPr>
                <w:rFonts w:ascii="Times New Roman" w:cs="Times New Roman" w:eastAsia="Times New Roman" w:hAnsi="Times New Roman"/>
                <w:sz w:val="12"/>
                <w:szCs w:val="12"/>
                <w:color w:val="auto"/>
              </w:rPr>
              <w:t xml:space="preserve"> (2)(3)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21.3%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10.5%</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Net interest margin </w:t>
            </w:r>
            <w:r>
              <w:rPr>
                <w:rFonts w:ascii="Times New Roman" w:cs="Times New Roman" w:eastAsia="Times New Roman" w:hAnsi="Times New Roman"/>
                <w:sz w:val="26"/>
                <w:szCs w:val="26"/>
                <w:color w:val="auto"/>
                <w:vertAlign w:val="superscript"/>
              </w:rPr>
              <w:t>(2)(3)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5.74%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2.88%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w:t>
            </w: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Risk adjusted NIM </w:t>
            </w:r>
            <w:r>
              <w:rPr>
                <w:rFonts w:ascii="Times New Roman" w:cs="Times New Roman" w:eastAsia="Times New Roman" w:hAnsi="Times New Roman"/>
                <w:sz w:val="26"/>
                <w:szCs w:val="26"/>
                <w:color w:val="auto"/>
                <w:vertAlign w:val="superscript"/>
              </w:rPr>
              <w:t>(2)(3)</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4.34%</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-1.76%</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2.30%</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0.47%</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Funding Cost </w:t>
            </w:r>
            <w:r>
              <w:rPr>
                <w:rFonts w:ascii="Times New Roman" w:cs="Times New Roman" w:eastAsia="Times New Roman" w:hAnsi="Times New Roman"/>
                <w:sz w:val="26"/>
                <w:szCs w:val="26"/>
                <w:color w:val="auto"/>
                <w:vertAlign w:val="superscript"/>
              </w:rPr>
              <w:t>(2)(3)(4)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1.72%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1.13%</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Quality of loan portfolio</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IOL ratio</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3.03%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3.21%</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3.11%</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NPL ratio</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4.42%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4.29%</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0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Coverage of IOLs</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214.7%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148.6%</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w:t>
            </w: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Coverage of NPLs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107.8%</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163.5%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164.9%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107.8%</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164.9%</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Cost of risk </w:t>
            </w:r>
            <w:r>
              <w:rPr>
                <w:rFonts w:ascii="Times New Roman" w:cs="Times New Roman" w:eastAsia="Times New Roman" w:hAnsi="Times New Roman"/>
                <w:sz w:val="26"/>
                <w:szCs w:val="26"/>
                <w:color w:val="auto"/>
                <w:vertAlign w:val="superscript"/>
              </w:rPr>
              <w:t>(5)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1.93%</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7.94%</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3.89%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0.78%</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w:t>
            </w:r>
          </w:p>
        </w:tc>
      </w:tr>
      <w:tr>
        <w:trPr>
          <w:trHeight w:val="203"/>
        </w:trPr>
        <w:tc>
          <w:tcPr>
            <w:tcW w:w="5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Operating efficiency</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Oper. expenses as a percent. of total income - reported </w:t>
            </w:r>
            <w:r>
              <w:rPr>
                <w:rFonts w:ascii="Times New Roman" w:cs="Times New Roman" w:eastAsia="Times New Roman" w:hAnsi="Times New Roman"/>
                <w:sz w:val="26"/>
                <w:szCs w:val="26"/>
                <w:color w:val="auto"/>
                <w:vertAlign w:val="superscript"/>
              </w:rPr>
              <w:t>(6)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48.9%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43.6%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41.9%</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r>
      <w:tr>
        <w:trPr>
          <w:trHeight w:val="202"/>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Oper. expenses as a percent. of total income - including all other items</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41.5%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50.2%</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45.0%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42.0%</w:t>
            </w:r>
          </w:p>
        </w:tc>
        <w:tc>
          <w:tcPr>
            <w:tcW w:w="16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46.9%</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Oper. expenses as a percent. of av. tot. assets </w:t>
            </w:r>
            <w:r>
              <w:rPr>
                <w:rFonts w:ascii="Times New Roman" w:cs="Times New Roman" w:eastAsia="Times New Roman" w:hAnsi="Times New Roman"/>
                <w:sz w:val="26"/>
                <w:szCs w:val="26"/>
                <w:color w:val="auto"/>
                <w:vertAlign w:val="superscript"/>
              </w:rPr>
              <w:t>(2)(3)(6)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3.26%</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2.58%</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2.47%</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1.60%</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16"/>
                <w:szCs w:val="16"/>
                <w:b w:val="1"/>
                <w:bCs w:val="1"/>
                <w:color w:val="auto"/>
              </w:rPr>
              <w:t xml:space="preserve">Capital adequacy </w:t>
            </w:r>
            <w:r>
              <w:rPr>
                <w:rFonts w:ascii="Times New Roman" w:cs="Times New Roman" w:eastAsia="Times New Roman" w:hAnsi="Times New Roman"/>
                <w:sz w:val="26"/>
                <w:szCs w:val="26"/>
                <w:b w:val="1"/>
                <w:bCs w:val="1"/>
                <w:color w:val="auto"/>
                <w:vertAlign w:val="superscript"/>
              </w:rPr>
              <w:t>(7)</w:t>
            </w: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0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regulatory capital (S/ Million)</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20,149</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21,027</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21,528</w:t>
            </w: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20,149</w:t>
            </w:r>
          </w:p>
        </w:tc>
        <w:tc>
          <w:tcPr>
            <w:tcW w:w="1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21,528</w:t>
            </w: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Tier 1 capital (S/ Million) </w:t>
            </w:r>
            <w:r>
              <w:rPr>
                <w:rFonts w:ascii="Times New Roman" w:cs="Times New Roman" w:eastAsia="Times New Roman" w:hAnsi="Times New Roman"/>
                <w:sz w:val="26"/>
                <w:szCs w:val="26"/>
                <w:color w:val="auto"/>
                <w:vertAlign w:val="superscript"/>
              </w:rPr>
              <w:t>(8)</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15,371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14,971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14,971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15,371</w:t>
            </w:r>
          </w:p>
        </w:tc>
        <w:tc>
          <w:tcPr>
            <w:tcW w:w="16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14,971</w:t>
            </w:r>
          </w:p>
        </w:tc>
      </w:tr>
      <w:tr>
        <w:trPr>
          <w:trHeight w:val="243"/>
        </w:trPr>
        <w:tc>
          <w:tcPr>
            <w:tcW w:w="514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Common equity tier 1 ratio </w:t>
            </w:r>
            <w:r>
              <w:rPr>
                <w:rFonts w:ascii="Times New Roman" w:cs="Times New Roman" w:eastAsia="Times New Roman" w:hAnsi="Times New Roman"/>
                <w:sz w:val="26"/>
                <w:szCs w:val="26"/>
                <w:color w:val="auto"/>
                <w:vertAlign w:val="superscript"/>
              </w:rPr>
              <w:t>(9)</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11.22%</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11.45%</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11.95%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11.45%</w:t>
            </w:r>
          </w:p>
        </w:tc>
      </w:tr>
      <w:tr>
        <w:trPr>
          <w:trHeight w:val="243"/>
        </w:trPr>
        <w:tc>
          <w:tcPr>
            <w:tcW w:w="51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BIS ratio </w:t>
            </w:r>
            <w:r>
              <w:rPr>
                <w:rFonts w:ascii="Times New Roman" w:cs="Times New Roman" w:eastAsia="Times New Roman" w:hAnsi="Times New Roman"/>
                <w:sz w:val="26"/>
                <w:szCs w:val="26"/>
                <w:color w:val="auto"/>
                <w:vertAlign w:val="superscript"/>
              </w:rPr>
              <w:t>(10)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14.80%</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15.39%</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15.45%</w:t>
            </w:r>
          </w:p>
        </w:tc>
        <w:tc>
          <w:tcPr>
            <w:tcW w:w="16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15.39%</w:t>
            </w:r>
          </w:p>
        </w:tc>
      </w:tr>
      <w:tr>
        <w:trPr>
          <w:trHeight w:val="203"/>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Share Information</w:t>
            </w: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0"/>
        </w:trPr>
        <w:tc>
          <w:tcPr>
            <w:tcW w:w="5140" w:type="dxa"/>
            <w:vAlign w:val="bottom"/>
          </w:tcPr>
          <w:p>
            <w:pPr>
              <w:spacing w:after="0"/>
              <w:rPr>
                <w:sz w:val="20"/>
                <w:szCs w:val="20"/>
                <w:color w:val="auto"/>
              </w:rPr>
            </w:pPr>
            <w:r>
              <w:rPr>
                <w:rFonts w:ascii="Times New Roman" w:cs="Times New Roman" w:eastAsia="Times New Roman" w:hAnsi="Times New Roman"/>
                <w:sz w:val="16"/>
                <w:szCs w:val="16"/>
                <w:color w:val="auto"/>
              </w:rPr>
              <w:t>N° of outstanding shares (Million)</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11,067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11,067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11,067</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11,067</w:t>
            </w:r>
          </w:p>
        </w:tc>
        <w:tc>
          <w:tcPr>
            <w:tcW w:w="1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11,067</w:t>
            </w:r>
          </w:p>
        </w:tc>
      </w:tr>
    </w:tbl>
    <w:p>
      <w:pPr>
        <w:spacing w:after="0" w:line="203" w:lineRule="exact"/>
        <w:rPr>
          <w:sz w:val="20"/>
          <w:szCs w:val="20"/>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outstanding of 10,217 million is used for all periods since shares have been issued only for capitalization of profits.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58"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funding costs differs from previously reported due to a methodology change in the denominator, which no longer includes the following accounts: acceptances outstanding, reserves for property and casualty claims, reserve for unearned premiums, reinsurance payable and other liabilities.</w:t>
      </w: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Annualized provision for loan losses / Total loans.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81"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ind w:left="260" w:hanging="252"/>
        <w:spacing w:after="0"/>
        <w:tabs>
          <w:tab w:leader="none" w:pos="2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capital ratios are for BCP Stand-alone and based on Peru GAAP</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79"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right="20" w:firstLine="8"/>
        <w:spacing w:after="0" w:line="250" w:lineRule="auto"/>
        <w:tabs>
          <w:tab w:leader="none" w:pos="262"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360" w:hanging="352"/>
        <w:spacing w:after="0"/>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11.4. BCP Stand-alone</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STATEMENT OF FINANCIAL POSITION</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100" w:type="dxa"/>
            <w:vAlign w:val="bottom"/>
            <w:tcBorders>
              <w:bottom w:val="single" w:sz="8" w:color="auto"/>
            </w:tcBorders>
            <w:gridSpan w:val="4"/>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5660" w:type="dxa"/>
            <w:vAlign w:val="bottom"/>
          </w:tcPr>
          <w:p>
            <w:pPr>
              <w:spacing w:after="0"/>
              <w:rPr>
                <w:sz w:val="19"/>
                <w:szCs w:val="19"/>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Sep 2019</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Jun 2020</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Sep 2020</w:t>
            </w:r>
          </w:p>
        </w:tc>
        <w:tc>
          <w:tcPr>
            <w:tcW w:w="80" w:type="dxa"/>
            <w:vAlign w:val="bottom"/>
          </w:tcPr>
          <w:p>
            <w:pPr>
              <w:spacing w:after="0"/>
              <w:rPr>
                <w:sz w:val="19"/>
                <w:szCs w:val="19"/>
                <w:color w:val="auto"/>
              </w:rPr>
            </w:pPr>
          </w:p>
        </w:tc>
        <w:tc>
          <w:tcPr>
            <w:tcW w:w="11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QoQ</w:t>
            </w: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YoY</w:t>
            </w:r>
          </w:p>
        </w:tc>
      </w:tr>
      <w:tr>
        <w:trPr>
          <w:trHeight w:val="209"/>
        </w:trPr>
        <w:tc>
          <w:tcPr>
            <w:tcW w:w="5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due from banks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Non-interest bearing</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4,286,798</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4,402,832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4,571,558</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bearing</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18,753,012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26,045,808</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25,949,154</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cash and due from banks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23,039,810</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30,448,640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30,520,712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collateral, reverse repurchase agreements and securities borrowing</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2,969,737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1,987,570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1,767,692</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-40.5%</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through profit or loss investments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182,957</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1,630,272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1,874,577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924.6%</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Fair value through other comprehensive income investments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13,580,329</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17,562,854</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26,341,443</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Amortized cost investments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3,010,520</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3,995,043</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3,958,403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31.5%</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93,045,627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111,821,212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113,384,719</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90,428,840</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108,857,750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110,133,503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overdue loans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2,616,787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2,963,462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3,251,216</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 allowance for loan losses</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(3,796,429)</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(6,438,182)</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(7,255,183)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91.1%</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Loans, net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89,249,198</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105,383,030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106,129,536</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18.9%</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furniture and equipment, net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1,577,866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1,447,090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1,447,497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0.0%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from customers on acceptances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434,457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331,591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256,238</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Investments in associates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2,150,825</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1,862,221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1,691,592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-21.4%</w:t>
            </w:r>
          </w:p>
        </w:tc>
      </w:tr>
      <w:tr>
        <w:trPr>
          <w:trHeight w:val="257"/>
        </w:trPr>
        <w:tc>
          <w:tcPr>
            <w:tcW w:w="56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assets </w:t>
            </w:r>
            <w:r>
              <w:rPr>
                <w:rFonts w:ascii="Times New Roman" w:cs="Times New Roman" w:eastAsia="Times New Roman" w:hAnsi="Times New Roman"/>
                <w:sz w:val="29"/>
                <w:szCs w:val="29"/>
                <w:b w:val="1"/>
                <w:bCs w:val="1"/>
                <w:color w:val="auto"/>
                <w:vertAlign w:val="superscript"/>
              </w:rPr>
              <w:t>(1)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4,482,612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6,486,760</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5,610,989</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25.2%</w:t>
            </w:r>
          </w:p>
        </w:tc>
      </w:tr>
      <w:tr>
        <w:trPr>
          <w:trHeight w:val="216"/>
        </w:trPr>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Assets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140,678,311</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171,135,071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179,598,679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Deposits and obligations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Non-interest bearing</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30,099,692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44,355,685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49,107,276</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63.1%</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bearing</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57,774,137</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62,066,600</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65,263,615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deposits and obligations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87,873,829</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106,422,285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114,370,891</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Payables from repurchase agreements and securities lending</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5,663,472</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20,656,894</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24,169,302</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326.8%</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BCRP instruments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4,086,799</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19,186,502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23,644,352</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478.6%</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Repurchase agreements with third parties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1,576,673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1,470,392</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524,950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-64.3%</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-66.7%</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Due to banks and correspondents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8,134,607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7,062,622</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5,349,981</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-24.2%</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-34.2%</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Bonds and notes issued</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16,371,246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14,831,741</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13,946,887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-14.8%</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Banker’s acceptances outstanding</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434,457</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331,591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256,238</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Financial liabilities at fair value through profit or loss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13,977</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108,189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116,523</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733.7%</w:t>
            </w:r>
          </w:p>
        </w:tc>
      </w:tr>
      <w:tr>
        <w:trPr>
          <w:trHeight w:val="257"/>
        </w:trPr>
        <w:tc>
          <w:tcPr>
            <w:tcW w:w="5660" w:type="dxa"/>
            <w:vAlign w:val="bottom"/>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 xml:space="preserve">Other liabilities </w:t>
            </w:r>
            <w:r>
              <w:rPr>
                <w:rFonts w:ascii="Times New Roman" w:cs="Times New Roman" w:eastAsia="Times New Roman" w:hAnsi="Times New Roman"/>
                <w:sz w:val="29"/>
                <w:szCs w:val="29"/>
                <w:b w:val="1"/>
                <w:bCs w:val="1"/>
                <w:color w:val="auto"/>
                <w:vertAlign w:val="superscript"/>
              </w:rPr>
              <w:t>(2)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4,172,530</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4,756,793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4,148,198</w:t>
            </w:r>
          </w:p>
        </w:tc>
        <w:tc>
          <w:tcPr>
            <w:tcW w:w="80" w:type="dxa"/>
            <w:vAlign w:val="bottom"/>
          </w:tcPr>
          <w:p>
            <w:pPr>
              <w:spacing w:after="0"/>
              <w:rPr>
                <w:sz w:val="22"/>
                <w:szCs w:val="22"/>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r>
      <w:tr>
        <w:trPr>
          <w:trHeight w:val="216"/>
        </w:trPr>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Liabilities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122,664,118</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154,170,115</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162,358,020</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18,014,193</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16,964,956</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17,240,659</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Capital stock</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9,924,006</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10,774,006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10,774,006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4,476,256</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5,945,313</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5,945,313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32.8%</w:t>
            </w:r>
          </w:p>
        </w:tc>
      </w:tr>
      <w:tr>
        <w:trPr>
          <w:trHeight w:val="216"/>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gains and losses</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296,915</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333,548</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330,977</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w:t>
            </w:r>
          </w:p>
        </w:tc>
      </w:tr>
      <w:tr>
        <w:trPr>
          <w:trHeight w:val="216"/>
        </w:trPr>
        <w:tc>
          <w:tcPr>
            <w:tcW w:w="5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3,317,016</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(87,911)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190,363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-316.5%</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-94.3%</w:t>
            </w:r>
          </w:p>
        </w:tc>
      </w:tr>
      <w:tr>
        <w:trPr>
          <w:trHeight w:val="216"/>
        </w:trPr>
        <w:tc>
          <w:tcPr>
            <w:tcW w:w="5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Net Equity</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18,014,193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16,964,956</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17,240,659</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140,678,311</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171,135,071</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179,598,679</w:t>
            </w: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27.7%</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Off-balance sheet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117,936,663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113,527,769</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112,924,725</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-0.5%</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performance bonds, stand-by and L/Cs.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18,482,892</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17,490,977</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16,978,003</w:t>
            </w:r>
          </w:p>
        </w:tc>
        <w:tc>
          <w:tcPr>
            <w:tcW w:w="8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Undrawn credit lines, advised but not committed</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69,496,193</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69,526,957</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68,568,756</w:t>
            </w: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Total derivatives (notional) and others</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29,957,578</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26,509,835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27,377,966</w:t>
            </w:r>
          </w:p>
        </w:tc>
        <w:tc>
          <w:tcPr>
            <w:tcW w:w="8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-8.6%</w:t>
            </w:r>
          </w:p>
        </w:tc>
      </w:tr>
    </w:tbl>
    <w:p>
      <w:pPr>
        <w:spacing w:after="0" w:line="193" w:lineRule="exact"/>
        <w:rPr>
          <w:sz w:val="20"/>
          <w:szCs w:val="20"/>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intangible assets, other receivable accounts and tax credit.</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Mainly includes other payable accounts.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67" w:name="page68"/>
    <w:bookmarkEnd w:id="67"/>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31"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STATEMENT OF INCOME</w:t>
      </w:r>
    </w:p>
    <w:p>
      <w:pPr>
        <w:spacing w:after="0" w:line="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14" w:lineRule="exact"/>
        <w:rPr>
          <w:sz w:val="20"/>
          <w:szCs w:val="20"/>
          <w:color w:val="auto"/>
        </w:rPr>
      </w:pPr>
    </w:p>
    <w:tbl>
      <w:tblPr>
        <w:tblLayout w:type="fixed"/>
        <w:tblInd w:w="2" w:type="dxa"/>
        <w:tblCellMar>
          <w:top w:w="0" w:type="dxa"/>
          <w:left w:w="0" w:type="dxa"/>
          <w:bottom w:w="0" w:type="dxa"/>
          <w:right w:w="0" w:type="dxa"/>
        </w:tblCellMar>
      </w:tblPr>
      <w:tr>
        <w:trPr>
          <w:trHeight w:val="173"/>
        </w:trPr>
        <w:tc>
          <w:tcPr>
            <w:tcW w:w="3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YTD</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3780" w:type="dxa"/>
            <w:vAlign w:val="bottom"/>
          </w:tcPr>
          <w:p>
            <w:pPr>
              <w:spacing w:after="0"/>
              <w:rPr>
                <w:sz w:val="13"/>
                <w:szCs w:val="13"/>
                <w:color w:val="auto"/>
              </w:rPr>
            </w:pPr>
          </w:p>
        </w:tc>
        <w:tc>
          <w:tcPr>
            <w:tcW w:w="880" w:type="dxa"/>
            <w:vAlign w:val="bottom"/>
            <w:tcBorders>
              <w:top w:val="single" w:sz="8" w:color="auto"/>
            </w:tcBorders>
            <w:gridSpan w:val="2"/>
          </w:tcPr>
          <w:p>
            <w:pPr>
              <w:jc w:val="right"/>
              <w:ind w:right="36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920" w:type="dxa"/>
            <w:vAlign w:val="bottom"/>
            <w:tcBorders>
              <w:top w:val="single" w:sz="8" w:color="auto"/>
            </w:tcBorders>
            <w:gridSpan w:val="2"/>
          </w:tcPr>
          <w:p>
            <w:pPr>
              <w:jc w:val="right"/>
              <w:ind w:right="380"/>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720" w:type="dxa"/>
            <w:vAlign w:val="bottom"/>
            <w:tcBorders>
              <w:top w:val="single" w:sz="8" w:color="auto"/>
            </w:tcBorders>
          </w:tcPr>
          <w:p>
            <w:pPr>
              <w:jc w:val="right"/>
              <w:ind w:right="128"/>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180" w:type="dxa"/>
            <w:vAlign w:val="bottom"/>
          </w:tcPr>
          <w:p>
            <w:pPr>
              <w:spacing w:after="0"/>
              <w:rPr>
                <w:sz w:val="13"/>
                <w:szCs w:val="13"/>
                <w:color w:val="auto"/>
              </w:rPr>
            </w:pPr>
          </w:p>
        </w:tc>
        <w:tc>
          <w:tcPr>
            <w:tcW w:w="1120" w:type="dxa"/>
            <w:vAlign w:val="bottom"/>
            <w:tcBorders>
              <w:top w:val="single" w:sz="8" w:color="auto"/>
            </w:tcBorders>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46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260" w:type="dxa"/>
            <w:vAlign w:val="bottom"/>
          </w:tcPr>
          <w:p>
            <w:pPr>
              <w:spacing w:after="0"/>
              <w:rPr>
                <w:sz w:val="13"/>
                <w:szCs w:val="13"/>
                <w:color w:val="auto"/>
              </w:rPr>
            </w:pPr>
          </w:p>
        </w:tc>
        <w:tc>
          <w:tcPr>
            <w:tcW w:w="1040" w:type="dxa"/>
            <w:vAlign w:val="bottom"/>
            <w:tcBorders>
              <w:top w:val="single" w:sz="8" w:color="auto"/>
            </w:tcBorders>
            <w:gridSpan w:val="3"/>
          </w:tcPr>
          <w:p>
            <w:pPr>
              <w:ind w:left="160"/>
              <w:spacing w:after="0" w:line="155" w:lineRule="exact"/>
              <w:rPr>
                <w:sz w:val="20"/>
                <w:szCs w:val="20"/>
                <w:color w:val="auto"/>
              </w:rPr>
            </w:pPr>
            <w:r>
              <w:rPr>
                <w:rFonts w:ascii="Times New Roman" w:cs="Times New Roman" w:eastAsia="Times New Roman" w:hAnsi="Times New Roman"/>
                <w:sz w:val="14"/>
                <w:szCs w:val="14"/>
                <w:b w:val="1"/>
                <w:bCs w:val="1"/>
                <w:color w:val="auto"/>
              </w:rPr>
              <w:t>Sep-19</w:t>
            </w:r>
          </w:p>
        </w:tc>
        <w:tc>
          <w:tcPr>
            <w:tcW w:w="660" w:type="dxa"/>
            <w:vAlign w:val="bottom"/>
            <w:tcBorders>
              <w:top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Sep-20</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20" w:type="dxa"/>
            <w:vAlign w:val="bottom"/>
          </w:tcPr>
          <w:p>
            <w:pPr>
              <w:spacing w:after="0"/>
              <w:rPr>
                <w:sz w:val="13"/>
                <w:szCs w:val="13"/>
                <w:color w:val="auto"/>
              </w:rPr>
            </w:pPr>
          </w:p>
        </w:tc>
      </w:tr>
      <w:tr>
        <w:trPr>
          <w:trHeight w:val="142"/>
        </w:trPr>
        <w:tc>
          <w:tcPr>
            <w:tcW w:w="37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Interest income and expense</w:t>
            </w: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Interest and dividend income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2,201,538</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1,968,404</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2,055,845</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6,436,438</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6,203,562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89"/>
        </w:trPr>
        <w:tc>
          <w:tcPr>
            <w:tcW w:w="37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Interest expense </w:t>
            </w:r>
            <w:r>
              <w:rPr>
                <w:rFonts w:ascii="Times New Roman" w:cs="Times New Roman" w:eastAsia="Times New Roman" w:hAnsi="Times New Roman"/>
                <w:sz w:val="21"/>
                <w:szCs w:val="21"/>
                <w:color w:val="auto"/>
                <w:vertAlign w:val="superscript"/>
              </w:rPr>
              <w:t>(1)</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(632,121)</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(546,174)</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(572,948)</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4.9%</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-9.4%</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(1,840,052)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(1,682,511)</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Net interest income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1,569,417</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1,422,230</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1,482,897</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4.3%</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-5.5%</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4,596,386</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4,521,051</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Provision for credit losses on loan portfolio</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(425,527)</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(2,017,137)</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(853,111)</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100.5%</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(1,129,198)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(4,021,827)</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256.2%</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Recoveries of written-off loans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48,257</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14,089</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33,342</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136.7%</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-30.9%</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147,311</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81,853</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-44.4%</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Provision for credit losses on loan portfolio, net of recoveries</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(377,270)</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(2,003,048)</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(819,769)</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-59.1%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117.3%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(981,887)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(3,939,974)</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301.3%</w:t>
            </w: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Risk-adjusted net interest income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1,192,147</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(580,818)</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663,128</w:t>
            </w: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-214.2%</w:t>
            </w:r>
          </w:p>
        </w:tc>
        <w:tc>
          <w:tcPr>
            <w:tcW w:w="200" w:type="dxa"/>
            <w:vAlign w:val="bottom"/>
          </w:tcPr>
          <w:p>
            <w:pPr>
              <w:spacing w:after="0"/>
              <w:rPr>
                <w:sz w:val="12"/>
                <w:szCs w:val="12"/>
                <w:color w:val="auto"/>
              </w:rPr>
            </w:pPr>
          </w:p>
        </w:tc>
        <w:tc>
          <w:tcPr>
            <w:tcW w:w="7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-44.4%</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3,614,499</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581,077</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-83.9%</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Non-financial income</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Fee income</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622,750</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379,049</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568,394</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1,819,246</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1,526,026</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-16.1%</w:t>
            </w:r>
          </w:p>
        </w:tc>
      </w:tr>
      <w:tr>
        <w:trPr>
          <w:trHeight w:val="148"/>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on foreign exchange transactions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182,241</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142,210</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151,694</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-16.8%</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532,902</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468,691</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-12.0%</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on securities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81,550</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(22,406)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174,600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-879.3%</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114.1%</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99,079</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120,627</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21.7%</w:t>
            </w:r>
          </w:p>
        </w:tc>
      </w:tr>
      <w:tr>
        <w:trPr>
          <w:trHeight w:val="149"/>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from associates</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98,309</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(166,973)</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(254,578)</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-359.0%</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297,151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(386,729)</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-230.1%</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on derivatives held for trading</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964</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34,437</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11,496</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-66.6%</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1092.5%</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24,827</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44,624</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79.7%</w:t>
            </w:r>
          </w:p>
        </w:tc>
      </w:tr>
      <w:tr>
        <w:trPr>
          <w:trHeight w:val="148"/>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Net gain from exchange differences</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(15,129)</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10,806</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2,637</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-117.4%</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1,454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387</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-73.4%</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Others</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80,150</w:t>
            </w:r>
          </w:p>
        </w:tc>
        <w:tc>
          <w:tcPr>
            <w:tcW w:w="9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19,983</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36,864</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84.5%</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-54.0%</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167,255</w:t>
            </w:r>
          </w:p>
        </w:tc>
        <w:tc>
          <w:tcPr>
            <w:tcW w:w="100" w:type="dxa"/>
            <w:vAlign w:val="bottom"/>
          </w:tcPr>
          <w:p>
            <w:pPr>
              <w:spacing w:after="0"/>
              <w:rPr>
                <w:sz w:val="12"/>
                <w:szCs w:val="12"/>
                <w:color w:val="auto"/>
              </w:rPr>
            </w:pPr>
          </w:p>
        </w:tc>
        <w:tc>
          <w:tcPr>
            <w:tcW w:w="76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128,930</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-22.9%</w:t>
            </w:r>
          </w:p>
        </w:tc>
      </w:tr>
      <w:tr>
        <w:trPr>
          <w:trHeight w:val="148"/>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other income</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1,050,835</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397,106</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691,107</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74.0%</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-34.2%</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2,941,914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1,902,556</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-35.3%</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Salaries and employee benefits</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(446,561)</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(400,800)</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(386,520)</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-13.4%</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(1,329,036)</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(1,235,296)</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Administrative expenses</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(467,914)</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(342,849)</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(411,350)</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(1,294,352)</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(1,111,380)</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-14.1%</w:t>
            </w:r>
          </w:p>
        </w:tc>
      </w:tr>
      <w:tr>
        <w:trPr>
          <w:trHeight w:val="189"/>
        </w:trPr>
        <w:tc>
          <w:tcPr>
            <w:tcW w:w="37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 xml:space="preserve">Depreciation and amortization </w:t>
            </w:r>
            <w:r>
              <w:rPr>
                <w:rFonts w:ascii="Times New Roman" w:cs="Times New Roman" w:eastAsia="Times New Roman" w:hAnsi="Times New Roman"/>
                <w:sz w:val="21"/>
                <w:szCs w:val="21"/>
                <w:color w:val="auto"/>
                <w:vertAlign w:val="superscript"/>
              </w:rPr>
              <w:t>(2)</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(56,590)</w:t>
            </w: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(109,693)</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(105,744)</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-3.6%</w:t>
            </w: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86.9%</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(165,862)</w:t>
            </w:r>
          </w:p>
        </w:tc>
        <w:tc>
          <w:tcPr>
            <w:tcW w:w="1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(324,769)</w:t>
            </w:r>
          </w:p>
        </w:tc>
        <w:tc>
          <w:tcPr>
            <w:tcW w:w="11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148"/>
        </w:trPr>
        <w:tc>
          <w:tcPr>
            <w:tcW w:w="37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Other expenses</w:t>
            </w:r>
          </w:p>
        </w:tc>
        <w:tc>
          <w:tcPr>
            <w:tcW w:w="8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(39,893)</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(68,142)</w:t>
            </w:r>
          </w:p>
        </w:tc>
        <w:tc>
          <w:tcPr>
            <w:tcW w:w="90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(73,863)</w:t>
            </w:r>
          </w:p>
        </w:tc>
        <w:tc>
          <w:tcPr>
            <w:tcW w:w="9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20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85.2%</w:t>
            </w:r>
          </w:p>
        </w:tc>
        <w:tc>
          <w:tcPr>
            <w:tcW w:w="9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(86,564)</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(279,520)</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222.9%</w:t>
            </w:r>
          </w:p>
        </w:tc>
      </w:tr>
      <w:tr>
        <w:trPr>
          <w:trHeight w:val="148"/>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Total expenses</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(1,010,958)</w:t>
            </w:r>
          </w:p>
        </w:tc>
        <w:tc>
          <w:tcPr>
            <w:tcW w:w="9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(921,484)</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(977,477)</w:t>
            </w: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6.1%</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-3.3%</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(2,875,814)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(2,950,965)</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r>
      <w:tr>
        <w:trPr>
          <w:trHeight w:val="148"/>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Profit before income tax</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1,232,024</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(1,105,196)</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376,758</w:t>
            </w:r>
          </w:p>
        </w:tc>
        <w:tc>
          <w:tcPr>
            <w:tcW w:w="112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-69.4%</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3,680,599</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(467,332)</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-112.7%</w:t>
            </w:r>
          </w:p>
        </w:tc>
      </w:tr>
      <w:tr>
        <w:trPr>
          <w:trHeight w:val="148"/>
        </w:trPr>
        <w:tc>
          <w:tcPr>
            <w:tcW w:w="37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8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(286,138)</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302,083</w:t>
            </w:r>
          </w:p>
        </w:tc>
        <w:tc>
          <w:tcPr>
            <w:tcW w:w="90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(98,485)</w:t>
            </w:r>
          </w:p>
        </w:tc>
        <w:tc>
          <w:tcPr>
            <w:tcW w:w="1120" w:type="dxa"/>
            <w:vAlign w:val="bottom"/>
            <w:gridSpan w:val="3"/>
            <w:shd w:val="clear" w:color="auto" w:fill="CCEEFF"/>
          </w:tcPr>
          <w:p>
            <w:pPr>
              <w:ind w:left="4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-65.6%</w:t>
            </w:r>
          </w:p>
        </w:tc>
        <w:tc>
          <w:tcPr>
            <w:tcW w:w="9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(896,788)</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123,111</w:t>
            </w:r>
          </w:p>
        </w:tc>
        <w:tc>
          <w:tcPr>
            <w:tcW w:w="11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-113.7%</w:t>
            </w:r>
          </w:p>
        </w:tc>
      </w:tr>
      <w:tr>
        <w:trPr>
          <w:trHeight w:val="149"/>
        </w:trPr>
        <w:tc>
          <w:tcPr>
            <w:tcW w:w="37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profit</w:t>
            </w: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945,886</w:t>
            </w:r>
          </w:p>
        </w:tc>
        <w:tc>
          <w:tcPr>
            <w:tcW w:w="9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(803,113)</w:t>
            </w:r>
          </w:p>
        </w:tc>
        <w:tc>
          <w:tcPr>
            <w:tcW w:w="9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278,273</w:t>
            </w:r>
          </w:p>
        </w:tc>
        <w:tc>
          <w:tcPr>
            <w:tcW w:w="1120" w:type="dxa"/>
            <w:vAlign w:val="bottom"/>
            <w:gridSpan w:val="3"/>
          </w:tcPr>
          <w:p>
            <w:pPr>
              <w:ind w:left="460"/>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9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2,783,811</w:t>
            </w:r>
          </w:p>
        </w:tc>
        <w:tc>
          <w:tcPr>
            <w:tcW w:w="100" w:type="dxa"/>
            <w:vAlign w:val="bottom"/>
          </w:tcPr>
          <w:p>
            <w:pPr>
              <w:spacing w:after="0"/>
              <w:rPr>
                <w:sz w:val="12"/>
                <w:szCs w:val="12"/>
                <w:color w:val="auto"/>
              </w:rPr>
            </w:pPr>
          </w:p>
        </w:tc>
        <w:tc>
          <w:tcPr>
            <w:tcW w:w="7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(344,221)</w:t>
            </w:r>
          </w:p>
        </w:tc>
        <w:tc>
          <w:tcPr>
            <w:tcW w:w="11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-112.4%</w:t>
            </w:r>
          </w:p>
        </w:tc>
      </w:tr>
      <w:tr>
        <w:trPr>
          <w:trHeight w:val="148"/>
        </w:trPr>
        <w:tc>
          <w:tcPr>
            <w:tcW w:w="37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8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90"/>
        </w:trPr>
        <w:tc>
          <w:tcPr>
            <w:tcW w:w="3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profit attributable to BCP Consolidated</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945,886</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(803,113)</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278,273</w:t>
            </w:r>
          </w:p>
        </w:tc>
        <w:tc>
          <w:tcPr>
            <w:tcW w:w="1120" w:type="dxa"/>
            <w:vAlign w:val="bottom"/>
            <w:gridSpan w:val="3"/>
          </w:tcPr>
          <w:p>
            <w:pPr>
              <w:ind w:left="460"/>
              <w:spacing w:after="0"/>
              <w:rPr>
                <w:sz w:val="20"/>
                <w:szCs w:val="20"/>
                <w:color w:val="auto"/>
              </w:rPr>
            </w:pPr>
            <w:r>
              <w:rPr>
                <w:rFonts w:ascii="Times New Roman" w:cs="Times New Roman" w:eastAsia="Times New Roman" w:hAnsi="Times New Roman"/>
                <w:sz w:val="14"/>
                <w:szCs w:val="14"/>
                <w:color w:val="auto"/>
              </w:rPr>
              <w:t>n.a.</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-70.6%</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2,783,811</w:t>
            </w:r>
          </w:p>
        </w:tc>
        <w:tc>
          <w:tcPr>
            <w:tcW w:w="10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(344,221)</w:t>
            </w: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-112.4%</w:t>
            </w:r>
          </w:p>
        </w:tc>
      </w:tr>
    </w:tbl>
    <w:p>
      <w:pPr>
        <w:spacing w:after="0" w:line="169" w:lineRule="exact"/>
        <w:rPr>
          <w:sz w:val="20"/>
          <w:szCs w:val="20"/>
          <w:color w:val="auto"/>
        </w:rPr>
      </w:pPr>
    </w:p>
    <w:p>
      <w:pPr>
        <w:ind w:left="262" w:hanging="262"/>
        <w:spacing w:after="0"/>
        <w:tabs>
          <w:tab w:leader="none" w:pos="262"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2019, financing expenses related to lease agreements is included according to the application of IFRS 16.</w:t>
      </w:r>
    </w:p>
    <w:p>
      <w:pPr>
        <w:spacing w:after="0" w:line="27" w:lineRule="exact"/>
        <w:rPr>
          <w:rFonts w:ascii="Times New Roman" w:cs="Times New Roman" w:eastAsia="Times New Roman" w:hAnsi="Times New Roman"/>
          <w:sz w:val="18"/>
          <w:szCs w:val="18"/>
          <w:color w:val="auto"/>
        </w:rPr>
      </w:pPr>
    </w:p>
    <w:p>
      <w:pPr>
        <w:ind w:left="2" w:right="180" w:hanging="2"/>
        <w:spacing w:after="0" w:line="260" w:lineRule="auto"/>
        <w:tabs>
          <w:tab w:leader="none" w:pos="24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this quarter, the effect is being incorporated by the application of IFRS 16, which corresponds to a greater depreciation for the asset for right-of-use". Likewise, the expenses related to the depreciation of improvements in building for rent is being reclassified to the item "Other expenses".</w:t>
      </w:r>
    </w:p>
    <w:p>
      <w:pPr>
        <w:spacing w:after="0" w:line="39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2"/>
          </w:cols>
          <w:pgMar w:left="318" w:top="900" w:right="339" w:bottom="1440" w:gutter="0" w:footer="0" w:header="0"/>
        </w:sectPr>
      </w:pPr>
    </w:p>
    <w:bookmarkStart w:id="68" w:name="page69"/>
    <w:bookmarkEnd w:id="6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BANCO DE CREDITO DEL PERU</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FINANCIAL INDICATORS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2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06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600" w:type="dxa"/>
            <w:vAlign w:val="bottom"/>
            <w:tcBorders>
              <w:bottom w:val="single" w:sz="8" w:color="auto"/>
            </w:tcBorders>
            <w:gridSpan w:val="3"/>
          </w:tcPr>
          <w:p>
            <w:pPr>
              <w:ind w:left="1080"/>
              <w:spacing w:after="0"/>
              <w:rPr>
                <w:sz w:val="20"/>
                <w:szCs w:val="20"/>
                <w:color w:val="auto"/>
              </w:rPr>
            </w:pPr>
            <w:r>
              <w:rPr>
                <w:rFonts w:ascii="Times New Roman" w:cs="Times New Roman" w:eastAsia="Times New Roman" w:hAnsi="Times New Roman"/>
                <w:sz w:val="18"/>
                <w:szCs w:val="18"/>
                <w:b w:val="1"/>
                <w:bCs w:val="1"/>
                <w:color w:val="auto"/>
              </w:rPr>
              <w:t>YTD</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4320" w:type="dxa"/>
            <w:vAlign w:val="bottom"/>
          </w:tcPr>
          <w:p>
            <w:pPr>
              <w:spacing w:after="0"/>
              <w:rPr>
                <w:sz w:val="19"/>
                <w:szCs w:val="19"/>
                <w:color w:val="auto"/>
              </w:rPr>
            </w:pP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3Q19</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2Q20</w:t>
            </w:r>
          </w:p>
        </w:tc>
        <w:tc>
          <w:tcPr>
            <w:tcW w:w="10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3Q20</w:t>
            </w:r>
          </w:p>
        </w:tc>
        <w:tc>
          <w:tcPr>
            <w:tcW w:w="360" w:type="dxa"/>
            <w:vAlign w:val="bottom"/>
          </w:tcPr>
          <w:p>
            <w:pPr>
              <w:spacing w:after="0"/>
              <w:rPr>
                <w:sz w:val="19"/>
                <w:szCs w:val="19"/>
                <w:color w:val="auto"/>
              </w:rPr>
            </w:pPr>
          </w:p>
        </w:tc>
        <w:tc>
          <w:tcPr>
            <w:tcW w:w="16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Sep-19</w:t>
            </w:r>
          </w:p>
        </w:tc>
        <w:tc>
          <w:tcPr>
            <w:tcW w:w="9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Sep-20</w:t>
            </w:r>
          </w:p>
        </w:tc>
        <w:tc>
          <w:tcPr>
            <w:tcW w:w="160" w:type="dxa"/>
            <w:vAlign w:val="bottom"/>
          </w:tcPr>
          <w:p>
            <w:pPr>
              <w:spacing w:after="0"/>
              <w:rPr>
                <w:sz w:val="19"/>
                <w:szCs w:val="19"/>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Profitability</w:t>
            </w: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56"/>
        </w:trPr>
        <w:tc>
          <w:tcPr>
            <w:tcW w:w="4320" w:type="dxa"/>
            <w:vAlign w:val="bottom"/>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ROAA</w:t>
            </w:r>
            <w:r>
              <w:rPr>
                <w:rFonts w:ascii="Times New Roman" w:cs="Times New Roman" w:eastAsia="Times New Roman" w:hAnsi="Times New Roman"/>
                <w:sz w:val="13"/>
                <w:szCs w:val="13"/>
                <w:color w:val="auto"/>
              </w:rPr>
              <w:t xml:space="preserve"> (2)(3)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0.6%</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r>
      <w:tr>
        <w:trPr>
          <w:trHeight w:val="257"/>
        </w:trPr>
        <w:tc>
          <w:tcPr>
            <w:tcW w:w="4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29"/>
                <w:szCs w:val="29"/>
                <w:color w:val="auto"/>
                <w:vertAlign w:val="subscript"/>
              </w:rPr>
              <w:t>ROAE</w:t>
            </w:r>
            <w:r>
              <w:rPr>
                <w:rFonts w:ascii="Times New Roman" w:cs="Times New Roman" w:eastAsia="Times New Roman" w:hAnsi="Times New Roman"/>
                <w:sz w:val="13"/>
                <w:szCs w:val="13"/>
                <w:color w:val="auto"/>
              </w:rPr>
              <w:t xml:space="preserve"> (2)(3)</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21.3%</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-18.0%</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21.2%</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57"/>
        </w:trPr>
        <w:tc>
          <w:tcPr>
            <w:tcW w:w="4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interest margin </w:t>
            </w:r>
            <w:r>
              <w:rPr>
                <w:rFonts w:ascii="Times New Roman" w:cs="Times New Roman" w:eastAsia="Times New Roman" w:hAnsi="Times New Roman"/>
                <w:sz w:val="29"/>
                <w:szCs w:val="29"/>
                <w:color w:val="auto"/>
                <w:vertAlign w:val="superscript"/>
              </w:rPr>
              <w:t>(1)(2)</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4.84%</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3.73%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3.53%</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3.88%</w:t>
            </w:r>
          </w:p>
        </w:tc>
      </w:tr>
      <w:tr>
        <w:trPr>
          <w:trHeight w:val="257"/>
        </w:trPr>
        <w:tc>
          <w:tcPr>
            <w:tcW w:w="4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Risk adjusted NIM </w:t>
            </w:r>
            <w:r>
              <w:rPr>
                <w:rFonts w:ascii="Times New Roman" w:cs="Times New Roman" w:eastAsia="Times New Roman" w:hAnsi="Times New Roman"/>
                <w:sz w:val="29"/>
                <w:szCs w:val="29"/>
                <w:color w:val="auto"/>
                <w:vertAlign w:val="superscript"/>
              </w:rPr>
              <w:t>(1)(2)</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3.68%</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-1.52%</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1.58%</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3.78%</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0.51%</w:t>
            </w:r>
          </w:p>
        </w:tc>
      </w:tr>
      <w:tr>
        <w:trPr>
          <w:trHeight w:val="256"/>
        </w:trPr>
        <w:tc>
          <w:tcPr>
            <w:tcW w:w="4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Funding Cost </w:t>
            </w:r>
            <w:r>
              <w:rPr>
                <w:rFonts w:ascii="Times New Roman" w:cs="Times New Roman" w:eastAsia="Times New Roman" w:hAnsi="Times New Roman"/>
                <w:sz w:val="29"/>
                <w:szCs w:val="29"/>
                <w:color w:val="auto"/>
                <w:vertAlign w:val="superscript"/>
              </w:rPr>
              <w:t>(1)(2)</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1.58%</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Quality of loan portfolio</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IOL ratio</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2.65%</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2.87%</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2.81%</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NPL ratio</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3.99%</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3.59%</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4.07%</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Coverage of IOLs</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145.1%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217.3%</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223.2%</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145.1%</w:t>
            </w: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223.2%</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102.2%</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160.3%</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157.0%</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102.2%</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157.0%</w:t>
            </w:r>
          </w:p>
        </w:tc>
      </w:tr>
      <w:tr>
        <w:trPr>
          <w:trHeight w:val="257"/>
        </w:trPr>
        <w:tc>
          <w:tcPr>
            <w:tcW w:w="4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Cost of risk </w:t>
            </w:r>
            <w:r>
              <w:rPr>
                <w:rFonts w:ascii="Times New Roman" w:cs="Times New Roman" w:eastAsia="Times New Roman" w:hAnsi="Times New Roman"/>
                <w:sz w:val="29"/>
                <w:szCs w:val="29"/>
                <w:color w:val="auto"/>
                <w:vertAlign w:val="superscript"/>
              </w:rPr>
              <w:t>(3)</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7.17%</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4.63%</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efficiency</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57"/>
        </w:trPr>
        <w:tc>
          <w:tcPr>
            <w:tcW w:w="4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 expenses as a percent. of total income - reported </w:t>
            </w:r>
            <w:r>
              <w:rPr>
                <w:rFonts w:ascii="Times New Roman" w:cs="Times New Roman" w:eastAsia="Times New Roman" w:hAnsi="Times New Roman"/>
                <w:sz w:val="29"/>
                <w:szCs w:val="29"/>
                <w:color w:val="auto"/>
                <w:vertAlign w:val="superscript"/>
              </w:rPr>
              <w:t>(4)</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41.1%</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42.9%</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tcPr>
          <w:p>
            <w:pPr>
              <w:spacing w:after="0"/>
              <w:rPr>
                <w:sz w:val="22"/>
                <w:szCs w:val="22"/>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40.7%</w:t>
            </w:r>
          </w:p>
        </w:tc>
      </w:tr>
      <w:tr>
        <w:trPr>
          <w:trHeight w:val="257"/>
        </w:trPr>
        <w:tc>
          <w:tcPr>
            <w:tcW w:w="4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Oper. expenses as a percent. of av. tot. assets </w:t>
            </w:r>
            <w:r>
              <w:rPr>
                <w:rFonts w:ascii="Times New Roman" w:cs="Times New Roman" w:eastAsia="Times New Roman" w:hAnsi="Times New Roman"/>
                <w:sz w:val="29"/>
                <w:szCs w:val="29"/>
                <w:color w:val="auto"/>
                <w:vertAlign w:val="superscript"/>
              </w:rPr>
              <w:t>(1)(2)</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2.12%</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2.06%</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2.64%</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2.21%</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Capital adequacy</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regulatory capital (S/ Million)</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20,149</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21,027</w:t>
            </w:r>
          </w:p>
        </w:tc>
        <w:tc>
          <w:tcPr>
            <w:tcW w:w="14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21,528</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20,149</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21,528</w:t>
            </w:r>
          </w:p>
        </w:tc>
      </w:tr>
      <w:tr>
        <w:trPr>
          <w:trHeight w:val="257"/>
        </w:trPr>
        <w:tc>
          <w:tcPr>
            <w:tcW w:w="43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Tier 1 capital (S/ Million) </w:t>
            </w:r>
            <w:r>
              <w:rPr>
                <w:rFonts w:ascii="Times New Roman" w:cs="Times New Roman" w:eastAsia="Times New Roman" w:hAnsi="Times New Roman"/>
                <w:sz w:val="29"/>
                <w:szCs w:val="29"/>
                <w:color w:val="auto"/>
                <w:vertAlign w:val="superscript"/>
              </w:rPr>
              <w:t>(5)</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15,371</w:t>
            </w: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14,971</w:t>
            </w:r>
          </w:p>
        </w:tc>
        <w:tc>
          <w:tcPr>
            <w:tcW w:w="14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14,971</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15,371</w:t>
            </w:r>
          </w:p>
        </w:tc>
        <w:tc>
          <w:tcPr>
            <w:tcW w:w="160" w:type="dxa"/>
            <w:vAlign w:val="bottom"/>
          </w:tcPr>
          <w:p>
            <w:pPr>
              <w:spacing w:after="0"/>
              <w:rPr>
                <w:sz w:val="22"/>
                <w:szCs w:val="22"/>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14,971</w:t>
            </w:r>
          </w:p>
        </w:tc>
      </w:tr>
      <w:tr>
        <w:trPr>
          <w:trHeight w:val="257"/>
        </w:trPr>
        <w:tc>
          <w:tcPr>
            <w:tcW w:w="43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Common equity tier 1 ratio </w:t>
            </w:r>
            <w:r>
              <w:rPr>
                <w:rFonts w:ascii="Times New Roman" w:cs="Times New Roman" w:eastAsia="Times New Roman" w:hAnsi="Times New Roman"/>
                <w:sz w:val="29"/>
                <w:szCs w:val="29"/>
                <w:color w:val="auto"/>
                <w:vertAlign w:val="superscript"/>
              </w:rPr>
              <w:t>(6)</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11.95%</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11.22%</w:t>
            </w:r>
          </w:p>
        </w:tc>
        <w:tc>
          <w:tcPr>
            <w:tcW w:w="1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11.45%</w:t>
            </w:r>
          </w:p>
        </w:tc>
        <w:tc>
          <w:tcPr>
            <w:tcW w:w="14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11.95%</w:t>
            </w:r>
          </w:p>
        </w:tc>
        <w:tc>
          <w:tcPr>
            <w:tcW w:w="16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11.45%</w:t>
            </w:r>
          </w:p>
        </w:tc>
      </w:tr>
      <w:tr>
        <w:trPr>
          <w:trHeight w:val="39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BIS ratio </w:t>
            </w:r>
            <w:r>
              <w:rPr>
                <w:rFonts w:ascii="Times New Roman" w:cs="Times New Roman" w:eastAsia="Times New Roman" w:hAnsi="Times New Roman"/>
                <w:sz w:val="29"/>
                <w:szCs w:val="29"/>
                <w:color w:val="auto"/>
                <w:vertAlign w:val="superscript"/>
              </w:rPr>
              <w:t>(7)</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14.80%</w:t>
            </w:r>
          </w:p>
        </w:tc>
        <w:tc>
          <w:tcPr>
            <w:tcW w:w="1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15.39%</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15.45%</w:t>
            </w:r>
          </w:p>
        </w:tc>
        <w:tc>
          <w:tcPr>
            <w:tcW w:w="16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15.39%</w:t>
            </w:r>
          </w:p>
        </w:tc>
      </w:tr>
    </w:tbl>
    <w:p>
      <w:pPr>
        <w:spacing w:after="0" w:line="60" w:lineRule="exact"/>
        <w:rPr>
          <w:sz w:val="20"/>
          <w:szCs w:val="20"/>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Ratios are annualized.</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are determined as the average of period-beginning and period-ending balances.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risk: Annualized provision for loan losses / Total loans.</w:t>
      </w:r>
    </w:p>
    <w:p>
      <w:pPr>
        <w:spacing w:after="0" w:line="9" w:lineRule="exact"/>
        <w:rPr>
          <w:rFonts w:ascii="Times New Roman" w:cs="Times New Roman" w:eastAsia="Times New Roman" w:hAnsi="Times New Roman"/>
          <w:sz w:val="18"/>
          <w:szCs w:val="18"/>
          <w:color w:val="auto"/>
        </w:rPr>
      </w:pPr>
    </w:p>
    <w:p>
      <w:pPr>
        <w:ind w:firstLine="8"/>
        <w:spacing w:after="0" w:line="250" w:lineRule="auto"/>
        <w:tabs>
          <w:tab w:leader="none" w:pos="28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income includes net interest income, fee income, net gain on foreign exchange transactions, result on exchange difference and net gain on derivatives. Operating expenses includes Salaries and social benefits, administrative, general and tax expenses and depreciation and amortization.</w:t>
      </w:r>
    </w:p>
    <w:p>
      <w:pPr>
        <w:jc w:val="both"/>
        <w:ind w:firstLine="8"/>
        <w:spacing w:after="0" w:line="250" w:lineRule="auto"/>
        <w:tabs>
          <w:tab w:leader="none" w:pos="28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right="20" w:firstLine="8"/>
        <w:spacing w:after="0" w:line="250" w:lineRule="auto"/>
        <w:tabs>
          <w:tab w:leader="none" w:pos="262"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Equity Tier I = Capital + Reserves – 100% of applicable deductions (investment in subsidiaries, goodwill, intangibles and net deferred taxes that rely on future profitability) + retained earnings + unrealized gains.</w:t>
      </w:r>
    </w:p>
    <w:p>
      <w:pPr>
        <w:ind w:left="260" w:hanging="252"/>
        <w:spacing w:after="0"/>
        <w:tabs>
          <w:tab w:leader="none" w:pos="26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capital/ risk-weighted assets. Risk weighted assets include market risk and operational risk.</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11.5. Mibanco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MIBANCO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5"/>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80" w:type="dxa"/>
            <w:vAlign w:val="bottom"/>
            <w:tcBorders>
              <w:top w:val="single" w:sz="8" w:color="auto"/>
            </w:tcBorders>
            <w:gridSpan w:val="6"/>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080" w:type="dxa"/>
            <w:vAlign w:val="bottom"/>
            <w:tcBorders>
              <w:top w:val="single" w:sz="8" w:color="auto"/>
            </w:tcBorders>
            <w:gridSpan w:val="3"/>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w w:val="94"/>
              </w:rPr>
              <w:t>Sep 20</w:t>
            </w:r>
          </w:p>
        </w:tc>
        <w:tc>
          <w:tcPr>
            <w:tcW w:w="3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gridSpan w:val="3"/>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7"/>
              </w:rPr>
              <w:t>QoQ</w:t>
            </w:r>
          </w:p>
        </w:tc>
        <w:tc>
          <w:tcPr>
            <w:tcW w:w="12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60" w:type="dxa"/>
            <w:vAlign w:val="bottom"/>
            <w:tcBorders>
              <w:top w:val="single" w:sz="8" w:color="CCEEFF"/>
              <w:left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left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1,138,736</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1,516,399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1,532,886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1,608,428</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1,419,390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1,453,377</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10,348,630</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10,773,466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12,146,975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17.4%</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9,680,999</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9,963,251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11,271,599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Internal overdue loans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560,695</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710,551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732,964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Refinanced</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106,936</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142,412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42.9%</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-925,705</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-1,460,508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-1,807,822</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loans</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9,422,925</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9,312,957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10,339,153</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w:t>
            </w:r>
          </w:p>
        </w:tc>
        <w:tc>
          <w:tcPr>
            <w:tcW w:w="14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177,728</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163,287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158,793</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902,204</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996,259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1,073,139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16"/>
        </w:trPr>
        <w:tc>
          <w:tcPr>
            <w:tcW w:w="2600" w:type="dxa"/>
            <w:vAlign w:val="bottom"/>
          </w:tcPr>
          <w:p>
            <w:pPr>
              <w:ind w:left="150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13,250,021</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13,408,292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14,557,348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194"/>
        </w:trPr>
        <w:tc>
          <w:tcPr>
            <w:tcW w:w="3620" w:type="dxa"/>
            <w:vAlign w:val="bottom"/>
            <w:gridSpan w:val="3"/>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LIABILITIES AND NET SHAREHOLDERS’</w:t>
            </w: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760" w:type="dxa"/>
            <w:vAlign w:val="bottom"/>
            <w:tcBorders>
              <w:left w:val="single" w:sz="8" w:color="CCEEFF"/>
            </w:tcBorders>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0" w:type="dxa"/>
            <w:vAlign w:val="bottom"/>
            <w:tcBorders>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color w:val="auto"/>
              </w:rPr>
              <w:t>8,279,992</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8,137,844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8,289,196</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1,920,244</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2,403,370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2,138,329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175,534</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132,599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color w:val="auto"/>
              </w:rPr>
              <w:t>134,995</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740,737</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885,695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2,307,485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160.5%</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211.5%</w:t>
            </w:r>
          </w:p>
        </w:tc>
        <w:tc>
          <w:tcPr>
            <w:tcW w:w="0" w:type="dxa"/>
            <w:vAlign w:val="bottom"/>
          </w:tcPr>
          <w:p>
            <w:pPr>
              <w:spacing w:after="0"/>
              <w:rPr>
                <w:sz w:val="1"/>
                <w:szCs w:val="1"/>
                <w:color w:val="auto"/>
              </w:rPr>
            </w:pPr>
          </w:p>
        </w:tc>
      </w:tr>
      <w:tr>
        <w:trPr>
          <w:trHeight w:val="216"/>
        </w:trPr>
        <w:tc>
          <w:tcPr>
            <w:tcW w:w="2600" w:type="dxa"/>
            <w:vAlign w:val="bottom"/>
          </w:tcPr>
          <w:p>
            <w:pPr>
              <w:ind w:left="13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11,116,507</w:t>
            </w:r>
          </w:p>
        </w:tc>
        <w:tc>
          <w:tcPr>
            <w:tcW w:w="240" w:type="dxa"/>
            <w:vAlign w:val="bottom"/>
          </w:tcPr>
          <w:p>
            <w:pPr>
              <w:spacing w:after="0"/>
              <w:rPr>
                <w:sz w:val="18"/>
                <w:szCs w:val="18"/>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11,559,509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12,870,004</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760" w:type="dxa"/>
            <w:vAlign w:val="bottom"/>
            <w:tcBorders>
              <w:lef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780" w:type="dxa"/>
            <w:vAlign w:val="bottom"/>
            <w:tcBorders>
              <w:right w:val="single" w:sz="8" w:color="CCEEFF"/>
            </w:tcBorders>
            <w:gridSpan w:val="6"/>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2,133,514</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1,848,784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1,687,344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-8.7%</w:t>
            </w:r>
          </w:p>
        </w:tc>
        <w:tc>
          <w:tcPr>
            <w:tcW w:w="14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w:t>
            </w:r>
          </w:p>
        </w:tc>
        <w:tc>
          <w:tcPr>
            <w:tcW w:w="0" w:type="dxa"/>
            <w:vAlign w:val="bottom"/>
          </w:tcPr>
          <w:p>
            <w:pPr>
              <w:spacing w:after="0"/>
              <w:rPr>
                <w:sz w:val="1"/>
                <w:szCs w:val="1"/>
                <w:color w:val="auto"/>
              </w:rPr>
            </w:pPr>
          </w:p>
        </w:tc>
      </w:tr>
      <w:tr>
        <w:trPr>
          <w:trHeight w:val="194"/>
        </w:trPr>
        <w:tc>
          <w:tcPr>
            <w:tcW w:w="26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7"/>
              </w:rPr>
              <w:t>TOTAL LIABILITIES AND NET</w:t>
            </w: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80" w:type="dxa"/>
            <w:vAlign w:val="bottom"/>
            <w:gridSpan w:val="6"/>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13,250,021</w:t>
            </w:r>
          </w:p>
        </w:tc>
        <w:tc>
          <w:tcPr>
            <w:tcW w:w="240" w:type="dxa"/>
            <w:vAlign w:val="bottom"/>
          </w:tcPr>
          <w:p>
            <w:pPr>
              <w:spacing w:after="0"/>
              <w:rPr>
                <w:sz w:val="20"/>
                <w:szCs w:val="20"/>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13,408,292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14,557,348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9.9%</w:t>
            </w:r>
          </w:p>
        </w:tc>
        <w:tc>
          <w:tcPr>
            <w:tcW w:w="0" w:type="dxa"/>
            <w:vAlign w:val="bottom"/>
          </w:tcPr>
          <w:p>
            <w:pPr>
              <w:spacing w:after="0"/>
              <w:rPr>
                <w:sz w:val="1"/>
                <w:szCs w:val="1"/>
                <w:color w:val="auto"/>
              </w:rPr>
            </w:pPr>
          </w:p>
        </w:tc>
      </w:tr>
      <w:tr>
        <w:trPr>
          <w:trHeight w:val="445"/>
        </w:trPr>
        <w:tc>
          <w:tcPr>
            <w:tcW w:w="2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342F42"/>
              </w:rPr>
              <w:t>Quarter</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5"/>
          </w:tcPr>
          <w:p>
            <w:pPr>
              <w:ind w:left="480"/>
              <w:spacing w:after="0"/>
              <w:rPr>
                <w:sz w:val="20"/>
                <w:szCs w:val="20"/>
                <w:color w:val="auto"/>
              </w:rPr>
            </w:pPr>
            <w:r>
              <w:rPr>
                <w:rFonts w:ascii="Times New Roman" w:cs="Times New Roman" w:eastAsia="Times New Roman" w:hAnsi="Times New Roman"/>
                <w:sz w:val="18"/>
                <w:szCs w:val="18"/>
                <w:b w:val="1"/>
                <w:bCs w:val="1"/>
                <w:color w:val="auto"/>
                <w:w w:val="96"/>
              </w:rPr>
              <w:t>% change</w:t>
            </w: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YTD</w:t>
            </w:r>
          </w:p>
        </w:tc>
        <w:tc>
          <w:tcPr>
            <w:tcW w:w="14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26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342F42"/>
              </w:rPr>
              <w:t>3Q19</w:t>
            </w: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342F42"/>
              </w:rPr>
              <w:t>2Q20</w:t>
            </w: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342F42"/>
              </w:rPr>
              <w:t>3Q20</w:t>
            </w:r>
          </w:p>
        </w:tc>
        <w:tc>
          <w:tcPr>
            <w:tcW w:w="240" w:type="dxa"/>
            <w:vAlign w:val="bottom"/>
          </w:tcPr>
          <w:p>
            <w:pPr>
              <w:spacing w:after="0"/>
              <w:rPr>
                <w:sz w:val="19"/>
                <w:szCs w:val="19"/>
                <w:color w:val="auto"/>
              </w:rPr>
            </w:pPr>
          </w:p>
        </w:tc>
        <w:tc>
          <w:tcPr>
            <w:tcW w:w="1080" w:type="dxa"/>
            <w:vAlign w:val="bottom"/>
            <w:tcBorders>
              <w:top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342F42"/>
                <w:w w:val="97"/>
              </w:rPr>
              <w:t>QoQ</w:t>
            </w: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342F42"/>
                <w:w w:val="85"/>
              </w:rPr>
              <w:t>YoY</w:t>
            </w:r>
          </w:p>
        </w:tc>
        <w:tc>
          <w:tcPr>
            <w:tcW w:w="2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342F42"/>
              </w:rPr>
              <w:t>Sep 19</w:t>
            </w:r>
          </w:p>
        </w:tc>
        <w:tc>
          <w:tcPr>
            <w:tcW w:w="820" w:type="dxa"/>
            <w:vAlign w:val="bottom"/>
            <w:tcBorders>
              <w:top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342F42"/>
              </w:rPr>
              <w:t>Sep 20</w:t>
            </w:r>
          </w:p>
        </w:tc>
        <w:tc>
          <w:tcPr>
            <w:tcW w:w="260" w:type="dxa"/>
            <w:vAlign w:val="bottom"/>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342F42"/>
              </w:rPr>
              <w:t>Sep 20 / Sep 19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342F42"/>
              </w:rPr>
              <w:t>Net interest income</w:t>
            </w:r>
          </w:p>
        </w:tc>
        <w:tc>
          <w:tcPr>
            <w:tcW w:w="76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780" w:type="dxa"/>
            <w:vAlign w:val="bottom"/>
            <w:tcBorders>
              <w:right w:val="single" w:sz="8" w:color="CCEEFF"/>
            </w:tcBorders>
            <w:gridSpan w:val="2"/>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gridSpan w:val="3"/>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26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600" w:type="dxa"/>
            <w:vAlign w:val="bottom"/>
            <w:vMerge w:val="continue"/>
            <w:shd w:val="clear" w:color="auto" w:fill="CCEEFF"/>
          </w:tcPr>
          <w:p>
            <w:pPr>
              <w:spacing w:after="0"/>
              <w:rPr>
                <w:sz w:val="18"/>
                <w:szCs w:val="18"/>
                <w:color w:val="auto"/>
              </w:rPr>
            </w:pPr>
          </w:p>
        </w:tc>
        <w:tc>
          <w:tcPr>
            <w:tcW w:w="760" w:type="dxa"/>
            <w:vAlign w:val="bottom"/>
            <w:tcBorders>
              <w:lef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342F42"/>
              </w:rPr>
              <w:t>478,189</w:t>
            </w:r>
          </w:p>
        </w:tc>
        <w:tc>
          <w:tcPr>
            <w:tcW w:w="260" w:type="dxa"/>
            <w:vAlign w:val="bottom"/>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42F42"/>
              </w:rPr>
              <w:t>265,259</w:t>
            </w:r>
          </w:p>
        </w:tc>
        <w:tc>
          <w:tcPr>
            <w:tcW w:w="18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7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413,164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rPr>
              <w:t>55.8%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rPr>
              <w:t>-13.6%</w:t>
            </w:r>
          </w:p>
        </w:tc>
        <w:tc>
          <w:tcPr>
            <w:tcW w:w="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342F42"/>
                <w:w w:val="99"/>
              </w:rPr>
              <w:t>1,420,019</w:t>
            </w:r>
          </w:p>
        </w:tc>
        <w:tc>
          <w:tcPr>
            <w:tcW w:w="260" w:type="dxa"/>
            <w:vAlign w:val="bottom"/>
            <w:vMerge w:val="continue"/>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342F42"/>
              </w:rPr>
              <w:t>1,163,502</w:t>
            </w:r>
          </w:p>
        </w:tc>
        <w:tc>
          <w:tcPr>
            <w:tcW w:w="260" w:type="dxa"/>
            <w:vAlign w:val="bottom"/>
            <w:vMerge w:val="continue"/>
            <w:shd w:val="clear" w:color="auto" w:fill="CCEEFF"/>
          </w:tcPr>
          <w:p>
            <w:pPr>
              <w:spacing w:after="0"/>
              <w:rPr>
                <w:sz w:val="18"/>
                <w:szCs w:val="18"/>
                <w:color w:val="auto"/>
              </w:rPr>
            </w:pP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42F42"/>
              </w:rPr>
              <w:t>-18.1%</w:t>
            </w:r>
          </w:p>
        </w:tc>
        <w:tc>
          <w:tcPr>
            <w:tcW w:w="0" w:type="dxa"/>
            <w:vAlign w:val="bottom"/>
          </w:tcPr>
          <w:p>
            <w:pPr>
              <w:spacing w:after="0"/>
              <w:rPr>
                <w:sz w:val="1"/>
                <w:szCs w:val="1"/>
                <w:color w:val="auto"/>
              </w:rPr>
            </w:pPr>
          </w:p>
        </w:tc>
      </w:tr>
      <w:tr>
        <w:trPr>
          <w:trHeight w:val="198"/>
        </w:trPr>
        <w:tc>
          <w:tcPr>
            <w:tcW w:w="26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342F42"/>
              </w:rPr>
              <w:t>Provision for loan losses, net of</w:t>
            </w: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recoveries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42F42"/>
              </w:rPr>
              <w:t>-115,458</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342F42"/>
              </w:rPr>
              <w:t>-406,604</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-385,892</w:t>
            </w:r>
          </w:p>
        </w:tc>
        <w:tc>
          <w:tcPr>
            <w:tcW w:w="2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234 2%</w:t>
            </w:r>
          </w:p>
        </w:tc>
        <w:tc>
          <w:tcPr>
            <w:tcW w:w="80" w:type="dxa"/>
            <w:vAlign w:val="bottom"/>
          </w:tcPr>
          <w:p>
            <w:pPr>
              <w:spacing w:after="0"/>
              <w:rPr>
                <w:sz w:val="20"/>
                <w:szCs w:val="20"/>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342F42"/>
              </w:rPr>
              <w:t>-311,500</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42F42"/>
              </w:rPr>
              <w:t>-972,335</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42F42"/>
              </w:rPr>
              <w:t>212.1%</w:t>
            </w:r>
          </w:p>
        </w:tc>
        <w:tc>
          <w:tcPr>
            <w:tcW w:w="0" w:type="dxa"/>
            <w:vAlign w:val="bottom"/>
          </w:tcPr>
          <w:p>
            <w:pPr>
              <w:spacing w:after="0"/>
              <w:rPr>
                <w:sz w:val="1"/>
                <w:szCs w:val="1"/>
                <w:color w:val="auto"/>
              </w:rPr>
            </w:pPr>
          </w:p>
        </w:tc>
      </w:tr>
      <w:tr>
        <w:trPr>
          <w:trHeight w:val="194"/>
        </w:trPr>
        <w:tc>
          <w:tcPr>
            <w:tcW w:w="26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342F42"/>
              </w:rPr>
              <w:t>Net interest income after</w:t>
            </w:r>
          </w:p>
        </w:tc>
        <w:tc>
          <w:tcPr>
            <w:tcW w:w="760" w:type="dxa"/>
            <w:vAlign w:val="bottom"/>
            <w:tcBorders>
              <w:left w:val="single" w:sz="8" w:color="CCEEFF"/>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60" w:type="dxa"/>
            <w:vAlign w:val="bottom"/>
            <w:tcBorders>
              <w:lef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342F42"/>
              </w:rPr>
              <w:t>provisions</w:t>
            </w:r>
          </w:p>
        </w:tc>
        <w:tc>
          <w:tcPr>
            <w:tcW w:w="102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rPr>
              <w:t>362,731</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342F42"/>
              </w:rPr>
              <w:t>-141,345</w:t>
            </w:r>
          </w:p>
        </w:tc>
        <w:tc>
          <w:tcPr>
            <w:tcW w:w="8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342F42"/>
              </w:rPr>
              <w:t>27,272</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342F42"/>
              </w:rPr>
              <w:t>-119.3%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342F42"/>
              </w:rPr>
              <w:t>-92.5%</w:t>
            </w:r>
          </w:p>
        </w:tc>
        <w:tc>
          <w:tcPr>
            <w:tcW w:w="80" w:type="dxa"/>
            <w:vAlign w:val="bottom"/>
            <w:shd w:val="clear" w:color="auto" w:fill="CCEEFF"/>
          </w:tcPr>
          <w:p>
            <w:pPr>
              <w:spacing w:after="0"/>
              <w:rPr>
                <w:sz w:val="20"/>
                <w:szCs w:val="20"/>
                <w:color w:val="auto"/>
              </w:rPr>
            </w:pPr>
          </w:p>
        </w:tc>
        <w:tc>
          <w:tcPr>
            <w:tcW w:w="10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w w:val="99"/>
              </w:rPr>
              <w:t>1,108,519</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rPr>
              <w:t>191,166</w:t>
            </w:r>
          </w:p>
        </w:tc>
        <w:tc>
          <w:tcPr>
            <w:tcW w:w="1440" w:type="dxa"/>
            <w:vAlign w:val="bottom"/>
            <w:tcBorders>
              <w:lef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342F42"/>
              </w:rPr>
              <w:t>-82.8%</w:t>
            </w:r>
          </w:p>
        </w:tc>
        <w:tc>
          <w:tcPr>
            <w:tcW w:w="0" w:type="dxa"/>
            <w:vAlign w:val="bottom"/>
          </w:tcPr>
          <w:p>
            <w:pPr>
              <w:spacing w:after="0"/>
              <w:rPr>
                <w:sz w:val="1"/>
                <w:szCs w:val="1"/>
                <w:color w:val="auto"/>
              </w:rPr>
            </w:pPr>
          </w:p>
        </w:tc>
      </w:tr>
      <w:tr>
        <w:trPr>
          <w:trHeight w:val="256"/>
        </w:trPr>
        <w:tc>
          <w:tcPr>
            <w:tcW w:w="26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342F42"/>
              </w:rPr>
              <w:t xml:space="preserve">Non-financial income </w:t>
            </w:r>
            <w:r>
              <w:rPr>
                <w:rFonts w:ascii="Times New Roman" w:cs="Times New Roman" w:eastAsia="Times New Roman" w:hAnsi="Times New Roman"/>
                <w:sz w:val="29"/>
                <w:szCs w:val="29"/>
                <w:color w:val="342F42"/>
                <w:vertAlign w:val="superscript"/>
              </w:rPr>
              <w:t>(1)</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42F42"/>
              </w:rPr>
              <w:t>43,262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342F42"/>
              </w:rPr>
              <w:t>1,970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5,548</w:t>
            </w:r>
          </w:p>
        </w:tc>
        <w:tc>
          <w:tcPr>
            <w:tcW w:w="240" w:type="dxa"/>
            <w:vAlign w:val="bottom"/>
          </w:tcPr>
          <w:p>
            <w:pPr>
              <w:spacing w:after="0"/>
              <w:rPr>
                <w:sz w:val="22"/>
                <w:szCs w:val="22"/>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181.7%</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-87.2%</w:t>
            </w:r>
          </w:p>
        </w:tc>
        <w:tc>
          <w:tcPr>
            <w:tcW w:w="80" w:type="dxa"/>
            <w:vAlign w:val="bottom"/>
          </w:tcPr>
          <w:p>
            <w:pPr>
              <w:spacing w:after="0"/>
              <w:rPr>
                <w:sz w:val="22"/>
                <w:szCs w:val="22"/>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342F42"/>
              </w:rPr>
              <w:t>132,791</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42F42"/>
              </w:rPr>
              <w:t>48,356</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42F42"/>
              </w:rPr>
              <w:t>-63.6%</w:t>
            </w: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342F42"/>
              </w:rPr>
              <w:t xml:space="preserve">Total expenses </w:t>
            </w:r>
            <w:r>
              <w:rPr>
                <w:rFonts w:ascii="Times New Roman" w:cs="Times New Roman" w:eastAsia="Times New Roman" w:hAnsi="Times New Roman"/>
                <w:sz w:val="29"/>
                <w:szCs w:val="29"/>
                <w:color w:val="342F42"/>
                <w:vertAlign w:val="superscript"/>
              </w:rPr>
              <w:t>(1)</w:t>
            </w:r>
          </w:p>
        </w:tc>
        <w:tc>
          <w:tcPr>
            <w:tcW w:w="102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-268,766</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42F42"/>
              </w:rPr>
              <w:t>-258,435</w:t>
            </w:r>
          </w:p>
        </w:tc>
        <w:tc>
          <w:tcPr>
            <w:tcW w:w="8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-257,773</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rPr>
              <w:t>-0.3%</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rPr>
              <w:t>-4.1%</w:t>
            </w:r>
          </w:p>
        </w:tc>
        <w:tc>
          <w:tcPr>
            <w:tcW w:w="80" w:type="dxa"/>
            <w:vAlign w:val="bottom"/>
            <w:shd w:val="clear" w:color="auto" w:fill="CCEEFF"/>
          </w:tcPr>
          <w:p>
            <w:pPr>
              <w:spacing w:after="0"/>
              <w:rPr>
                <w:sz w:val="22"/>
                <w:szCs w:val="22"/>
                <w:color w:val="auto"/>
              </w:rPr>
            </w:pPr>
          </w:p>
        </w:tc>
        <w:tc>
          <w:tcPr>
            <w:tcW w:w="10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-823,583</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-811,175</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42F42"/>
              </w:rPr>
              <w:t>-1.5%</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Translation result</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42F42"/>
              </w:rPr>
              <w:t>-</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342F42"/>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w:t>
            </w:r>
          </w:p>
        </w:tc>
        <w:tc>
          <w:tcPr>
            <w:tcW w:w="2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342F42"/>
              </w:rPr>
              <w:t>0.0%</w:t>
            </w:r>
          </w:p>
        </w:tc>
        <w:tc>
          <w:tcPr>
            <w:tcW w:w="80" w:type="dxa"/>
            <w:vAlign w:val="bottom"/>
          </w:tcPr>
          <w:p>
            <w:pPr>
              <w:spacing w:after="0"/>
              <w:rPr>
                <w:sz w:val="18"/>
                <w:szCs w:val="18"/>
                <w:color w:val="auto"/>
              </w:rPr>
            </w:pP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342F42"/>
              </w:rPr>
              <w:t>-</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342F42"/>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342F42"/>
              </w:rPr>
              <w:t>0.0%</w:t>
            </w: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42F42"/>
              </w:rPr>
              <w:t>Income taxes</w:t>
            </w:r>
          </w:p>
        </w:tc>
        <w:tc>
          <w:tcPr>
            <w:tcW w:w="102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-39,895</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42F42"/>
              </w:rPr>
              <w:t>120,108</w:t>
            </w:r>
          </w:p>
        </w:tc>
        <w:tc>
          <w:tcPr>
            <w:tcW w:w="8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66,568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rPr>
              <w:t>-44.6%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342F42"/>
                <w:w w:val="97"/>
              </w:rPr>
              <w:t>-266.9%</w:t>
            </w: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-119,344</w:t>
            </w:r>
          </w:p>
        </w:tc>
        <w:tc>
          <w:tcPr>
            <w:tcW w:w="10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169,659</w:t>
            </w:r>
          </w:p>
        </w:tc>
        <w:tc>
          <w:tcPr>
            <w:tcW w:w="1440" w:type="dxa"/>
            <w:vAlign w:val="bottom"/>
            <w:tcBorders>
              <w:lef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342F42"/>
              </w:rPr>
              <w:t>-242.2%</w:t>
            </w: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b w:val="1"/>
                <w:bCs w:val="1"/>
                <w:color w:val="342F42"/>
              </w:rPr>
              <w:t>Net income</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rPr>
              <w:t>97,332</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342F42"/>
              </w:rPr>
              <w:t>-277,703</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342F42"/>
              </w:rPr>
              <w:t>-158,385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342F42"/>
              </w:rPr>
              <w:t>-43.0%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b w:val="1"/>
                <w:bCs w:val="1"/>
                <w:color w:val="342F42"/>
              </w:rPr>
              <w:t>n.a.</w:t>
            </w:r>
          </w:p>
        </w:tc>
        <w:tc>
          <w:tcPr>
            <w:tcW w:w="10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rPr>
              <w:t>298.384</w:t>
            </w: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342F42"/>
              </w:rPr>
              <w:t>-401.993</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342F42"/>
              </w:rPr>
              <w:t>n.a.</w:t>
            </w:r>
          </w:p>
        </w:tc>
        <w:tc>
          <w:tcPr>
            <w:tcW w:w="0" w:type="dxa"/>
            <w:vAlign w:val="bottom"/>
          </w:tcPr>
          <w:p>
            <w:pPr>
              <w:spacing w:after="0"/>
              <w:rPr>
                <w:sz w:val="1"/>
                <w:szCs w:val="1"/>
                <w:color w:val="auto"/>
              </w:rPr>
            </w:pPr>
          </w:p>
        </w:tc>
      </w:tr>
      <w:tr>
        <w:trPr>
          <w:trHeight w:val="198"/>
        </w:trPr>
        <w:tc>
          <w:tcPr>
            <w:tcW w:w="26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342F42"/>
              </w:rPr>
              <w:t xml:space="preserve">Efficiency ratio </w:t>
            </w:r>
            <w:r>
              <w:rPr>
                <w:rFonts w:ascii="Times New Roman" w:cs="Times New Roman" w:eastAsia="Times New Roman" w:hAnsi="Times New Roman"/>
                <w:sz w:val="29"/>
                <w:szCs w:val="29"/>
                <w:color w:val="342F42"/>
                <w:vertAlign w:val="superscript"/>
              </w:rPr>
              <w:t>(1)</w:t>
            </w:r>
          </w:p>
        </w:tc>
        <w:tc>
          <w:tcPr>
            <w:tcW w:w="7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-3500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vMerge w:val="continue"/>
            <w:shd w:val="clear" w:color="auto" w:fill="CCEEFF"/>
          </w:tcPr>
          <w:p>
            <w:pPr>
              <w:spacing w:after="0"/>
              <w:rPr>
                <w:sz w:val="20"/>
                <w:szCs w:val="20"/>
                <w:color w:val="auto"/>
              </w:rPr>
            </w:pPr>
          </w:p>
        </w:tc>
        <w:tc>
          <w:tcPr>
            <w:tcW w:w="10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50.8%</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93.7%</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42F42"/>
              </w:rPr>
              <w:t>58.7%</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000" w:type="dxa"/>
            <w:vAlign w:val="bottom"/>
            <w:gridSpan w:val="5"/>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790 bps</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52.6%</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65.2%</w:t>
            </w:r>
          </w:p>
        </w:tc>
        <w:tc>
          <w:tcPr>
            <w:tcW w:w="144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42F42"/>
              </w:rPr>
              <w:t>1260 bps</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2010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ROAE</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42F42"/>
              </w:rPr>
              <w:t>18.7%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-55.9%</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342F42"/>
              </w:rPr>
              <w:t>-35.8%</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n.a.</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342F42"/>
              </w:rPr>
              <w:t>19.7%</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342F42"/>
              </w:rPr>
              <w:t>-28.4%</w:t>
            </w: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342F42"/>
              </w:rPr>
              <w:t>n.a.</w:t>
            </w: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1900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42F42"/>
              </w:rPr>
              <w:t>ROAE incl. goowdill</w:t>
            </w:r>
          </w:p>
        </w:tc>
        <w:tc>
          <w:tcPr>
            <w:tcW w:w="10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17.5%</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-52.2%</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42F42"/>
              </w:rPr>
              <w:t>-33.2%</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n.a.</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18.4%</w:t>
            </w:r>
          </w:p>
        </w:tc>
        <w:tc>
          <w:tcPr>
            <w:tcW w:w="10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-26.4%</w:t>
            </w:r>
          </w:p>
        </w:tc>
        <w:tc>
          <w:tcPr>
            <w:tcW w:w="1440" w:type="dxa"/>
            <w:vAlign w:val="bottom"/>
            <w:tcBorders>
              <w:left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42F42"/>
              </w:rPr>
              <w:t>n.a.</w:t>
            </w: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1410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2150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L/D ratio</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42F42"/>
              </w:rPr>
              <w:t>125.0%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132.4%</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342F42"/>
              </w:rPr>
              <w:t>146.5%</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42F42"/>
              </w:rPr>
              <w:t>IOL ratio</w:t>
            </w:r>
          </w:p>
        </w:tc>
        <w:tc>
          <w:tcPr>
            <w:tcW w:w="10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5.4%</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6.6%</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42F42"/>
              </w:rPr>
              <w:t>6.0%</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-60 bps</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w w:val="96"/>
              </w:rPr>
              <w:t>60 bps</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NPL ratio</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42F42"/>
              </w:rPr>
              <w:t>6.5%</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7.5%</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342F42"/>
              </w:rPr>
              <w:t>7.2%</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-30 bps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w w:val="96"/>
              </w:rPr>
              <w:t>70 bps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00" w:type="dxa"/>
            <w:vAlign w:val="bottom"/>
            <w:shd w:val="clear" w:color="auto" w:fill="CCEEFF"/>
          </w:tcPr>
          <w:p>
            <w:pPr>
              <w:spacing w:after="0"/>
              <w:rPr>
                <w:sz w:val="17"/>
                <w:szCs w:val="17"/>
                <w:color w:val="auto"/>
              </w:rPr>
            </w:pPr>
          </w:p>
        </w:tc>
        <w:tc>
          <w:tcPr>
            <w:tcW w:w="760" w:type="dxa"/>
            <w:vAlign w:val="bottom"/>
            <w:tcBorders>
              <w:left w:val="single" w:sz="8" w:color="CCEEFF"/>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4110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8150</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60" w:type="dxa"/>
            <w:vAlign w:val="bottom"/>
            <w:tcBorders>
              <w:lef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342F42"/>
              </w:rPr>
              <w:t>Coverage of IOLs</w:t>
            </w:r>
          </w:p>
        </w:tc>
        <w:tc>
          <w:tcPr>
            <w:tcW w:w="10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342F42"/>
              </w:rPr>
              <w:t>165.1%</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205.5%</w:t>
            </w:r>
          </w:p>
        </w:tc>
        <w:tc>
          <w:tcPr>
            <w:tcW w:w="11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342F42"/>
              </w:rPr>
              <w:t>246.6%</w:t>
            </w:r>
          </w:p>
        </w:tc>
        <w:tc>
          <w:tcPr>
            <w:tcW w:w="108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6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2620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2"/>
          </w:tcPr>
          <w:p>
            <w:pPr>
              <w:jc w:val="right"/>
              <w:ind w:right="280"/>
              <w:spacing w:after="0" w:line="198" w:lineRule="exact"/>
              <w:rPr>
                <w:sz w:val="20"/>
                <w:szCs w:val="20"/>
                <w:color w:val="auto"/>
              </w:rPr>
            </w:pPr>
            <w:r>
              <w:rPr>
                <w:rFonts w:ascii="Times New Roman" w:cs="Times New Roman" w:eastAsia="Times New Roman" w:hAnsi="Times New Roman"/>
                <w:sz w:val="18"/>
                <w:szCs w:val="18"/>
                <w:color w:val="342F42"/>
              </w:rPr>
              <w:t>6780</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Coverage of NPLs</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342F42"/>
              </w:rPr>
              <w:t>138.7%</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180.3%</w:t>
            </w:r>
          </w:p>
        </w:tc>
        <w:tc>
          <w:tcPr>
            <w:tcW w:w="11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342F42"/>
              </w:rPr>
              <w:t>206.5%</w:t>
            </w:r>
          </w:p>
        </w:tc>
        <w:tc>
          <w:tcPr>
            <w:tcW w:w="108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342F42"/>
              </w:rPr>
              <w:t>bps</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6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342F42"/>
              </w:rPr>
              <w:t xml:space="preserve">Branches </w:t>
            </w:r>
            <w:r>
              <w:rPr>
                <w:rFonts w:ascii="Times New Roman" w:cs="Times New Roman" w:eastAsia="Times New Roman" w:hAnsi="Times New Roman"/>
                <w:sz w:val="29"/>
                <w:szCs w:val="29"/>
                <w:color w:val="342F42"/>
                <w:vertAlign w:val="superscript"/>
              </w:rPr>
              <w:t>(2)</w:t>
            </w:r>
          </w:p>
        </w:tc>
        <w:tc>
          <w:tcPr>
            <w:tcW w:w="1020" w:type="dxa"/>
            <w:vAlign w:val="bottom"/>
            <w:tcBorders>
              <w:left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342F42"/>
              </w:rPr>
              <w:t>324</w:t>
            </w: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342F42"/>
              </w:rPr>
              <w:t>324</w:t>
            </w:r>
          </w:p>
        </w:tc>
        <w:tc>
          <w:tcPr>
            <w:tcW w:w="860" w:type="dxa"/>
            <w:vAlign w:val="bottom"/>
            <w:tcBorders>
              <w:right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342F42"/>
              </w:rPr>
              <w:t>323</w:t>
            </w: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42F42"/>
              </w:rPr>
              <w:t>-1</w:t>
            </w:r>
          </w:p>
        </w:tc>
        <w:tc>
          <w:tcPr>
            <w:tcW w:w="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7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342F42"/>
              </w:rPr>
              <w:t>-1</w:t>
            </w:r>
          </w:p>
        </w:tc>
        <w:tc>
          <w:tcPr>
            <w:tcW w:w="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tcBorders>
              <w:left w:val="single" w:sz="8" w:color="CCEEFF"/>
            </w:tcBorders>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342F42"/>
              </w:rPr>
              <w:t>Employees</w:t>
            </w: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342F42"/>
              </w:rPr>
              <w:t>11,355</w:t>
            </w: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342F42"/>
              </w:rPr>
              <w:t>11,388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342F42"/>
              </w:rPr>
              <w:t>11,133</w:t>
            </w:r>
          </w:p>
        </w:tc>
        <w:tc>
          <w:tcPr>
            <w:tcW w:w="240" w:type="dxa"/>
            <w:vAlign w:val="bottom"/>
          </w:tcPr>
          <w:p>
            <w:pPr>
              <w:spacing w:after="0"/>
              <w:rPr>
                <w:sz w:val="20"/>
                <w:szCs w:val="20"/>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42F42"/>
              </w:rPr>
              <w:t>-255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342F42"/>
              </w:rPr>
              <w:t>-222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80" w:hanging="172"/>
        <w:spacing w:after="0"/>
        <w:tabs>
          <w:tab w:leader="none" w:pos="1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Figures differ than previously reported, consider the data presented in this report.</w:t>
      </w:r>
    </w:p>
    <w:p>
      <w:pPr>
        <w:ind w:left="180" w:hanging="172"/>
        <w:spacing w:after="0"/>
        <w:tabs>
          <w:tab w:leader="none" w:pos="18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Banco de la Nacion branches, which in September-19, June-20 and September-20 were 35.</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11.6. BCP Bolivia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BCP BOLIVIA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S/ thousands, IFRS)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20" w:type="dxa"/>
            <w:vAlign w:val="bottom"/>
            <w:gridSpan w:val="7"/>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Borders>
              <w:top w:val="single" w:sz="8" w:color="auto"/>
            </w:tcBorders>
            <w:gridSpan w:val="7"/>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Sep 19</w:t>
            </w:r>
          </w:p>
        </w:tc>
        <w:tc>
          <w:tcPr>
            <w:tcW w:w="1300" w:type="dxa"/>
            <w:vAlign w:val="bottom"/>
            <w:tcBorders>
              <w:top w:val="single" w:sz="8" w:color="auto"/>
            </w:tcBorders>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86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24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QoQ</w:t>
            </w: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Pr>
          <w:p>
            <w:pPr>
              <w:spacing w:after="0"/>
              <w:rPr>
                <w:sz w:val="19"/>
                <w:szCs w:val="19"/>
                <w:color w:val="auto"/>
              </w:rPr>
            </w:pPr>
          </w:p>
        </w:tc>
      </w:tr>
      <w:tr>
        <w:trPr>
          <w:trHeight w:val="209"/>
        </w:trPr>
        <w:tc>
          <w:tcPr>
            <w:tcW w:w="2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7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1,458,634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1,902,835</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2,184,964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1,293,203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1,410,359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1,282,579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loans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7,653,370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8,374,583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8,449,617</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7,479,263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8,221,417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8,321,906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Internal overdue loans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155,533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128,441</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100,875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-35.1%</w:t>
            </w:r>
          </w:p>
        </w:tc>
      </w:tr>
      <w:tr>
        <w:trPr>
          <w:trHeight w:val="216"/>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Refinanced</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18,573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24,725</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26,835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2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Allowance for loan losses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color w:val="auto"/>
              </w:rPr>
              <w:t>(235,398)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(376,247)</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(434,471)</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84.6%</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loans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6"/>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7,417,972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9"/>
              </w:rPr>
              <w:t>7,998,336</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8,015,146</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49,972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50,950</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50,678</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113,729</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175,573</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192,489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69.3%</w:t>
            </w:r>
          </w:p>
        </w:tc>
      </w:tr>
      <w:tr>
        <w:trPr>
          <w:trHeight w:val="216"/>
        </w:trPr>
        <w:tc>
          <w:tcPr>
            <w:tcW w:w="3660" w:type="dxa"/>
            <w:vAlign w:val="bottom"/>
            <w:gridSpan w:val="3"/>
          </w:tcPr>
          <w:p>
            <w:pPr>
              <w:ind w:left="20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10,333,511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11,538,053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11,725,856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216"/>
        </w:trPr>
        <w:tc>
          <w:tcPr>
            <w:tcW w:w="470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NET SHAREHOLDERS' EQUITY</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Deposits and obligations</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color w:val="auto"/>
              </w:rPr>
              <w:t>8,985,603</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9"/>
              </w:rPr>
              <w:t>9,990,773</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10,023,973</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banks and correspondents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29,501</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54,571</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83,660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183.6%</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Bonds and subordinated debt</w:t>
            </w: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w w:val="99"/>
              </w:rPr>
              <w:t>105,678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111,239</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110,625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9"/>
              </w:rPr>
              <w:t>478,255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683,892</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824,117</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72.3%</w:t>
            </w:r>
          </w:p>
        </w:tc>
      </w:tr>
      <w:tr>
        <w:trPr>
          <w:trHeight w:val="216"/>
        </w:trPr>
        <w:tc>
          <w:tcPr>
            <w:tcW w:w="3660" w:type="dxa"/>
            <w:vAlign w:val="bottom"/>
            <w:gridSpan w:val="3"/>
          </w:tcPr>
          <w:p>
            <w:pPr>
              <w:ind w:left="19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9,599,036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10,840,474</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11,042,375</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15.0%</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equity</w:t>
            </w: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99"/>
              </w:rPr>
              <w:t>734,474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697,579</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683,481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w:t>
            </w:r>
          </w:p>
        </w:tc>
      </w:tr>
      <w:tr>
        <w:trPr>
          <w:trHeight w:val="238"/>
        </w:trPr>
        <w:tc>
          <w:tcPr>
            <w:tcW w:w="49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w w:val="99"/>
              </w:rPr>
              <w:t>TOTAL LIABILITIES AND NET SHAREHOLDERS' EQUITY</w:t>
            </w:r>
          </w:p>
        </w:tc>
        <w:tc>
          <w:tcPr>
            <w:tcW w:w="1380" w:type="dxa"/>
            <w:vAlign w:val="bottom"/>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10,333,511</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11,538,053</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11,725,856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13.5%</w:t>
            </w:r>
          </w:p>
        </w:tc>
      </w:tr>
      <w:tr>
        <w:trPr>
          <w:trHeight w:val="869"/>
        </w:trPr>
        <w:tc>
          <w:tcPr>
            <w:tcW w:w="2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700" w:type="dxa"/>
            <w:vAlign w:val="bottom"/>
            <w:gridSpan w:val="9"/>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24"/>
                <w:szCs w:val="24"/>
                <w:color w:val="auto"/>
              </w:rPr>
            </w:pPr>
          </w:p>
        </w:tc>
        <w:tc>
          <w:tcPr>
            <w:tcW w:w="1080" w:type="dxa"/>
            <w:vAlign w:val="bottom"/>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w w:val="99"/>
              </w:rPr>
              <w:t>YTD</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23"/>
        </w:trPr>
        <w:tc>
          <w:tcPr>
            <w:tcW w:w="2660" w:type="dxa"/>
            <w:vAlign w:val="bottom"/>
            <w:tcBorders>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3Q19</w:t>
            </w:r>
          </w:p>
        </w:tc>
        <w:tc>
          <w:tcPr>
            <w:tcW w:w="300" w:type="dxa"/>
            <w:vAlign w:val="bottom"/>
            <w:tcBorders>
              <w:top w:val="single" w:sz="8" w:color="auto"/>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2Q20</w:t>
            </w:r>
          </w:p>
        </w:tc>
        <w:tc>
          <w:tcPr>
            <w:tcW w:w="300" w:type="dxa"/>
            <w:vAlign w:val="bottom"/>
            <w:tcBorders>
              <w:top w:val="single" w:sz="8" w:color="auto"/>
              <w:bottom w:val="single" w:sz="8" w:color="CCEEFF"/>
            </w:tcBorders>
          </w:tcPr>
          <w:p>
            <w:pPr>
              <w:spacing w:after="0"/>
              <w:rPr>
                <w:sz w:val="19"/>
                <w:szCs w:val="19"/>
                <w:color w:val="auto"/>
              </w:rPr>
            </w:pPr>
          </w:p>
        </w:tc>
        <w:tc>
          <w:tcPr>
            <w:tcW w:w="700" w:type="dxa"/>
            <w:vAlign w:val="bottom"/>
            <w:tcBorders>
              <w:top w:val="single" w:sz="8" w:color="auto"/>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3Q20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QoQ</w:t>
            </w:r>
          </w:p>
        </w:tc>
        <w:tc>
          <w:tcPr>
            <w:tcW w:w="6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YoY</w:t>
            </w:r>
          </w:p>
        </w:tc>
        <w:tc>
          <w:tcPr>
            <w:tcW w:w="240" w:type="dxa"/>
            <w:vAlign w:val="bottom"/>
            <w:tcBorders>
              <w:bottom w:val="single" w:sz="8" w:color="CCEEFF"/>
            </w:tcBorders>
            <w:gridSpan w:val="2"/>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7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Sep-18</w:t>
            </w:r>
          </w:p>
        </w:tc>
        <w:tc>
          <w:tcPr>
            <w:tcW w:w="300" w:type="dxa"/>
            <w:vAlign w:val="bottom"/>
            <w:tcBorders>
              <w:top w:val="single" w:sz="8" w:color="auto"/>
              <w:bottom w:val="single" w:sz="8" w:color="CCEEFF"/>
            </w:tcBorders>
            <w:gridSpan w:val="3"/>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Sep-19</w:t>
            </w:r>
          </w:p>
        </w:tc>
        <w:tc>
          <w:tcPr>
            <w:tcW w:w="200" w:type="dxa"/>
            <w:vAlign w:val="bottom"/>
            <w:tcBorders>
              <w:bottom w:val="single" w:sz="8" w:color="CCEEFF"/>
            </w:tcBorders>
            <w:gridSpan w:val="2"/>
          </w:tcPr>
          <w:p>
            <w:pPr>
              <w:spacing w:after="0"/>
              <w:rPr>
                <w:sz w:val="19"/>
                <w:szCs w:val="19"/>
                <w:color w:val="auto"/>
              </w:rPr>
            </w:pPr>
          </w:p>
        </w:tc>
        <w:tc>
          <w:tcPr>
            <w:tcW w:w="11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Sep 20 / Sep 19</w:t>
            </w:r>
          </w:p>
        </w:tc>
        <w:tc>
          <w:tcPr>
            <w:tcW w:w="180" w:type="dxa"/>
            <w:vAlign w:val="bottom"/>
            <w:tcBorders>
              <w:bottom w:val="single" w:sz="8" w:color="CCEEFF"/>
            </w:tcBorders>
          </w:tcPr>
          <w:p>
            <w:pPr>
              <w:spacing w:after="0"/>
              <w:rPr>
                <w:sz w:val="19"/>
                <w:szCs w:val="19"/>
                <w:color w:val="auto"/>
              </w:rPr>
            </w:pPr>
          </w:p>
        </w:tc>
      </w:tr>
      <w:tr>
        <w:trPr>
          <w:trHeight w:val="20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84,321</w:t>
            </w: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83,164</w:t>
            </w:r>
          </w:p>
        </w:tc>
        <w:tc>
          <w:tcPr>
            <w:tcW w:w="3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91,255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243,063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261,065</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w:t>
            </w:r>
          </w:p>
        </w:tc>
      </w:tr>
      <w:tr>
        <w:trPr>
          <w:trHeight w:val="198"/>
        </w:trPr>
        <w:tc>
          <w:tcPr>
            <w:tcW w:w="2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Provision for loan losses, net of</w:t>
            </w: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4"/>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recoveries</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(8,866)</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(100,707)</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(71,996)</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140" w:type="dxa"/>
            <w:vAlign w:val="bottom"/>
          </w:tcPr>
          <w:p>
            <w:pPr>
              <w:spacing w:after="0"/>
              <w:rPr>
                <w:sz w:val="20"/>
                <w:szCs w:val="20"/>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(36,885)</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9"/>
              </w:rPr>
              <w:t>(208,712)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465.9%</w:t>
            </w:r>
          </w:p>
        </w:tc>
      </w:tr>
      <w:tr>
        <w:trPr>
          <w:trHeight w:val="194"/>
        </w:trPr>
        <w:tc>
          <w:tcPr>
            <w:tcW w:w="26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Net interest income after</w:t>
            </w:r>
          </w:p>
        </w:tc>
        <w:tc>
          <w:tcPr>
            <w:tcW w:w="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38"/>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provisions</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75,455</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-17,543</w:t>
            </w:r>
          </w:p>
        </w:tc>
        <w:tc>
          <w:tcPr>
            <w:tcW w:w="84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19,260</w:t>
            </w:r>
          </w:p>
        </w:tc>
        <w:tc>
          <w:tcPr>
            <w:tcW w:w="1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-209.8%</w:t>
            </w:r>
          </w:p>
        </w:tc>
        <w:tc>
          <w:tcPr>
            <w:tcW w:w="116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-74.5%</w:t>
            </w: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206,178</w:t>
            </w:r>
          </w:p>
        </w:tc>
        <w:tc>
          <w:tcPr>
            <w:tcW w:w="2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52,352</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-74.6%</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Non-financial income</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34,036</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24,951</w:t>
            </w:r>
          </w:p>
        </w:tc>
        <w:tc>
          <w:tcPr>
            <w:tcW w:w="84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27,561</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1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auto"/>
              </w:rPr>
              <w:t>-19.0%</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93,280</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78,964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(66,523)</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(55,334)</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(61,480)</w:t>
            </w:r>
          </w:p>
        </w:tc>
        <w:tc>
          <w:tcPr>
            <w:tcW w:w="1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1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-7.6%</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(199,668)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9"/>
              </w:rPr>
              <w:t>(180,838)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Translation result</w:t>
            </w: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8"/>
                <w:szCs w:val="18"/>
                <w:color w:val="auto"/>
              </w:rPr>
            </w:pPr>
          </w:p>
        </w:tc>
        <w:tc>
          <w:tcPr>
            <w:tcW w:w="5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(93)</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-341.3%</w:t>
            </w:r>
          </w:p>
        </w:tc>
        <w:tc>
          <w:tcPr>
            <w:tcW w:w="14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(82)</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477.2%</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(17,386)</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8,305</w:t>
            </w:r>
          </w:p>
        </w:tc>
        <w:tc>
          <w:tcPr>
            <w:tcW w:w="84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(6,165)</w:t>
            </w:r>
          </w:p>
        </w:tc>
        <w:tc>
          <w:tcPr>
            <w:tcW w:w="114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160" w:type="dxa"/>
            <w:vAlign w:val="bottom"/>
            <w:gridSpan w:val="5"/>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-64.5%</w:t>
            </w:r>
          </w:p>
        </w:tc>
        <w:tc>
          <w:tcPr>
            <w:tcW w:w="110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(34,755)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-88.3%</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25,575</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(39,582)</w:t>
            </w:r>
          </w:p>
        </w:tc>
        <w:tc>
          <w:tcPr>
            <w:tcW w:w="84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(20,916)</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47.2%</w:t>
            </w:r>
          </w:p>
        </w:tc>
        <w:tc>
          <w:tcPr>
            <w:tcW w:w="116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-181.8%</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65,021</w:t>
            </w: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(53,670)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-182.5%</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Efficiency ratio</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56.8%</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51.0%</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 bps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-560 bps</w:t>
            </w:r>
          </w:p>
        </w:tc>
        <w:tc>
          <w:tcPr>
            <w:tcW w:w="11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-710 pbs</w:t>
            </w:r>
          </w:p>
        </w:tc>
      </w:tr>
      <w:tr>
        <w:trPr>
          <w:trHeight w:val="230"/>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ROAE</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-22.5%</w:t>
            </w:r>
          </w:p>
        </w:tc>
        <w:tc>
          <w:tcPr>
            <w:tcW w:w="280" w:type="dxa"/>
            <w:vAlign w:val="bottom"/>
          </w:tcPr>
          <w:p>
            <w:pPr>
              <w:spacing w:after="0"/>
              <w:rPr>
                <w:sz w:val="19"/>
                <w:szCs w:val="19"/>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tcPr>
          <w:p>
            <w:pPr>
              <w:spacing w:after="0"/>
              <w:rPr>
                <w:sz w:val="19"/>
                <w:szCs w:val="19"/>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1040 bps</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-2648 bps</w:t>
            </w: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-105 pbs</w:t>
            </w: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L/D ratio</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83.8%</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 bps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-88 bps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IOL ratio</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6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-30 bps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-84 bps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NPL ratio</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2.27%</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-30 bps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-76 bps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Coverage of IOLs</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151.3%</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292.9%</w:t>
            </w:r>
          </w:p>
        </w:tc>
        <w:tc>
          <w:tcPr>
            <w:tcW w:w="280" w:type="dxa"/>
            <w:vAlign w:val="bottom"/>
          </w:tcPr>
          <w:p>
            <w:pPr>
              <w:spacing w:after="0"/>
              <w:rPr>
                <w:sz w:val="18"/>
                <w:szCs w:val="18"/>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430.7%</w:t>
            </w:r>
          </w:p>
        </w:tc>
        <w:tc>
          <w:tcPr>
            <w:tcW w:w="160" w:type="dxa"/>
            <w:vAlign w:val="bottom"/>
          </w:tcPr>
          <w:p>
            <w:pPr>
              <w:spacing w:after="0"/>
              <w:rPr>
                <w:sz w:val="18"/>
                <w:szCs w:val="18"/>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13780 bps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27935 bps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Coverage of NPLs</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135.2%</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245.6%</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340.2%</w:t>
            </w:r>
          </w:p>
        </w:tc>
        <w:tc>
          <w:tcPr>
            <w:tcW w:w="16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9460 bps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20500 bps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Branches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56</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Agentes</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438</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583</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664</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81</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660" w:type="dxa"/>
            <w:vAlign w:val="bottom"/>
          </w:tcPr>
          <w:p>
            <w:pPr>
              <w:spacing w:after="0"/>
              <w:rPr>
                <w:sz w:val="20"/>
                <w:szCs w:val="20"/>
                <w:color w:val="auto"/>
              </w:rPr>
            </w:pPr>
            <w:r>
              <w:rPr>
                <w:rFonts w:ascii="Times New Roman" w:cs="Times New Roman" w:eastAsia="Times New Roman" w:hAnsi="Times New Roman"/>
                <w:sz w:val="18"/>
                <w:szCs w:val="18"/>
                <w:color w:val="auto"/>
              </w:rPr>
              <w:t>ATMs</w:t>
            </w: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303</w:t>
            </w:r>
          </w:p>
        </w:tc>
        <w:tc>
          <w:tcPr>
            <w:tcW w:w="10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tcPr>
          <w:p>
            <w:pPr>
              <w:spacing w:after="0"/>
              <w:rPr>
                <w:sz w:val="18"/>
                <w:szCs w:val="18"/>
                <w:color w:val="auto"/>
              </w:rPr>
            </w:pPr>
          </w:p>
        </w:tc>
        <w:tc>
          <w:tcPr>
            <w:tcW w:w="5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310</w:t>
            </w:r>
          </w:p>
        </w:tc>
        <w:tc>
          <w:tcPr>
            <w:tcW w:w="10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8"/>
                <w:szCs w:val="18"/>
                <w:color w:val="auto"/>
              </w:rPr>
            </w:pPr>
          </w:p>
        </w:tc>
        <w:tc>
          <w:tcPr>
            <w:tcW w:w="96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29"/>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Employees</w:t>
            </w:r>
          </w:p>
        </w:tc>
        <w:tc>
          <w:tcPr>
            <w:tcW w:w="1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1,732</w:t>
            </w: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1,692</w:t>
            </w:r>
          </w:p>
        </w:tc>
        <w:tc>
          <w:tcPr>
            <w:tcW w:w="280" w:type="dxa"/>
            <w:vAlign w:val="bottom"/>
            <w:shd w:val="clear" w:color="auto" w:fill="CCEEFF"/>
          </w:tcPr>
          <w:p>
            <w:pPr>
              <w:spacing w:after="0"/>
              <w:rPr>
                <w:sz w:val="19"/>
                <w:szCs w:val="19"/>
                <w:color w:val="auto"/>
              </w:rPr>
            </w:pPr>
          </w:p>
        </w:tc>
        <w:tc>
          <w:tcPr>
            <w:tcW w:w="5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8"/>
              </w:rPr>
              <w:t>1,659</w:t>
            </w:r>
          </w:p>
        </w:tc>
        <w:tc>
          <w:tcPr>
            <w:tcW w:w="10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w:t>
            </w:r>
          </w:p>
        </w:tc>
        <w:tc>
          <w:tcPr>
            <w:tcW w:w="140" w:type="dxa"/>
            <w:vAlign w:val="bottom"/>
            <w:shd w:val="clear" w:color="auto" w:fill="CCEEFF"/>
          </w:tcPr>
          <w:p>
            <w:pPr>
              <w:spacing w:after="0"/>
              <w:rPr>
                <w:sz w:val="19"/>
                <w:szCs w:val="19"/>
                <w:color w:val="auto"/>
              </w:rPr>
            </w:pPr>
          </w:p>
        </w:tc>
        <w:tc>
          <w:tcPr>
            <w:tcW w:w="96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648"/>
        </w:trPr>
        <w:tc>
          <w:tcPr>
            <w:tcW w:w="26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68</w:t>
            </w:r>
          </w:p>
        </w:tc>
      </w:tr>
    </w:tbl>
    <w:p>
      <w:pPr>
        <w:sectPr>
          <w:pgSz w:w="11900" w:h="16838" w:orient="portrait"/>
          <w:cols w:equalWidth="0" w:num="1">
            <w:col w:w="11240"/>
          </w:cols>
          <w:pgMar w:left="320" w:top="90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11.7. Credicorp Capital</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2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Credicorp Capital</w:t>
            </w: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Quarter</w:t>
            </w: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tcPr>
          <w:p>
            <w:pPr>
              <w:ind w:left="620"/>
              <w:spacing w:after="0"/>
              <w:rPr>
                <w:sz w:val="20"/>
                <w:szCs w:val="20"/>
                <w:color w:val="auto"/>
              </w:rPr>
            </w:pPr>
            <w:r>
              <w:rPr>
                <w:rFonts w:ascii="Times New Roman" w:cs="Times New Roman" w:eastAsia="Times New Roman" w:hAnsi="Times New Roman"/>
                <w:sz w:val="13"/>
                <w:szCs w:val="13"/>
                <w:b w:val="1"/>
                <w:bCs w:val="1"/>
                <w:color w:val="auto"/>
              </w:rPr>
              <w:t>% change</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3"/>
          </w:tcPr>
          <w:p>
            <w:pPr>
              <w:ind w:left="760"/>
              <w:spacing w:after="0"/>
              <w:rPr>
                <w:sz w:val="20"/>
                <w:szCs w:val="20"/>
                <w:color w:val="auto"/>
              </w:rPr>
            </w:pPr>
            <w:r>
              <w:rPr>
                <w:rFonts w:ascii="Times New Roman" w:cs="Times New Roman" w:eastAsia="Times New Roman" w:hAnsi="Times New Roman"/>
                <w:sz w:val="13"/>
                <w:szCs w:val="13"/>
                <w:b w:val="1"/>
                <w:bCs w:val="1"/>
                <w:color w:val="auto"/>
              </w:rPr>
              <w:t>Year</w:t>
            </w: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 change</w:t>
            </w:r>
          </w:p>
        </w:tc>
      </w:tr>
      <w:tr>
        <w:trPr>
          <w:trHeight w:val="142"/>
        </w:trPr>
        <w:tc>
          <w:tcPr>
            <w:tcW w:w="31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S/ 000</w:t>
            </w:r>
          </w:p>
        </w:tc>
        <w:tc>
          <w:tcPr>
            <w:tcW w:w="12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3Q19</w:t>
            </w:r>
          </w:p>
        </w:tc>
        <w:tc>
          <w:tcPr>
            <w:tcW w:w="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2Q20</w:t>
            </w: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3Q20</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Times New Roman" w:cs="Times New Roman" w:eastAsia="Times New Roman" w:hAnsi="Times New Roman"/>
                <w:sz w:val="13"/>
                <w:szCs w:val="13"/>
                <w:b w:val="1"/>
                <w:bCs w:val="1"/>
                <w:color w:val="auto"/>
              </w:rPr>
              <w:t>QoQ</w:t>
            </w:r>
          </w:p>
        </w:tc>
        <w:tc>
          <w:tcPr>
            <w:tcW w:w="2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Times New Roman" w:cs="Times New Roman" w:eastAsia="Times New Roman" w:hAnsi="Times New Roman"/>
                <w:sz w:val="13"/>
                <w:szCs w:val="13"/>
                <w:b w:val="1"/>
                <w:bCs w:val="1"/>
                <w:color w:val="auto"/>
              </w:rPr>
              <w:t>YoY</w:t>
            </w:r>
          </w:p>
        </w:tc>
        <w:tc>
          <w:tcPr>
            <w:tcW w:w="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Set 19</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3"/>
                <w:szCs w:val="13"/>
                <w:b w:val="1"/>
                <w:bCs w:val="1"/>
                <w:color w:val="auto"/>
              </w:rPr>
              <w:t>Set 20</w:t>
            </w:r>
          </w:p>
        </w:tc>
        <w:tc>
          <w:tcPr>
            <w:tcW w:w="22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w w:val="95"/>
              </w:rPr>
              <w:t>Set 20 / Set 19</w:t>
            </w:r>
          </w:p>
        </w:tc>
        <w:tc>
          <w:tcPr>
            <w:tcW w:w="140" w:type="dxa"/>
            <w:vAlign w:val="bottom"/>
            <w:tcBorders>
              <w:bottom w:val="single" w:sz="8" w:color="CCEEFF"/>
            </w:tcBorders>
          </w:tcPr>
          <w:p>
            <w:pPr>
              <w:spacing w:after="0"/>
              <w:rPr>
                <w:sz w:val="12"/>
                <w:szCs w:val="12"/>
                <w:color w:val="auto"/>
              </w:rPr>
            </w:pPr>
          </w:p>
        </w:tc>
      </w:tr>
      <w:tr>
        <w:trPr>
          <w:trHeight w:val="128"/>
        </w:trPr>
        <w:tc>
          <w:tcPr>
            <w:tcW w:w="31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Net interest income</w:t>
            </w: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-9,271</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-8,785</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-5,017</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-42.9%</w:t>
            </w:r>
          </w:p>
        </w:tc>
        <w:tc>
          <w:tcPr>
            <w:tcW w:w="20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-0.45885</w:t>
            </w:r>
          </w:p>
        </w:tc>
        <w:tc>
          <w:tcPr>
            <w:tcW w:w="24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-24,568</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-23,245</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-5.4%</w:t>
            </w:r>
          </w:p>
        </w:tc>
      </w:tr>
      <w:tr>
        <w:trPr>
          <w:trHeight w:val="135"/>
        </w:trPr>
        <w:tc>
          <w:tcPr>
            <w:tcW w:w="3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Non-financial income</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141,907</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159,421</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185,903</w:t>
            </w:r>
          </w:p>
        </w:tc>
        <w:tc>
          <w:tcPr>
            <w:tcW w:w="10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0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31.0%</w:t>
            </w: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432,637</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482,288</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11.5%</w:t>
            </w:r>
          </w:p>
        </w:tc>
      </w:tr>
      <w:tr>
        <w:trPr>
          <w:trHeight w:val="135"/>
        </w:trPr>
        <w:tc>
          <w:tcPr>
            <w:tcW w:w="32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Fee income</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96,586</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86,830</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133,469</w:t>
            </w:r>
          </w:p>
        </w:tc>
        <w:tc>
          <w:tcPr>
            <w:tcW w:w="10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53.7%</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38.2%</w:t>
            </w: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281,880</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324,550</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15.1%</w:t>
            </w:r>
          </w:p>
        </w:tc>
      </w:tr>
      <w:tr>
        <w:trPr>
          <w:trHeight w:val="135"/>
        </w:trPr>
        <w:tc>
          <w:tcPr>
            <w:tcW w:w="32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gain on foreign exchange transactions</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11,469</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3,602</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9,121</w:t>
            </w:r>
          </w:p>
        </w:tc>
        <w:tc>
          <w:tcPr>
            <w:tcW w:w="10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153.2%</w:t>
            </w:r>
          </w:p>
        </w:tc>
        <w:tc>
          <w:tcPr>
            <w:tcW w:w="20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-20.5%</w:t>
            </w: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30,635</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14,270</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-53.4%</w:t>
            </w:r>
          </w:p>
        </w:tc>
      </w:tr>
      <w:tr>
        <w:trPr>
          <w:trHeight w:val="135"/>
        </w:trPr>
        <w:tc>
          <w:tcPr>
            <w:tcW w:w="32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Net gain on sales of securities</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32,455</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70,118</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61,578</w:t>
            </w:r>
          </w:p>
        </w:tc>
        <w:tc>
          <w:tcPr>
            <w:tcW w:w="10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-12.2%</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89.7%</w:t>
            </w: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130,392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111,221</w:t>
            </w:r>
          </w:p>
        </w:tc>
        <w:tc>
          <w:tcPr>
            <w:tcW w:w="900" w:type="dxa"/>
            <w:vAlign w:val="bottom"/>
            <w:gridSpan w:val="2"/>
            <w:shd w:val="clear" w:color="auto" w:fill="CCEEFF"/>
          </w:tcPr>
          <w:p>
            <w:pPr>
              <w:jc w:val="right"/>
              <w:spacing w:after="0" w:line="135" w:lineRule="exact"/>
              <w:rPr>
                <w:sz w:val="20"/>
                <w:szCs w:val="20"/>
                <w:color w:val="auto"/>
              </w:rPr>
            </w:pPr>
            <w:r>
              <w:rPr>
                <w:rFonts w:ascii="Times New Roman" w:cs="Times New Roman" w:eastAsia="Times New Roman" w:hAnsi="Times New Roman"/>
                <w:sz w:val="13"/>
                <w:szCs w:val="13"/>
                <w:color w:val="auto"/>
              </w:rPr>
              <w:t>-14.7%</w:t>
            </w:r>
          </w:p>
        </w:tc>
      </w:tr>
      <w:tr>
        <w:trPr>
          <w:trHeight w:val="135"/>
        </w:trPr>
        <w:tc>
          <w:tcPr>
            <w:tcW w:w="3280" w:type="dxa"/>
            <w:vAlign w:val="bottom"/>
            <w:gridSpan w:val="2"/>
          </w:tcPr>
          <w:p>
            <w:pPr>
              <w:ind w:left="180"/>
              <w:spacing w:after="0" w:line="135" w:lineRule="exact"/>
              <w:rPr>
                <w:sz w:val="20"/>
                <w:szCs w:val="20"/>
                <w:color w:val="auto"/>
              </w:rPr>
            </w:pPr>
            <w:r>
              <w:rPr>
                <w:rFonts w:ascii="Times New Roman" w:cs="Times New Roman" w:eastAsia="Times New Roman" w:hAnsi="Times New Roman"/>
                <w:sz w:val="13"/>
                <w:szCs w:val="13"/>
                <w:color w:val="auto"/>
              </w:rPr>
              <w:t>Derivative Result</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123</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-20,388</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-26,956</w:t>
            </w:r>
          </w:p>
        </w:tc>
        <w:tc>
          <w:tcPr>
            <w:tcW w:w="10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32.2%</w:t>
            </w:r>
          </w:p>
        </w:tc>
        <w:tc>
          <w:tcPr>
            <w:tcW w:w="200" w:type="dxa"/>
            <w:vAlign w:val="bottom"/>
          </w:tcPr>
          <w:p>
            <w:pPr>
              <w:spacing w:after="0"/>
              <w:rPr>
                <w:sz w:val="11"/>
                <w:szCs w:val="11"/>
                <w:color w:val="auto"/>
              </w:rPr>
            </w:pPr>
          </w:p>
        </w:tc>
        <w:tc>
          <w:tcPr>
            <w:tcW w:w="800" w:type="dxa"/>
            <w:vAlign w:val="bottom"/>
            <w:gridSpan w:val="2"/>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-29,153</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-3,393</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-88.4%</w:t>
            </w:r>
          </w:p>
        </w:tc>
      </w:tr>
      <w:tr>
        <w:trPr>
          <w:trHeight w:val="135"/>
        </w:trPr>
        <w:tc>
          <w:tcPr>
            <w:tcW w:w="3280" w:type="dxa"/>
            <w:vAlign w:val="bottom"/>
            <w:gridSpan w:val="2"/>
            <w:shd w:val="clear" w:color="auto" w:fill="CCEEFF"/>
          </w:tcPr>
          <w:p>
            <w:pPr>
              <w:ind w:left="180"/>
              <w:spacing w:after="0" w:line="135" w:lineRule="exact"/>
              <w:rPr>
                <w:sz w:val="20"/>
                <w:szCs w:val="20"/>
                <w:color w:val="auto"/>
              </w:rPr>
            </w:pPr>
            <w:r>
              <w:rPr>
                <w:rFonts w:ascii="Times New Roman" w:cs="Times New Roman" w:eastAsia="Times New Roman" w:hAnsi="Times New Roman"/>
                <w:sz w:val="13"/>
                <w:szCs w:val="13"/>
                <w:color w:val="auto"/>
              </w:rPr>
              <w:t>Result from exposure to the exchange rate</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389</w:t>
            </w:r>
          </w:p>
        </w:tc>
        <w:tc>
          <w:tcPr>
            <w:tcW w:w="1040" w:type="dxa"/>
            <w:vAlign w:val="bottom"/>
            <w:gridSpan w:val="2"/>
            <w:shd w:val="clear" w:color="auto" w:fill="CCEEFF"/>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15,601</w:t>
            </w:r>
          </w:p>
        </w:tc>
        <w:tc>
          <w:tcPr>
            <w:tcW w:w="9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5,306</w:t>
            </w:r>
          </w:p>
        </w:tc>
        <w:tc>
          <w:tcPr>
            <w:tcW w:w="102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-66.0%</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177"/>
              <w:spacing w:after="0" w:line="135" w:lineRule="exact"/>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shd w:val="clear" w:color="auto" w:fill="CCEEFF"/>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1,002</w:t>
            </w: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21,077</w:t>
            </w:r>
          </w:p>
        </w:tc>
        <w:tc>
          <w:tcPr>
            <w:tcW w:w="900" w:type="dxa"/>
            <w:vAlign w:val="bottom"/>
            <w:gridSpan w:val="2"/>
            <w:shd w:val="clear" w:color="auto" w:fill="CCEEFF"/>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N/A</w:t>
            </w:r>
          </w:p>
        </w:tc>
      </w:tr>
      <w:tr>
        <w:trPr>
          <w:trHeight w:val="135"/>
        </w:trPr>
        <w:tc>
          <w:tcPr>
            <w:tcW w:w="32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color w:val="auto"/>
              </w:rPr>
              <w:t>Other income</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885</w:t>
            </w:r>
          </w:p>
        </w:tc>
        <w:tc>
          <w:tcPr>
            <w:tcW w:w="104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3,658</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3,385</w:t>
            </w:r>
          </w:p>
        </w:tc>
        <w:tc>
          <w:tcPr>
            <w:tcW w:w="102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-7.5%</w:t>
            </w:r>
          </w:p>
        </w:tc>
        <w:tc>
          <w:tcPr>
            <w:tcW w:w="200" w:type="dxa"/>
            <w:vAlign w:val="bottom"/>
          </w:tcPr>
          <w:p>
            <w:pPr>
              <w:spacing w:after="0"/>
              <w:rPr>
                <w:sz w:val="11"/>
                <w:szCs w:val="11"/>
                <w:color w:val="auto"/>
              </w:rPr>
            </w:pPr>
          </w:p>
        </w:tc>
        <w:tc>
          <w:tcPr>
            <w:tcW w:w="800" w:type="dxa"/>
            <w:vAlign w:val="bottom"/>
            <w:gridSpan w:val="2"/>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282.5%</w:t>
            </w:r>
          </w:p>
        </w:tc>
        <w:tc>
          <w:tcPr>
            <w:tcW w:w="980" w:type="dxa"/>
            <w:vAlign w:val="bottom"/>
            <w:gridSpan w:val="2"/>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17,881</w:t>
            </w:r>
          </w:p>
        </w:tc>
        <w:tc>
          <w:tcPr>
            <w:tcW w:w="140" w:type="dxa"/>
            <w:vAlign w:val="bottom"/>
          </w:tcPr>
          <w:p>
            <w:pPr>
              <w:spacing w:after="0"/>
              <w:rPr>
                <w:sz w:val="11"/>
                <w:szCs w:val="11"/>
                <w:color w:val="auto"/>
              </w:rPr>
            </w:pPr>
          </w:p>
        </w:tc>
        <w:tc>
          <w:tcPr>
            <w:tcW w:w="8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14,563</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-18.6%</w:t>
            </w:r>
          </w:p>
        </w:tc>
      </w:tr>
      <w:tr>
        <w:trPr>
          <w:trHeight w:val="189"/>
        </w:trPr>
        <w:tc>
          <w:tcPr>
            <w:tcW w:w="328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Operating expenses </w:t>
            </w:r>
            <w:r>
              <w:rPr>
                <w:rFonts w:ascii="Times New Roman" w:cs="Times New Roman" w:eastAsia="Times New Roman" w:hAnsi="Times New Roman"/>
                <w:sz w:val="20"/>
                <w:szCs w:val="20"/>
                <w:color w:val="auto"/>
                <w:vertAlign w:val="superscript"/>
              </w:rPr>
              <w:t>(1)</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-114,119</w:t>
            </w: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color w:val="auto"/>
              </w:rPr>
              <w:t>-127,665</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-139,487</w:t>
            </w:r>
          </w:p>
        </w:tc>
        <w:tc>
          <w:tcPr>
            <w:tcW w:w="102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9.3%</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22.2%</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-354,642</w:t>
            </w:r>
          </w:p>
        </w:tc>
        <w:tc>
          <w:tcPr>
            <w:tcW w:w="1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-391,982</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r>
      <w:tr>
        <w:trPr>
          <w:trHeight w:val="128"/>
        </w:trPr>
        <w:tc>
          <w:tcPr>
            <w:tcW w:w="3280" w:type="dxa"/>
            <w:vAlign w:val="bottom"/>
            <w:tcBorders>
              <w:bottom w:val="single" w:sz="8" w:color="CCEEFF"/>
            </w:tcBorders>
            <w:gridSpan w:val="2"/>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Operating income</w:t>
            </w: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18,517</w:t>
            </w:r>
          </w:p>
        </w:tc>
        <w:tc>
          <w:tcPr>
            <w:tcW w:w="240" w:type="dxa"/>
            <w:vAlign w:val="bottom"/>
            <w:tcBorders>
              <w:bottom w:val="single" w:sz="8" w:color="CCEEFF"/>
            </w:tcBorders>
          </w:tcPr>
          <w:p>
            <w:pPr>
              <w:spacing w:after="0"/>
              <w:rPr>
                <w:sz w:val="11"/>
                <w:szCs w:val="11"/>
                <w:color w:val="auto"/>
              </w:rPr>
            </w:pPr>
          </w:p>
        </w:tc>
        <w:tc>
          <w:tcPr>
            <w:tcW w:w="8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22,971</w:t>
            </w:r>
          </w:p>
        </w:tc>
        <w:tc>
          <w:tcPr>
            <w:tcW w:w="24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41,399</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80.2</w:t>
            </w:r>
          </w:p>
        </w:tc>
        <w:tc>
          <w:tcPr>
            <w:tcW w:w="260" w:type="dxa"/>
            <w:vAlign w:val="bottom"/>
            <w:tcBorders>
              <w:bottom w:val="single" w:sz="8" w:color="CCEEFF"/>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bottom w:val="single" w:sz="8" w:color="auto"/>
            </w:tcBorders>
          </w:tcPr>
          <w:p>
            <w:pPr>
              <w:spacing w:after="0"/>
              <w:rPr>
                <w:sz w:val="11"/>
                <w:szCs w:val="11"/>
                <w:color w:val="auto"/>
              </w:rPr>
            </w:pPr>
          </w:p>
        </w:tc>
        <w:tc>
          <w:tcPr>
            <w:tcW w:w="5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123.6</w:t>
            </w:r>
          </w:p>
        </w:tc>
        <w:tc>
          <w:tcPr>
            <w:tcW w:w="240" w:type="dxa"/>
            <w:vAlign w:val="bottom"/>
            <w:tcBorders>
              <w:bottom w:val="single" w:sz="8" w:color="CCEEFF"/>
            </w:tcBorders>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53,427</w:t>
            </w:r>
          </w:p>
        </w:tc>
        <w:tc>
          <w:tcPr>
            <w:tcW w:w="200" w:type="dxa"/>
            <w:vAlign w:val="bottom"/>
            <w:tcBorders>
              <w:bottom w:val="single" w:sz="8" w:color="CCEEFF"/>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67,061</w:t>
            </w:r>
          </w:p>
        </w:tc>
        <w:tc>
          <w:tcPr>
            <w:tcW w:w="220" w:type="dxa"/>
            <w:vAlign w:val="bottom"/>
            <w:tcBorders>
              <w:bottom w:val="single" w:sz="8" w:color="CCEEFF"/>
            </w:tcBorders>
          </w:tcPr>
          <w:p>
            <w:pPr>
              <w:spacing w:after="0"/>
              <w:rPr>
                <w:sz w:val="11"/>
                <w:szCs w:val="11"/>
                <w:color w:val="auto"/>
              </w:rPr>
            </w:pPr>
          </w:p>
        </w:tc>
        <w:tc>
          <w:tcPr>
            <w:tcW w:w="7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25.5</w:t>
            </w:r>
          </w:p>
        </w:tc>
        <w:tc>
          <w:tcPr>
            <w:tcW w:w="140" w:type="dxa"/>
            <w:vAlign w:val="bottom"/>
            <w:tcBorders>
              <w:bottom w:val="single" w:sz="8" w:color="CCEEFF"/>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r>
      <w:tr>
        <w:trPr>
          <w:trHeight w:val="128"/>
        </w:trPr>
        <w:tc>
          <w:tcPr>
            <w:tcW w:w="3280" w:type="dxa"/>
            <w:vAlign w:val="bottom"/>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color w:val="auto"/>
              </w:rPr>
              <w:t>Income taxes</w:t>
            </w: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-5,559</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-7,242</w:t>
            </w:r>
          </w:p>
        </w:tc>
        <w:tc>
          <w:tcPr>
            <w:tcW w:w="24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-14,397</w:t>
            </w:r>
          </w:p>
        </w:tc>
        <w:tc>
          <w:tcPr>
            <w:tcW w:w="22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98.8%</w:t>
            </w:r>
          </w:p>
        </w:tc>
        <w:tc>
          <w:tcPr>
            <w:tcW w:w="2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77"/>
              <w:spacing w:after="0" w:line="129" w:lineRule="exact"/>
              <w:rPr>
                <w:sz w:val="20"/>
                <w:szCs w:val="20"/>
                <w:color w:val="auto"/>
              </w:rPr>
            </w:pPr>
            <w:r>
              <w:rPr>
                <w:rFonts w:ascii="Times New Roman" w:cs="Times New Roman" w:eastAsia="Times New Roman" w:hAnsi="Times New Roman"/>
                <w:sz w:val="13"/>
                <w:szCs w:val="13"/>
                <w:color w:val="auto"/>
              </w:rPr>
              <w:t>159.0%</w:t>
            </w:r>
          </w:p>
        </w:tc>
        <w:tc>
          <w:tcPr>
            <w:tcW w:w="78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-13,703</w:t>
            </w: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-23,940</w:t>
            </w:r>
          </w:p>
        </w:tc>
        <w:tc>
          <w:tcPr>
            <w:tcW w:w="2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74.7%</w:t>
            </w:r>
          </w:p>
        </w:tc>
      </w:tr>
      <w:tr>
        <w:trPr>
          <w:trHeight w:val="148"/>
        </w:trPr>
        <w:tc>
          <w:tcPr>
            <w:tcW w:w="32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Non-controlling interest</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-52</w:t>
            </w: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112</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219</w:t>
            </w:r>
          </w:p>
        </w:tc>
        <w:tc>
          <w:tcPr>
            <w:tcW w:w="102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color w:val="auto"/>
              </w:rPr>
              <w:t>95.5%</w:t>
            </w:r>
          </w:p>
        </w:tc>
        <w:tc>
          <w:tcPr>
            <w:tcW w:w="200" w:type="dxa"/>
            <w:vAlign w:val="bottom"/>
          </w:tcPr>
          <w:p>
            <w:pPr>
              <w:spacing w:after="0"/>
              <w:rPr>
                <w:sz w:val="12"/>
                <w:szCs w:val="12"/>
                <w:color w:val="auto"/>
              </w:rPr>
            </w:pPr>
          </w:p>
        </w:tc>
        <w:tc>
          <w:tcPr>
            <w:tcW w:w="800" w:type="dxa"/>
            <w:vAlign w:val="bottom"/>
            <w:gridSpan w:val="2"/>
          </w:tcPr>
          <w:p>
            <w:pPr>
              <w:jc w:val="right"/>
              <w:ind w:right="177"/>
              <w:spacing w:after="0"/>
              <w:rPr>
                <w:sz w:val="20"/>
                <w:szCs w:val="20"/>
                <w:color w:val="auto"/>
              </w:rPr>
            </w:pPr>
            <w:r>
              <w:rPr>
                <w:rFonts w:ascii="Times New Roman" w:cs="Times New Roman" w:eastAsia="Times New Roman" w:hAnsi="Times New Roman"/>
                <w:sz w:val="13"/>
                <w:szCs w:val="13"/>
                <w:color w:val="auto"/>
              </w:rPr>
              <w:t>n.a</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3"/>
                <w:szCs w:val="13"/>
                <w:color w:val="auto"/>
              </w:rPr>
              <w:t>472</w:t>
            </w:r>
          </w:p>
        </w:tc>
        <w:tc>
          <w:tcPr>
            <w:tcW w:w="140" w:type="dxa"/>
            <w:vAlign w:val="bottom"/>
          </w:tcPr>
          <w:p>
            <w:pPr>
              <w:spacing w:after="0"/>
              <w:rPr>
                <w:sz w:val="12"/>
                <w:szCs w:val="12"/>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363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-23.1%</w:t>
            </w:r>
          </w:p>
        </w:tc>
      </w:tr>
      <w:tr>
        <w:trPr>
          <w:trHeight w:val="128"/>
        </w:trPr>
        <w:tc>
          <w:tcPr>
            <w:tcW w:w="328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Net income</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13,010</w:t>
            </w:r>
          </w:p>
        </w:tc>
        <w:tc>
          <w:tcPr>
            <w:tcW w:w="24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15,617</w:t>
            </w:r>
          </w:p>
        </w:tc>
        <w:tc>
          <w:tcPr>
            <w:tcW w:w="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26,783</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71.5</w:t>
            </w:r>
          </w:p>
        </w:tc>
        <w:tc>
          <w:tcPr>
            <w:tcW w:w="26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20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105.9</w:t>
            </w:r>
          </w:p>
        </w:tc>
        <w:tc>
          <w:tcPr>
            <w:tcW w:w="240" w:type="dxa"/>
            <w:vAlign w:val="bottom"/>
            <w:tcBorders>
              <w:top w:val="single" w:sz="8" w:color="CCEEFF"/>
            </w:tcBorders>
            <w:shd w:val="clear" w:color="auto" w:fill="CCEEFF"/>
          </w:tcPr>
          <w:p>
            <w:pPr>
              <w:jc w:val="right"/>
              <w:ind w:right="57"/>
              <w:spacing w:after="0" w:line="129" w:lineRule="exact"/>
              <w:rPr>
                <w:sz w:val="20"/>
                <w:szCs w:val="20"/>
                <w:color w:val="auto"/>
              </w:rPr>
            </w:pPr>
            <w:r>
              <w:rPr>
                <w:rFonts w:ascii="Times New Roman" w:cs="Times New Roman" w:eastAsia="Times New Roman" w:hAnsi="Times New Roman"/>
                <w:sz w:val="13"/>
                <w:szCs w:val="13"/>
                <w:b w:val="1"/>
                <w:bCs w:val="1"/>
                <w:color w:val="auto"/>
                <w:w w:val="76"/>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39,252</w:t>
            </w:r>
          </w:p>
        </w:tc>
        <w:tc>
          <w:tcPr>
            <w:tcW w:w="2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auto"/>
            </w:tcBorders>
            <w:shd w:val="clear" w:color="auto" w:fill="CCEEFF"/>
          </w:tcPr>
          <w:p>
            <w:pPr>
              <w:spacing w:after="0"/>
              <w:rPr>
                <w:sz w:val="11"/>
                <w:szCs w:val="11"/>
                <w:color w:val="auto"/>
              </w:rPr>
            </w:pP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42,758</w:t>
            </w:r>
          </w:p>
        </w:tc>
        <w:tc>
          <w:tcPr>
            <w:tcW w:w="22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8.9</w:t>
            </w:r>
          </w:p>
        </w:tc>
        <w:tc>
          <w:tcPr>
            <w:tcW w:w="140" w:type="dxa"/>
            <w:vAlign w:val="bottom"/>
            <w:tcBorders>
              <w:top w:val="single" w:sz="8" w:color="CCEEFF"/>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r>
    </w:tbl>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Unaudited results.</w:t>
      </w:r>
    </w:p>
    <w:p>
      <w:pPr>
        <w:spacing w:after="0"/>
        <w:rPr>
          <w:sz w:val="20"/>
          <w:szCs w:val="20"/>
          <w:color w:val="auto"/>
        </w:rPr>
      </w:pPr>
      <w:r>
        <w:rPr>
          <w:rFonts w:ascii="Times New Roman" w:cs="Times New Roman" w:eastAsia="Times New Roman" w:hAnsi="Times New Roman"/>
          <w:sz w:val="13"/>
          <w:szCs w:val="13"/>
          <w:color w:val="auto"/>
        </w:rPr>
        <w:t>(1) Includes: Salaries and employee’s benefits + Administrative expenses + Assigned expenses + Depreciation and amortization + Tax and contributions + Other expenses.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238"/>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11.8. Atlantic Security Bank</w:t>
            </w: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ASB</w:t>
            </w:r>
          </w:p>
        </w:tc>
        <w:tc>
          <w:tcPr>
            <w:tcW w:w="1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US$ Millions</w:t>
            </w:r>
          </w:p>
        </w:tc>
        <w:tc>
          <w:tcPr>
            <w:tcW w:w="2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3Q19</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2Q20</w:t>
            </w:r>
          </w:p>
        </w:tc>
        <w:tc>
          <w:tcPr>
            <w:tcW w:w="34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3Q20</w:t>
            </w:r>
          </w:p>
        </w:tc>
        <w:tc>
          <w:tcPr>
            <w:tcW w:w="32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b w:val="1"/>
                <w:bCs w:val="1"/>
                <w:color w:val="auto"/>
                <w:w w:val="91"/>
              </w:rPr>
              <w:t>QoQ</w:t>
            </w:r>
          </w:p>
        </w:tc>
        <w:tc>
          <w:tcPr>
            <w:tcW w:w="3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209"/>
        </w:trPr>
        <w:tc>
          <w:tcPr>
            <w:tcW w:w="3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loans</w:t>
            </w:r>
          </w:p>
        </w:tc>
        <w:tc>
          <w:tcPr>
            <w:tcW w:w="220" w:type="dxa"/>
            <w:vAlign w:val="bottom"/>
            <w:tcBorders>
              <w:right w:val="single" w:sz="8" w:color="CCEEFF"/>
            </w:tcBorders>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732.6</w:t>
            </w:r>
          </w:p>
        </w:tc>
        <w:tc>
          <w:tcPr>
            <w:tcW w:w="32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722.1</w:t>
            </w:r>
          </w:p>
        </w:tc>
        <w:tc>
          <w:tcPr>
            <w:tcW w:w="340" w:type="dxa"/>
            <w:vAlign w:val="bottom"/>
            <w:tcBorders>
              <w:right w:val="single" w:sz="8" w:color="CCEEFF"/>
            </w:tcBorders>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w:t>
            </w: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0.9%</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733.6</w:t>
            </w: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1,093.2</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862.6</w:t>
            </w:r>
          </w:p>
        </w:tc>
        <w:tc>
          <w:tcPr>
            <w:tcW w:w="8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3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5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1,991.8</w:t>
            </w:r>
          </w:p>
        </w:tc>
        <w:tc>
          <w:tcPr>
            <w:tcW w:w="15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2,880.0</w:t>
            </w:r>
          </w:p>
        </w:tc>
        <w:tc>
          <w:tcPr>
            <w:tcW w:w="15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2,149.1</w:t>
            </w: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deposits</w:t>
            </w:r>
          </w:p>
        </w:tc>
        <w:tc>
          <w:tcPr>
            <w:tcW w:w="15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1,277.5</w:t>
            </w:r>
          </w:p>
        </w:tc>
        <w:tc>
          <w:tcPr>
            <w:tcW w:w="15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2,097.2</w:t>
            </w:r>
          </w:p>
        </w:tc>
        <w:tc>
          <w:tcPr>
            <w:tcW w:w="154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1,543.0</w:t>
            </w:r>
          </w:p>
        </w:tc>
        <w:tc>
          <w:tcPr>
            <w:tcW w:w="800" w:type="dxa"/>
            <w:vAlign w:val="bottom"/>
          </w:tcPr>
          <w:p>
            <w:pPr>
              <w:spacing w:after="0"/>
              <w:rPr>
                <w:sz w:val="18"/>
                <w:szCs w:val="18"/>
                <w:color w:val="auto"/>
              </w:rPr>
            </w:pPr>
          </w:p>
        </w:tc>
        <w:tc>
          <w:tcPr>
            <w:tcW w:w="8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-26.4%</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3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shareholder's equity</w:t>
            </w:r>
          </w:p>
        </w:tc>
        <w:tc>
          <w:tcPr>
            <w:tcW w:w="156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264.5</w:t>
            </w:r>
          </w:p>
        </w:tc>
        <w:tc>
          <w:tcPr>
            <w:tcW w:w="1560" w:type="dxa"/>
            <w:vAlign w:val="bottom"/>
            <w:tcBorders>
              <w:right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233.7</w:t>
            </w:r>
          </w:p>
        </w:tc>
        <w:tc>
          <w:tcPr>
            <w:tcW w:w="1540" w:type="dxa"/>
            <w:vAlign w:val="bottom"/>
            <w:tcBorders>
              <w:right w:val="single" w:sz="8" w:color="CCEEFF"/>
            </w:tcBorders>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222.9</w:t>
            </w:r>
          </w:p>
        </w:tc>
        <w:tc>
          <w:tcPr>
            <w:tcW w:w="8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0"/>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w:t>
            </w:r>
          </w:p>
        </w:tc>
        <w:tc>
          <w:tcPr>
            <w:tcW w:w="3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34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-17.0</w:t>
            </w:r>
          </w:p>
        </w:tc>
        <w:tc>
          <w:tcPr>
            <w:tcW w:w="320" w:type="dxa"/>
            <w:vAlign w:val="bottom"/>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3"/>
              </w:rPr>
              <w:t>n.a</w:t>
            </w:r>
          </w:p>
        </w:tc>
        <w:tc>
          <w:tcPr>
            <w:tcW w:w="3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n.a</w:t>
            </w:r>
          </w:p>
        </w:tc>
        <w:tc>
          <w:tcPr>
            <w:tcW w:w="160" w:type="dxa"/>
            <w:vAlign w:val="bottom"/>
          </w:tcPr>
          <w:p>
            <w:pPr>
              <w:spacing w:after="0"/>
              <w:rPr>
                <w:sz w:val="18"/>
                <w:szCs w:val="18"/>
                <w:color w:val="auto"/>
              </w:rPr>
            </w:pPr>
          </w:p>
        </w:tc>
      </w:tr>
      <w:tr>
        <w:trPr>
          <w:trHeight w:val="589"/>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Interest earning assets </w:t>
            </w:r>
            <w:r>
              <w:rPr>
                <w:rFonts w:ascii="Times New Roman" w:cs="Times New Roman" w:eastAsia="Times New Roman" w:hAnsi="Times New Roman"/>
                <w:sz w:val="29"/>
                <w:szCs w:val="29"/>
                <w:b w:val="1"/>
                <w:bCs w:val="1"/>
                <w:color w:val="auto"/>
                <w:vertAlign w:val="superscript"/>
              </w:rPr>
              <w:t>(1)</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323"/>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 earning assets*</w:t>
            </w: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260" w:type="dxa"/>
            <w:vAlign w:val="bottom"/>
            <w:tcBorders>
              <w:bottom w:val="single" w:sz="8" w:color="CCEEFF"/>
            </w:tcBorders>
            <w:gridSpan w:val="2"/>
          </w:tcPr>
          <w:p>
            <w:pPr>
              <w:spacing w:after="0"/>
              <w:rPr>
                <w:sz w:val="19"/>
                <w:szCs w:val="19"/>
                <w:color w:val="auto"/>
              </w:rPr>
            </w:pPr>
          </w:p>
        </w:tc>
        <w:tc>
          <w:tcPr>
            <w:tcW w:w="118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3Q19</w:t>
            </w:r>
          </w:p>
        </w:tc>
        <w:tc>
          <w:tcPr>
            <w:tcW w:w="380" w:type="dxa"/>
            <w:vAlign w:val="bottom"/>
            <w:tcBorders>
              <w:top w:val="single" w:sz="8" w:color="auto"/>
              <w:bottom w:val="single" w:sz="8" w:color="CCEEFF"/>
            </w:tcBorders>
            <w:gridSpan w:val="2"/>
          </w:tcPr>
          <w:p>
            <w:pPr>
              <w:spacing w:after="0"/>
              <w:rPr>
                <w:sz w:val="19"/>
                <w:szCs w:val="19"/>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2Q20</w:t>
            </w:r>
          </w:p>
        </w:tc>
        <w:tc>
          <w:tcPr>
            <w:tcW w:w="380" w:type="dxa"/>
            <w:vAlign w:val="bottom"/>
            <w:tcBorders>
              <w:top w:val="single" w:sz="8" w:color="auto"/>
              <w:bottom w:val="single" w:sz="8" w:color="CCEEFF"/>
            </w:tcBorders>
            <w:gridSpan w:val="2"/>
          </w:tcPr>
          <w:p>
            <w:pPr>
              <w:spacing w:after="0"/>
              <w:rPr>
                <w:sz w:val="19"/>
                <w:szCs w:val="19"/>
                <w:color w:val="auto"/>
              </w:rPr>
            </w:pPr>
          </w:p>
        </w:tc>
        <w:tc>
          <w:tcPr>
            <w:tcW w:w="116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3Q20</w:t>
            </w:r>
          </w:p>
        </w:tc>
        <w:tc>
          <w:tcPr>
            <w:tcW w:w="380" w:type="dxa"/>
            <w:vAlign w:val="bottom"/>
            <w:tcBorders>
              <w:bottom w:val="single" w:sz="8" w:color="CCEEFF"/>
            </w:tcBorders>
            <w:gridSpan w:val="2"/>
          </w:tcPr>
          <w:p>
            <w:pPr>
              <w:spacing w:after="0"/>
              <w:rPr>
                <w:sz w:val="19"/>
                <w:szCs w:val="19"/>
                <w:color w:val="auto"/>
              </w:rPr>
            </w:pPr>
          </w:p>
        </w:tc>
        <w:tc>
          <w:tcPr>
            <w:tcW w:w="80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QoQ</w:t>
            </w:r>
          </w:p>
        </w:tc>
        <w:tc>
          <w:tcPr>
            <w:tcW w:w="38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YoY</w:t>
            </w:r>
          </w:p>
        </w:tc>
        <w:tc>
          <w:tcPr>
            <w:tcW w:w="160" w:type="dxa"/>
            <w:vAlign w:val="bottom"/>
            <w:tcBorders>
              <w:bottom w:val="single" w:sz="8" w:color="CCEEFF"/>
            </w:tcBorders>
          </w:tcPr>
          <w:p>
            <w:pPr>
              <w:spacing w:after="0"/>
              <w:rPr>
                <w:sz w:val="19"/>
                <w:szCs w:val="19"/>
                <w:color w:val="auto"/>
              </w:rPr>
            </w:pPr>
          </w:p>
        </w:tc>
      </w:tr>
      <w:tr>
        <w:trPr>
          <w:trHeight w:val="209"/>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from banks</w:t>
            </w:r>
          </w:p>
        </w:tc>
        <w:tc>
          <w:tcPr>
            <w:tcW w:w="260" w:type="dxa"/>
            <w:vAlign w:val="bottom"/>
            <w:tcBorders>
              <w:right w:val="single" w:sz="8" w:color="CCEEFF"/>
            </w:tcBorders>
            <w:gridSpan w:val="2"/>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4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60" w:type="dxa"/>
            <w:vAlign w:val="bottom"/>
            <w:shd w:val="clear" w:color="auto" w:fill="CCEEFF"/>
          </w:tcPr>
          <w:p>
            <w:pPr>
              <w:spacing w:after="0"/>
              <w:rPr>
                <w:sz w:val="18"/>
                <w:szCs w:val="18"/>
                <w:color w:val="auto"/>
              </w:rPr>
            </w:pPr>
          </w:p>
        </w:tc>
        <w:tc>
          <w:tcPr>
            <w:tcW w:w="320" w:type="dxa"/>
            <w:vAlign w:val="bottom"/>
            <w:tcBorders>
              <w:right w:val="single" w:sz="8" w:color="CCEEFF"/>
            </w:tcBorders>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-78.7%</w:t>
            </w:r>
          </w:p>
        </w:tc>
        <w:tc>
          <w:tcPr>
            <w:tcW w:w="3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r>
      <w:tr>
        <w:trPr>
          <w:trHeight w:val="216"/>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loans</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733</w:t>
            </w:r>
          </w:p>
        </w:tc>
        <w:tc>
          <w:tcPr>
            <w:tcW w:w="32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722</w:t>
            </w:r>
          </w:p>
        </w:tc>
        <w:tc>
          <w:tcPr>
            <w:tcW w:w="34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728</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3580" w:type="dxa"/>
            <w:vAlign w:val="bottom"/>
            <w:tcBorders>
              <w:right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657</w:t>
            </w:r>
          </w:p>
        </w:tc>
        <w:tc>
          <w:tcPr>
            <w:tcW w:w="320" w:type="dxa"/>
            <w:vAlign w:val="bottom"/>
            <w:tcBorders>
              <w:right w:val="single" w:sz="8" w:color="CCEEFF"/>
            </w:tcBorders>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1051</w:t>
            </w:r>
          </w:p>
        </w:tc>
        <w:tc>
          <w:tcPr>
            <w:tcW w:w="340" w:type="dxa"/>
            <w:vAlign w:val="bottom"/>
            <w:tcBorders>
              <w:right w:val="single" w:sz="8" w:color="CCEEFF"/>
            </w:tcBorders>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771</w:t>
            </w:r>
          </w:p>
        </w:tc>
        <w:tc>
          <w:tcPr>
            <w:tcW w:w="320" w:type="dxa"/>
            <w:vAlign w:val="bottom"/>
            <w:tcBorders>
              <w:right w:val="single" w:sz="8" w:color="CCEEFF"/>
            </w:tcBorders>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w w:val="95"/>
              </w:rPr>
              <w:t>-37.5%</w:t>
            </w:r>
          </w:p>
        </w:tc>
        <w:tc>
          <w:tcPr>
            <w:tcW w:w="3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9"/>
        </w:trPr>
        <w:tc>
          <w:tcPr>
            <w:tcW w:w="3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interest earning assets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2,509</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1,805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5"/>
              </w:rPr>
              <w:t>-38.4</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77"/>
              </w:rPr>
              <w:t>%</w:t>
            </w:r>
          </w:p>
        </w:tc>
      </w:tr>
      <w:tr>
        <w:trPr>
          <w:trHeight w:val="20"/>
        </w:trPr>
        <w:tc>
          <w:tcPr>
            <w:tcW w:w="3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Excludes investments in equities and mutual funds.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Figures from 3Q19 differs from previously reported, please consider the figures from this report.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45"/>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Quarter</w:t>
            </w:r>
          </w:p>
        </w:tc>
        <w:tc>
          <w:tcPr>
            <w:tcW w:w="12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960" w:type="dxa"/>
            <w:vAlign w:val="bottom"/>
            <w:tcBorders>
              <w:bottom w:val="single" w:sz="8" w:color="auto"/>
            </w:tcBorders>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23"/>
        </w:trPr>
        <w:tc>
          <w:tcPr>
            <w:tcW w:w="3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US$ 000</w:t>
            </w:r>
          </w:p>
        </w:tc>
        <w:tc>
          <w:tcPr>
            <w:tcW w:w="2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3Q19</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2Q20</w:t>
            </w:r>
          </w:p>
        </w:tc>
        <w:tc>
          <w:tcPr>
            <w:tcW w:w="3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3Q20</w:t>
            </w:r>
          </w:p>
        </w:tc>
        <w:tc>
          <w:tcPr>
            <w:tcW w:w="3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QoQ</w:t>
            </w:r>
          </w:p>
        </w:tc>
        <w:tc>
          <w:tcPr>
            <w:tcW w:w="4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YoY</w:t>
            </w:r>
          </w:p>
        </w:tc>
        <w:tc>
          <w:tcPr>
            <w:tcW w:w="180" w:type="dxa"/>
            <w:vAlign w:val="bottom"/>
            <w:tcBorders>
              <w:bottom w:val="single" w:sz="8" w:color="CCEEFF"/>
            </w:tcBorders>
          </w:tcPr>
          <w:p>
            <w:pPr>
              <w:spacing w:after="0"/>
              <w:rPr>
                <w:sz w:val="19"/>
                <w:szCs w:val="19"/>
                <w:color w:val="auto"/>
              </w:rPr>
            </w:pPr>
          </w:p>
        </w:tc>
      </w:tr>
      <w:tr>
        <w:trPr>
          <w:trHeight w:val="21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Deposits</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-39.1%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Borrowed Funds</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83</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148</w:t>
            </w:r>
          </w:p>
        </w:tc>
        <w:tc>
          <w:tcPr>
            <w:tcW w:w="15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98</w:t>
            </w:r>
          </w:p>
        </w:tc>
        <w:tc>
          <w:tcPr>
            <w:tcW w:w="16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-43.8%</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30"/>
        </w:trPr>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367</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401</w:t>
            </w:r>
          </w:p>
        </w:tc>
        <w:tc>
          <w:tcPr>
            <w:tcW w:w="15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286</w:t>
            </w:r>
          </w:p>
        </w:tc>
        <w:tc>
          <w:tcPr>
            <w:tcW w:w="16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-8.6%</w:t>
            </w:r>
          </w:p>
        </w:tc>
        <w:tc>
          <w:tcPr>
            <w:tcW w:w="3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10"/>
        </w:trPr>
        <w:tc>
          <w:tcPr>
            <w:tcW w:w="3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2,646</w:t>
            </w:r>
          </w:p>
        </w:tc>
        <w:tc>
          <w:tcPr>
            <w:tcW w:w="32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1,926</w:t>
            </w:r>
          </w:p>
        </w:tc>
        <w:tc>
          <w:tcPr>
            <w:tcW w:w="3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w:t>
            </w:r>
          </w:p>
        </w:tc>
        <w:tc>
          <w:tcPr>
            <w:tcW w:w="4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w:t>
            </w: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r>
      <w:tr>
        <w:trPr>
          <w:trHeight w:val="641"/>
        </w:trPr>
        <w:tc>
          <w:tcPr>
            <w:tcW w:w="3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920"/>
              <w:spacing w:after="0"/>
              <w:rPr>
                <w:sz w:val="20"/>
                <w:szCs w:val="20"/>
                <w:color w:val="auto"/>
              </w:rPr>
            </w:pPr>
            <w:r>
              <w:rPr>
                <w:rFonts w:ascii="Times New Roman" w:cs="Times New Roman" w:eastAsia="Times New Roman" w:hAnsi="Times New Roman"/>
                <w:sz w:val="18"/>
                <w:szCs w:val="18"/>
                <w:color w:val="auto"/>
                <w:w w:val="88"/>
              </w:rPr>
              <w:t>70</w:t>
            </w:r>
          </w:p>
        </w:tc>
      </w:tr>
    </w:tbl>
    <w:p>
      <w:pPr>
        <w:sectPr>
          <w:pgSz w:w="11900" w:h="16838" w:orient="portrait"/>
          <w:cols w:equalWidth="0" w:num="1">
            <w:col w:w="11240"/>
          </w:cols>
          <w:pgMar w:left="320" w:top="900" w:right="339" w:bottom="1440" w:gutter="0" w:footer="0" w:header="0"/>
        </w:sectPr>
      </w:pPr>
    </w:p>
    <w:bookmarkStart w:id="73" w:name="page74"/>
    <w:bookmarkEnd w:id="73"/>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Assets under management and Deposits</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(US$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142875</wp:posOffset>
            </wp:positionV>
            <wp:extent cx="4037330" cy="25546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03733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Portfolio distribution as of September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1616710</wp:posOffset>
            </wp:positionH>
            <wp:positionV relativeFrom="paragraph">
              <wp:posOffset>156845</wp:posOffset>
            </wp:positionV>
            <wp:extent cx="2494280" cy="20485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494280" cy="2048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11.9. Grupo Pacifico</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GRUPO PACIFICO *</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center"/>
              <w:ind w:left="46"/>
              <w:spacing w:after="0"/>
              <w:rPr>
                <w:sz w:val="20"/>
                <w:szCs w:val="20"/>
                <w:color w:val="auto"/>
              </w:rPr>
            </w:pPr>
            <w:r>
              <w:rPr>
                <w:rFonts w:ascii="Times New Roman" w:cs="Times New Roman" w:eastAsia="Times New Roman" w:hAnsi="Times New Roman"/>
                <w:sz w:val="16"/>
                <w:szCs w:val="16"/>
                <w:b w:val="1"/>
                <w:bCs w:val="1"/>
                <w:color w:val="auto"/>
              </w:rPr>
              <w:t>As of</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0" w:type="dxa"/>
            <w:vAlign w:val="bottom"/>
          </w:tcPr>
          <w:p>
            <w:pPr>
              <w:spacing w:after="0"/>
              <w:rPr>
                <w:sz w:val="1"/>
                <w:szCs w:val="1"/>
                <w:color w:val="auto"/>
              </w:rPr>
            </w:pPr>
          </w:p>
        </w:tc>
      </w:tr>
      <w:tr>
        <w:trPr>
          <w:trHeight w:val="202"/>
        </w:trPr>
        <w:tc>
          <w:tcPr>
            <w:tcW w:w="324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Sep 19</w:t>
            </w:r>
          </w:p>
        </w:tc>
        <w:tc>
          <w:tcPr>
            <w:tcW w:w="220" w:type="dxa"/>
            <w:vAlign w:val="bottom"/>
            <w:tcBorders>
              <w:top w:val="single" w:sz="8" w:color="auto"/>
              <w:bottom w:val="single" w:sz="8" w:color="CCEEFF"/>
            </w:tcBorders>
            <w:gridSpan w:val="3"/>
          </w:tcPr>
          <w:p>
            <w:pPr>
              <w:spacing w:after="0"/>
              <w:rPr>
                <w:sz w:val="17"/>
                <w:szCs w:val="17"/>
                <w:color w:val="auto"/>
              </w:rPr>
            </w:pPr>
          </w:p>
        </w:tc>
        <w:tc>
          <w:tcPr>
            <w:tcW w:w="840" w:type="dxa"/>
            <w:vAlign w:val="bottom"/>
            <w:tcBorders>
              <w:top w:val="single" w:sz="8" w:color="auto"/>
              <w:bottom w:val="single" w:sz="8" w:color="auto"/>
            </w:tcBorders>
            <w:gridSpan w:val="2"/>
          </w:tcPr>
          <w:p>
            <w:pPr>
              <w:jc w:val="center"/>
              <w:ind w:left="66"/>
              <w:spacing w:after="0"/>
              <w:rPr>
                <w:sz w:val="20"/>
                <w:szCs w:val="20"/>
                <w:color w:val="auto"/>
              </w:rPr>
            </w:pPr>
            <w:r>
              <w:rPr>
                <w:rFonts w:ascii="Times New Roman" w:cs="Times New Roman" w:eastAsia="Times New Roman" w:hAnsi="Times New Roman"/>
                <w:sz w:val="16"/>
                <w:szCs w:val="16"/>
                <w:b w:val="1"/>
                <w:bCs w:val="1"/>
                <w:color w:val="auto"/>
              </w:rPr>
              <w:t>Jun 20</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 20</w:t>
            </w:r>
          </w:p>
        </w:tc>
        <w:tc>
          <w:tcPr>
            <w:tcW w:w="2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QoQ</w:t>
            </w:r>
          </w:p>
        </w:tc>
        <w:tc>
          <w:tcPr>
            <w:tcW w:w="240" w:type="dxa"/>
            <w:vAlign w:val="bottom"/>
            <w:tcBorders>
              <w:top w:val="single" w:sz="8" w:color="auto"/>
              <w:bottom w:val="single" w:sz="8" w:color="CCEEFF"/>
            </w:tcBorders>
            <w:gridSpan w:val="2"/>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YoY</w:t>
            </w:r>
          </w:p>
        </w:tc>
        <w:tc>
          <w:tcPr>
            <w:tcW w:w="1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13,154,757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14,509,571</w:t>
            </w:r>
          </w:p>
        </w:tc>
        <w:tc>
          <w:tcPr>
            <w:tcW w:w="20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w w:val="97"/>
              </w:rPr>
              <w:t>15,115,751</w:t>
            </w: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4.2%</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0" w:type="dxa"/>
            <w:vAlign w:val="bottom"/>
          </w:tcPr>
          <w:p>
            <w:pPr>
              <w:spacing w:after="0"/>
              <w:rPr>
                <w:sz w:val="1"/>
                <w:szCs w:val="1"/>
                <w:color w:val="auto"/>
              </w:rPr>
            </w:pPr>
          </w:p>
        </w:tc>
      </w:tr>
      <w:tr>
        <w:trPr>
          <w:trHeight w:val="243"/>
        </w:trPr>
        <w:tc>
          <w:tcPr>
            <w:tcW w:w="324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Investment on securities </w:t>
            </w:r>
            <w:r>
              <w:rPr>
                <w:rFonts w:ascii="Times New Roman" w:cs="Times New Roman" w:eastAsia="Times New Roman" w:hAnsi="Times New Roman"/>
                <w:sz w:val="26"/>
                <w:szCs w:val="26"/>
                <w:color w:val="auto"/>
                <w:vertAlign w:val="superscript"/>
              </w:rPr>
              <w:t>(1)</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9,642,535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11,089,545</w:t>
            </w:r>
          </w:p>
        </w:tc>
        <w:tc>
          <w:tcPr>
            <w:tcW w:w="1420" w:type="dxa"/>
            <w:vAlign w:val="bottom"/>
            <w:gridSpan w:val="5"/>
          </w:tcPr>
          <w:p>
            <w:pPr>
              <w:jc w:val="right"/>
              <w:ind w:right="148"/>
              <w:spacing w:after="0"/>
              <w:rPr>
                <w:sz w:val="20"/>
                <w:szCs w:val="20"/>
                <w:color w:val="auto"/>
              </w:rPr>
            </w:pPr>
            <w:r>
              <w:rPr>
                <w:rFonts w:ascii="Times New Roman" w:cs="Times New Roman" w:eastAsia="Times New Roman" w:hAnsi="Times New Roman"/>
                <w:sz w:val="16"/>
                <w:szCs w:val="16"/>
                <w:color w:val="auto"/>
              </w:rPr>
              <w:t>11,625,405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4.8%</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0" w:type="dxa"/>
            <w:vAlign w:val="bottom"/>
          </w:tcPr>
          <w:p>
            <w:pPr>
              <w:spacing w:after="0"/>
              <w:rPr>
                <w:sz w:val="1"/>
                <w:szCs w:val="1"/>
                <w:color w:val="auto"/>
              </w:rPr>
            </w:pPr>
          </w:p>
        </w:tc>
      </w:tr>
      <w:tr>
        <w:trPr>
          <w:trHeight w:val="20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Technical reserves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8,946,136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10,635,795</w:t>
            </w:r>
          </w:p>
        </w:tc>
        <w:tc>
          <w:tcPr>
            <w:tcW w:w="1420" w:type="dxa"/>
            <w:vAlign w:val="bottom"/>
            <w:gridSpan w:val="5"/>
            <w:shd w:val="clear" w:color="auto" w:fill="CCEEFF"/>
          </w:tcPr>
          <w:p>
            <w:pPr>
              <w:jc w:val="right"/>
              <w:ind w:right="148"/>
              <w:spacing w:after="0"/>
              <w:rPr>
                <w:sz w:val="20"/>
                <w:szCs w:val="20"/>
                <w:color w:val="auto"/>
              </w:rPr>
            </w:pPr>
            <w:r>
              <w:rPr>
                <w:rFonts w:ascii="Times New Roman" w:cs="Times New Roman" w:eastAsia="Times New Roman" w:hAnsi="Times New Roman"/>
                <w:sz w:val="16"/>
                <w:szCs w:val="16"/>
                <w:color w:val="auto"/>
              </w:rPr>
              <w:t>11,098,905</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4.4%</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w:t>
            </w:r>
          </w:p>
        </w:tc>
        <w:tc>
          <w:tcPr>
            <w:tcW w:w="0" w:type="dxa"/>
            <w:vAlign w:val="bottom"/>
          </w:tcPr>
          <w:p>
            <w:pPr>
              <w:spacing w:after="0"/>
              <w:rPr>
                <w:sz w:val="1"/>
                <w:szCs w:val="1"/>
                <w:color w:val="auto"/>
              </w:rPr>
            </w:pPr>
          </w:p>
        </w:tc>
      </w:tr>
      <w:tr>
        <w:trPr>
          <w:trHeight w:val="210"/>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Net equity</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3,097,078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2,821,972</w:t>
            </w:r>
          </w:p>
        </w:tc>
        <w:tc>
          <w:tcPr>
            <w:tcW w:w="1420" w:type="dxa"/>
            <w:vAlign w:val="bottom"/>
            <w:gridSpan w:val="5"/>
          </w:tcPr>
          <w:p>
            <w:pPr>
              <w:jc w:val="right"/>
              <w:ind w:right="148"/>
              <w:spacing w:after="0"/>
              <w:rPr>
                <w:sz w:val="20"/>
                <w:szCs w:val="20"/>
                <w:color w:val="auto"/>
              </w:rPr>
            </w:pPr>
            <w:r>
              <w:rPr>
                <w:rFonts w:ascii="Times New Roman" w:cs="Times New Roman" w:eastAsia="Times New Roman" w:hAnsi="Times New Roman"/>
                <w:sz w:val="16"/>
                <w:szCs w:val="16"/>
                <w:color w:val="auto"/>
              </w:rPr>
              <w:t>2,829,498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0.3%</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370"/>
        </w:trPr>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gridSpan w:val="5"/>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YTD</w:t>
            </w:r>
          </w:p>
        </w:tc>
        <w:tc>
          <w:tcPr>
            <w:tcW w:w="80" w:type="dxa"/>
            <w:vAlign w:val="bottom"/>
          </w:tcPr>
          <w:p>
            <w:pPr>
              <w:spacing w:after="0"/>
              <w:rPr>
                <w:sz w:val="24"/>
                <w:szCs w:val="24"/>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24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3Q19</w:t>
            </w:r>
          </w:p>
        </w:tc>
        <w:tc>
          <w:tcPr>
            <w:tcW w:w="22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2Q20</w:t>
            </w:r>
          </w:p>
        </w:tc>
        <w:tc>
          <w:tcPr>
            <w:tcW w:w="18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Borders>
              <w:bottom w:val="single" w:sz="8" w:color="CCEEFF"/>
            </w:tcBorders>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66"/>
              <w:spacing w:after="0" w:line="142" w:lineRule="exact"/>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gridSpan w:val="2"/>
          </w:tcPr>
          <w:p>
            <w:pPr>
              <w:jc w:val="right"/>
              <w:ind w:right="106"/>
              <w:spacing w:after="0" w:line="142" w:lineRule="exact"/>
              <w:rPr>
                <w:sz w:val="20"/>
                <w:szCs w:val="20"/>
                <w:color w:val="auto"/>
              </w:rPr>
            </w:pPr>
            <w:r>
              <w:rPr>
                <w:rFonts w:ascii="Times New Roman" w:cs="Times New Roman" w:eastAsia="Times New Roman" w:hAnsi="Times New Roman"/>
                <w:sz w:val="14"/>
                <w:szCs w:val="14"/>
                <w:b w:val="1"/>
                <w:bCs w:val="1"/>
                <w:color w:val="auto"/>
                <w:w w:val="95"/>
              </w:rPr>
              <w:t>YoY</w:t>
            </w:r>
          </w:p>
        </w:tc>
        <w:tc>
          <w:tcPr>
            <w:tcW w:w="280" w:type="dxa"/>
            <w:vAlign w:val="bottom"/>
            <w:tcBorders>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3"/>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Sep 19</w:t>
            </w:r>
          </w:p>
        </w:tc>
        <w:tc>
          <w:tcPr>
            <w:tcW w:w="2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gridSpan w:val="2"/>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Sep 20</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Borders>
              <w:bottom w:val="single" w:sz="8" w:color="CCEEFF"/>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Net earned premiums</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615,145</w:t>
            </w: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560,754</w:t>
            </w: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602,361</w:t>
            </w:r>
          </w:p>
        </w:tc>
        <w:tc>
          <w:tcPr>
            <w:tcW w:w="2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7.4%</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79"/>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76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1,796,633</w:t>
            </w:r>
          </w:p>
        </w:tc>
        <w:tc>
          <w:tcPr>
            <w:tcW w:w="2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1,803,822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claims</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(392,520)</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(335,152)</w:t>
            </w:r>
          </w:p>
        </w:tc>
        <w:tc>
          <w:tcPr>
            <w:tcW w:w="10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(517,735)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54.5%</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31.9%</w:t>
            </w:r>
          </w:p>
        </w:tc>
        <w:tc>
          <w:tcPr>
            <w:tcW w:w="10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(1,158,759)</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(1,236,412)</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fees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(147,821)</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(118,750)</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(123,463)</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-16.5%</w:t>
            </w:r>
          </w:p>
        </w:tc>
        <w:tc>
          <w:tcPr>
            <w:tcW w:w="1000" w:type="dxa"/>
            <w:vAlign w:val="bottom"/>
            <w:gridSpan w:val="4"/>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(420,685)</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(398,378)</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underwriting expenses</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(30,293)</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(40,105)</w:t>
            </w:r>
          </w:p>
        </w:tc>
        <w:tc>
          <w:tcPr>
            <w:tcW w:w="10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(26,991)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-10.9%</w:t>
            </w:r>
          </w:p>
        </w:tc>
        <w:tc>
          <w:tcPr>
            <w:tcW w:w="10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(101,065)</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(117,255)</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16.0%</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Underwriting result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44,512</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66,746</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(65,828)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-198.6%</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-247.9%</w:t>
            </w:r>
          </w:p>
        </w:tc>
        <w:tc>
          <w:tcPr>
            <w:tcW w:w="100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116,123</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51,776</w:t>
            </w:r>
          </w:p>
        </w:tc>
        <w:tc>
          <w:tcPr>
            <w:tcW w:w="11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-55.4%</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financial income</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126,226</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137,648</w:t>
            </w:r>
          </w:p>
        </w:tc>
        <w:tc>
          <w:tcPr>
            <w:tcW w:w="10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149,354</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18.3%</w:t>
            </w:r>
          </w:p>
        </w:tc>
        <w:tc>
          <w:tcPr>
            <w:tcW w:w="100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419,831</w:t>
            </w:r>
          </w:p>
        </w:tc>
        <w:tc>
          <w:tcPr>
            <w:tcW w:w="9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422,101</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expenses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(104,421)</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(112,832)</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(105,640)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00" w:type="dxa"/>
            <w:vAlign w:val="bottom"/>
            <w:gridSpan w:val="4"/>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(319,486)</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(323,726)</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14,208</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11,435</w:t>
            </w:r>
          </w:p>
        </w:tc>
        <w:tc>
          <w:tcPr>
            <w:tcW w:w="10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9,972</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-29.8%</w:t>
            </w:r>
          </w:p>
        </w:tc>
        <w:tc>
          <w:tcPr>
            <w:tcW w:w="100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30,079</w:t>
            </w:r>
          </w:p>
        </w:tc>
        <w:tc>
          <w:tcPr>
            <w:tcW w:w="9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29,746</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Traslations results</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1,621</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(1,500)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-1091.9%</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-192.6%</w:t>
            </w:r>
          </w:p>
        </w:tc>
        <w:tc>
          <w:tcPr>
            <w:tcW w:w="100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643</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241</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-62.6%</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EPS contribution</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14,702</w:t>
            </w:r>
          </w:p>
        </w:tc>
        <w:tc>
          <w:tcPr>
            <w:tcW w:w="9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16,806</w:t>
            </w:r>
          </w:p>
        </w:tc>
        <w:tc>
          <w:tcPr>
            <w:tcW w:w="10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9,417</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-35.9%</w:t>
            </w:r>
          </w:p>
        </w:tc>
        <w:tc>
          <w:tcPr>
            <w:tcW w:w="1000" w:type="dxa"/>
            <w:vAlign w:val="bottom"/>
            <w:gridSpan w:val="4"/>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36,378</w:t>
            </w:r>
          </w:p>
        </w:tc>
        <w:tc>
          <w:tcPr>
            <w:tcW w:w="9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43,409</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Medical Assistance insurance deduction</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(5,348)</w:t>
            </w:r>
          </w:p>
        </w:tc>
        <w:tc>
          <w:tcPr>
            <w:tcW w:w="9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(17,944)</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(10,566)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-41.1%</w:t>
            </w:r>
          </w:p>
        </w:tc>
        <w:tc>
          <w:tcPr>
            <w:tcW w:w="160" w:type="dxa"/>
            <w:vAlign w:val="bottom"/>
            <w:shd w:val="clear" w:color="auto" w:fill="CCEEFF"/>
          </w:tcPr>
          <w:p>
            <w:pPr>
              <w:spacing w:after="0"/>
              <w:rPr>
                <w:sz w:val="12"/>
                <w:szCs w:val="12"/>
                <w:color w:val="auto"/>
              </w:rPr>
            </w:pPr>
          </w:p>
        </w:tc>
        <w:tc>
          <w:tcPr>
            <w:tcW w:w="740" w:type="dxa"/>
            <w:vAlign w:val="bottom"/>
            <w:gridSpan w:val="3"/>
            <w:shd w:val="clear" w:color="auto" w:fill="CCEEFF"/>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97.6%</w:t>
            </w:r>
          </w:p>
        </w:tc>
        <w:tc>
          <w:tcPr>
            <w:tcW w:w="1000" w:type="dxa"/>
            <w:vAlign w:val="bottom"/>
            <w:gridSpan w:val="4"/>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(12,830)</w:t>
            </w:r>
          </w:p>
        </w:tc>
        <w:tc>
          <w:tcPr>
            <w:tcW w:w="920" w:type="dxa"/>
            <w:vAlign w:val="bottom"/>
            <w:gridSpan w:val="3"/>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(34,940)</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172.3%</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(1,491)</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(1,125)</w:t>
            </w:r>
          </w:p>
        </w:tc>
        <w:tc>
          <w:tcPr>
            <w:tcW w:w="10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-107.6%</w:t>
            </w:r>
          </w:p>
        </w:tc>
        <w:tc>
          <w:tcPr>
            <w:tcW w:w="160" w:type="dxa"/>
            <w:vAlign w:val="bottom"/>
          </w:tcPr>
          <w:p>
            <w:pPr>
              <w:spacing w:after="0"/>
              <w:rPr>
                <w:sz w:val="12"/>
                <w:szCs w:val="12"/>
                <w:color w:val="auto"/>
              </w:rPr>
            </w:pPr>
          </w:p>
        </w:tc>
        <w:tc>
          <w:tcPr>
            <w:tcW w:w="740" w:type="dxa"/>
            <w:vAlign w:val="bottom"/>
            <w:gridSpan w:val="3"/>
          </w:tcPr>
          <w:p>
            <w:pPr>
              <w:jc w:val="right"/>
              <w:ind w:right="79"/>
              <w:spacing w:after="0" w:line="149" w:lineRule="exact"/>
              <w:rPr>
                <w:sz w:val="20"/>
                <w:szCs w:val="20"/>
                <w:color w:val="auto"/>
              </w:rPr>
            </w:pPr>
            <w:r>
              <w:rPr>
                <w:rFonts w:ascii="Times New Roman" w:cs="Times New Roman" w:eastAsia="Times New Roman" w:hAnsi="Times New Roman"/>
                <w:sz w:val="14"/>
                <w:szCs w:val="14"/>
                <w:color w:val="auto"/>
              </w:rPr>
              <w:t>-105.7%</w:t>
            </w:r>
          </w:p>
        </w:tc>
        <w:tc>
          <w:tcPr>
            <w:tcW w:w="10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(4,367)</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(2,589)</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-40.7%</w:t>
            </w: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before minority interest</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90,008</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100,884</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(14,705)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100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266,371</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186,018</w:t>
            </w:r>
          </w:p>
        </w:tc>
        <w:tc>
          <w:tcPr>
            <w:tcW w:w="11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(2,525)</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(1,848)</w:t>
            </w:r>
          </w:p>
        </w:tc>
        <w:tc>
          <w:tcPr>
            <w:tcW w:w="102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left="26"/>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gridSpan w:val="2"/>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n.a.</w:t>
            </w:r>
          </w:p>
        </w:tc>
        <w:tc>
          <w:tcPr>
            <w:tcW w:w="1000" w:type="dxa"/>
            <w:vAlign w:val="bottom"/>
            <w:gridSpan w:val="4"/>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(7,571)</w:t>
            </w:r>
          </w:p>
        </w:tc>
        <w:tc>
          <w:tcPr>
            <w:tcW w:w="92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(2,875)</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49"/>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87,482</w:t>
            </w:r>
          </w:p>
        </w:tc>
        <w:tc>
          <w:tcPr>
            <w:tcW w:w="96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99,036</w:t>
            </w:r>
          </w:p>
        </w:tc>
        <w:tc>
          <w:tcPr>
            <w:tcW w:w="10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(13,209)</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1000" w:type="dxa"/>
            <w:vAlign w:val="bottom"/>
            <w:gridSpan w:val="4"/>
            <w:shd w:val="clear" w:color="auto" w:fill="CCEEFF"/>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258,800</w:t>
            </w:r>
          </w:p>
        </w:tc>
        <w:tc>
          <w:tcPr>
            <w:tcW w:w="9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183,143</w:t>
            </w:r>
          </w:p>
        </w:tc>
        <w:tc>
          <w:tcPr>
            <w:tcW w:w="11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-29.2%</w:t>
            </w:r>
          </w:p>
        </w:tc>
        <w:tc>
          <w:tcPr>
            <w:tcW w:w="0" w:type="dxa"/>
            <w:vAlign w:val="bottom"/>
          </w:tcPr>
          <w:p>
            <w:pPr>
              <w:spacing w:after="0"/>
              <w:rPr>
                <w:sz w:val="1"/>
                <w:szCs w:val="1"/>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Ratios</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Ceded</w:t>
            </w:r>
          </w:p>
        </w:tc>
        <w:tc>
          <w:tcPr>
            <w:tcW w:w="10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9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1020" w:type="dxa"/>
            <w:vAlign w:val="bottom"/>
            <w:gridSpan w:val="3"/>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-540bps</w:t>
            </w:r>
          </w:p>
        </w:tc>
        <w:tc>
          <w:tcPr>
            <w:tcW w:w="900" w:type="dxa"/>
            <w:vAlign w:val="bottom"/>
            <w:gridSpan w:val="4"/>
            <w:shd w:val="clear" w:color="auto" w:fill="CCEEFF"/>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-200bps</w:t>
            </w:r>
          </w:p>
        </w:tc>
        <w:tc>
          <w:tcPr>
            <w:tcW w:w="1000" w:type="dxa"/>
            <w:vAlign w:val="bottom"/>
            <w:gridSpan w:val="4"/>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15.1%</w:t>
            </w:r>
          </w:p>
        </w:tc>
        <w:tc>
          <w:tcPr>
            <w:tcW w:w="920" w:type="dxa"/>
            <w:vAlign w:val="bottom"/>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14.3%</w:t>
            </w: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-80bps</w:t>
            </w:r>
          </w:p>
        </w:tc>
        <w:tc>
          <w:tcPr>
            <w:tcW w:w="0" w:type="dxa"/>
            <w:vAlign w:val="bottom"/>
          </w:tcPr>
          <w:p>
            <w:pPr>
              <w:spacing w:after="0"/>
              <w:rPr>
                <w:sz w:val="1"/>
                <w:szCs w:val="1"/>
                <w:color w:val="auto"/>
              </w:rPr>
            </w:pPr>
          </w:p>
        </w:tc>
      </w:tr>
      <w:tr>
        <w:trPr>
          <w:trHeight w:val="189"/>
        </w:trPr>
        <w:tc>
          <w:tcPr>
            <w:tcW w:w="324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Loss ratio </w:t>
            </w:r>
            <w:r>
              <w:rPr>
                <w:rFonts w:ascii="Times New Roman" w:cs="Times New Roman" w:eastAsia="Times New Roman" w:hAnsi="Times New Roman"/>
                <w:sz w:val="21"/>
                <w:szCs w:val="21"/>
                <w:color w:val="auto"/>
                <w:vertAlign w:val="superscript"/>
              </w:rPr>
              <w:t>(2)</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63.8%</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59.8%</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86.0%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2620bps</w:t>
            </w:r>
          </w:p>
        </w:tc>
        <w:tc>
          <w:tcPr>
            <w:tcW w:w="90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color w:val="auto"/>
              </w:rPr>
              <w:t>2220bps</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64.5%</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68.5%</w:t>
            </w:r>
          </w:p>
        </w:tc>
        <w:tc>
          <w:tcPr>
            <w:tcW w:w="8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400bps</w:t>
            </w:r>
          </w:p>
        </w:tc>
        <w:tc>
          <w:tcPr>
            <w:tcW w:w="0" w:type="dxa"/>
            <w:vAlign w:val="bottom"/>
          </w:tcPr>
          <w:p>
            <w:pPr>
              <w:spacing w:after="0"/>
              <w:rPr>
                <w:sz w:val="1"/>
                <w:szCs w:val="1"/>
                <w:color w:val="auto"/>
              </w:rPr>
            </w:pPr>
          </w:p>
        </w:tc>
      </w:tr>
      <w:tr>
        <w:trPr>
          <w:trHeight w:val="126"/>
        </w:trPr>
        <w:tc>
          <w:tcPr>
            <w:tcW w:w="32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Fees + underwriting expenses, net / net earned</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29.0%</w:t>
            </w:r>
          </w:p>
        </w:tc>
        <w:tc>
          <w:tcPr>
            <w:tcW w:w="9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28.3%</w:t>
            </w:r>
          </w:p>
        </w:tc>
        <w:tc>
          <w:tcPr>
            <w:tcW w:w="102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w:t>
            </w: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-330bps</w:t>
            </w:r>
          </w:p>
        </w:tc>
        <w:tc>
          <w:tcPr>
            <w:tcW w:w="900" w:type="dxa"/>
            <w:vAlign w:val="bottom"/>
            <w:gridSpan w:val="4"/>
            <w:vMerge w:val="restart"/>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-400bps</w:t>
            </w:r>
          </w:p>
        </w:tc>
        <w:tc>
          <w:tcPr>
            <w:tcW w:w="1000" w:type="dxa"/>
            <w:vAlign w:val="bottom"/>
            <w:gridSpan w:val="4"/>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29.0%</w:t>
            </w:r>
          </w:p>
        </w:tc>
        <w:tc>
          <w:tcPr>
            <w:tcW w:w="92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28.6%</w:t>
            </w:r>
          </w:p>
        </w:tc>
        <w:tc>
          <w:tcPr>
            <w:tcW w:w="80" w:type="dxa"/>
            <w:vAlign w:val="bottom"/>
            <w:shd w:val="clear" w:color="auto" w:fill="CCEEFF"/>
          </w:tcPr>
          <w:p>
            <w:pPr>
              <w:spacing w:after="0"/>
              <w:rPr>
                <w:sz w:val="10"/>
                <w:szCs w:val="10"/>
                <w:color w:val="auto"/>
              </w:rPr>
            </w:pPr>
          </w:p>
        </w:tc>
        <w:tc>
          <w:tcPr>
            <w:tcW w:w="1060" w:type="dxa"/>
            <w:vAlign w:val="bottom"/>
            <w:gridSpan w:val="3"/>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-40bps</w:t>
            </w:r>
          </w:p>
        </w:tc>
        <w:tc>
          <w:tcPr>
            <w:tcW w:w="0" w:type="dxa"/>
            <w:vAlign w:val="bottom"/>
          </w:tcPr>
          <w:p>
            <w:pPr>
              <w:spacing w:after="0"/>
              <w:rPr>
                <w:sz w:val="1"/>
                <w:szCs w:val="1"/>
                <w:color w:val="auto"/>
              </w:rPr>
            </w:pPr>
          </w:p>
        </w:tc>
      </w:tr>
      <w:tr>
        <w:trPr>
          <w:trHeight w:val="171"/>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premiums</w:t>
            </w:r>
          </w:p>
        </w:tc>
        <w:tc>
          <w:tcPr>
            <w:tcW w:w="1000" w:type="dxa"/>
            <w:vAlign w:val="bottom"/>
            <w:gridSpan w:val="2"/>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02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900" w:type="dxa"/>
            <w:vAlign w:val="bottom"/>
            <w:gridSpan w:val="4"/>
            <w:vMerge w:val="continue"/>
            <w:shd w:val="clear" w:color="auto" w:fill="CCEEFF"/>
          </w:tcPr>
          <w:p>
            <w:pPr>
              <w:spacing w:after="0"/>
              <w:rPr>
                <w:sz w:val="14"/>
                <w:szCs w:val="14"/>
                <w:color w:val="auto"/>
              </w:rPr>
            </w:pPr>
          </w:p>
        </w:tc>
        <w:tc>
          <w:tcPr>
            <w:tcW w:w="1000" w:type="dxa"/>
            <w:vAlign w:val="bottom"/>
            <w:gridSpan w:val="4"/>
            <w:vMerge w:val="continue"/>
            <w:shd w:val="clear" w:color="auto" w:fill="CCEEFF"/>
          </w:tcPr>
          <w:p>
            <w:pPr>
              <w:spacing w:after="0"/>
              <w:rPr>
                <w:sz w:val="14"/>
                <w:szCs w:val="14"/>
                <w:color w:val="auto"/>
              </w:rPr>
            </w:pPr>
          </w:p>
        </w:tc>
        <w:tc>
          <w:tcPr>
            <w:tcW w:w="92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gridSpan w:val="3"/>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Operating expenses / net earned premiums</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17.0%</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-260bps</w:t>
            </w:r>
          </w:p>
        </w:tc>
        <w:tc>
          <w:tcPr>
            <w:tcW w:w="160" w:type="dxa"/>
            <w:vAlign w:val="bottom"/>
          </w:tcPr>
          <w:p>
            <w:pPr>
              <w:spacing w:after="0"/>
              <w:rPr>
                <w:sz w:val="12"/>
                <w:szCs w:val="12"/>
                <w:color w:val="auto"/>
              </w:rPr>
            </w:pPr>
          </w:p>
        </w:tc>
        <w:tc>
          <w:tcPr>
            <w:tcW w:w="740" w:type="dxa"/>
            <w:vAlign w:val="bottom"/>
            <w:gridSpan w:val="3"/>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50bps</w:t>
            </w:r>
          </w:p>
        </w:tc>
        <w:tc>
          <w:tcPr>
            <w:tcW w:w="100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17.8%</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8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10bps</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21"/>
                <w:szCs w:val="21"/>
                <w:color w:val="auto"/>
                <w:vertAlign w:val="subscript"/>
              </w:rPr>
              <w:t>ROAE</w:t>
            </w:r>
            <w:r>
              <w:rPr>
                <w:rFonts w:ascii="Times New Roman" w:cs="Times New Roman" w:eastAsia="Times New Roman" w:hAnsi="Times New Roman"/>
                <w:sz w:val="10"/>
                <w:szCs w:val="10"/>
                <w:color w:val="auto"/>
              </w:rPr>
              <w:t xml:space="preserve"> (3)(4)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14.6%</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-2.1%</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-1670bps</w:t>
            </w:r>
          </w:p>
        </w:tc>
        <w:tc>
          <w:tcPr>
            <w:tcW w:w="900" w:type="dxa"/>
            <w:vAlign w:val="bottom"/>
            <w:gridSpan w:val="4"/>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-1310bps</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11.8%</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-370bps</w:t>
            </w:r>
          </w:p>
        </w:tc>
        <w:tc>
          <w:tcPr>
            <w:tcW w:w="0" w:type="dxa"/>
            <w:vAlign w:val="bottom"/>
          </w:tcPr>
          <w:p>
            <w:pPr>
              <w:spacing w:after="0"/>
              <w:rPr>
                <w:sz w:val="1"/>
                <w:szCs w:val="1"/>
                <w:color w:val="auto"/>
              </w:rPr>
            </w:pP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Return on written premiums</w:t>
            </w:r>
          </w:p>
        </w:tc>
        <w:tc>
          <w:tcPr>
            <w:tcW w:w="10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9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12.3%</w:t>
            </w:r>
          </w:p>
        </w:tc>
        <w:tc>
          <w:tcPr>
            <w:tcW w:w="102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-1380bps</w:t>
            </w:r>
          </w:p>
        </w:tc>
        <w:tc>
          <w:tcPr>
            <w:tcW w:w="900" w:type="dxa"/>
            <w:vAlign w:val="bottom"/>
            <w:gridSpan w:val="4"/>
          </w:tcPr>
          <w:p>
            <w:pPr>
              <w:jc w:val="right"/>
              <w:ind w:right="199"/>
              <w:spacing w:after="0" w:line="149" w:lineRule="exact"/>
              <w:rPr>
                <w:sz w:val="20"/>
                <w:szCs w:val="20"/>
                <w:color w:val="auto"/>
              </w:rPr>
            </w:pPr>
            <w:r>
              <w:rPr>
                <w:rFonts w:ascii="Times New Roman" w:cs="Times New Roman" w:eastAsia="Times New Roman" w:hAnsi="Times New Roman"/>
                <w:sz w:val="14"/>
                <w:szCs w:val="14"/>
                <w:color w:val="auto"/>
              </w:rPr>
              <w:t>-1160bps</w:t>
            </w:r>
          </w:p>
        </w:tc>
        <w:tc>
          <w:tcPr>
            <w:tcW w:w="100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92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2"/>
                <w:szCs w:val="12"/>
                <w:color w:val="auto"/>
              </w:rPr>
            </w:pPr>
          </w:p>
        </w:tc>
        <w:tc>
          <w:tcPr>
            <w:tcW w:w="106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-250bps</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Combined ratio of Life </w:t>
            </w:r>
            <w:r>
              <w:rPr>
                <w:rFonts w:ascii="Times New Roman" w:cs="Times New Roman" w:eastAsia="Times New Roman" w:hAnsi="Times New Roman"/>
                <w:sz w:val="21"/>
                <w:szCs w:val="21"/>
                <w:color w:val="auto"/>
                <w:vertAlign w:val="superscript"/>
              </w:rPr>
              <w:t>(5)</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114.6%</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122.1%</w:t>
            </w: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143.4%</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2130bps</w:t>
            </w:r>
          </w:p>
        </w:tc>
        <w:tc>
          <w:tcPr>
            <w:tcW w:w="900" w:type="dxa"/>
            <w:vAlign w:val="bottom"/>
            <w:gridSpan w:val="4"/>
            <w:shd w:val="clear" w:color="auto" w:fill="CCEEFF"/>
          </w:tcPr>
          <w:p>
            <w:pPr>
              <w:jc w:val="right"/>
              <w:ind w:right="199"/>
              <w:spacing w:after="0"/>
              <w:rPr>
                <w:sz w:val="20"/>
                <w:szCs w:val="20"/>
                <w:color w:val="auto"/>
              </w:rPr>
            </w:pPr>
            <w:r>
              <w:rPr>
                <w:rFonts w:ascii="Times New Roman" w:cs="Times New Roman" w:eastAsia="Times New Roman" w:hAnsi="Times New Roman"/>
                <w:sz w:val="14"/>
                <w:szCs w:val="14"/>
                <w:color w:val="auto"/>
              </w:rPr>
              <w:t>2880bps</w:t>
            </w: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114.6%</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2880bps</w:t>
            </w:r>
          </w:p>
        </w:tc>
        <w:tc>
          <w:tcPr>
            <w:tcW w:w="0" w:type="dxa"/>
            <w:vAlign w:val="bottom"/>
          </w:tcPr>
          <w:p>
            <w:pPr>
              <w:spacing w:after="0"/>
              <w:rPr>
                <w:sz w:val="1"/>
                <w:szCs w:val="1"/>
                <w:color w:val="auto"/>
              </w:rPr>
            </w:pPr>
          </w:p>
        </w:tc>
      </w:tr>
      <w:tr>
        <w:trPr>
          <w:trHeight w:val="189"/>
        </w:trPr>
        <w:tc>
          <w:tcPr>
            <w:tcW w:w="3240" w:type="dxa"/>
            <w:vAlign w:val="bottom"/>
          </w:tcPr>
          <w:p>
            <w:pPr>
              <w:spacing w:after="0" w:line="189" w:lineRule="exact"/>
              <w:rPr>
                <w:sz w:val="20"/>
                <w:szCs w:val="20"/>
                <w:color w:val="auto"/>
              </w:rPr>
            </w:pPr>
            <w:r>
              <w:rPr>
                <w:rFonts w:ascii="Times New Roman" w:cs="Times New Roman" w:eastAsia="Times New Roman" w:hAnsi="Times New Roman"/>
                <w:sz w:val="13"/>
                <w:szCs w:val="13"/>
                <w:color w:val="auto"/>
              </w:rPr>
              <w:t xml:space="preserve">Combined ratio of P&amp;C </w:t>
            </w:r>
            <w:r>
              <w:rPr>
                <w:rFonts w:ascii="Times New Roman" w:cs="Times New Roman" w:eastAsia="Times New Roman" w:hAnsi="Times New Roman"/>
                <w:sz w:val="21"/>
                <w:szCs w:val="21"/>
                <w:color w:val="auto"/>
                <w:vertAlign w:val="superscript"/>
              </w:rPr>
              <w:t>(6)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97.9%</w:t>
            </w: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79.8%</w:t>
            </w:r>
          </w:p>
        </w:tc>
        <w:tc>
          <w:tcPr>
            <w:tcW w:w="102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color w:val="auto"/>
              </w:rPr>
              <w:t>84.8%</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500bps</w:t>
            </w:r>
          </w:p>
        </w:tc>
        <w:tc>
          <w:tcPr>
            <w:tcW w:w="900" w:type="dxa"/>
            <w:vAlign w:val="bottom"/>
            <w:gridSpan w:val="4"/>
          </w:tcPr>
          <w:p>
            <w:pPr>
              <w:jc w:val="right"/>
              <w:ind w:right="199"/>
              <w:spacing w:after="0"/>
              <w:rPr>
                <w:sz w:val="20"/>
                <w:szCs w:val="20"/>
                <w:color w:val="auto"/>
              </w:rPr>
            </w:pPr>
            <w:r>
              <w:rPr>
                <w:rFonts w:ascii="Times New Roman" w:cs="Times New Roman" w:eastAsia="Times New Roman" w:hAnsi="Times New Roman"/>
                <w:sz w:val="14"/>
                <w:szCs w:val="14"/>
                <w:color w:val="auto"/>
              </w:rPr>
              <w:t>-1310bps</w:t>
            </w: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color w:val="auto"/>
              </w:rPr>
              <w:t>97.9%</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color w:val="auto"/>
              </w:rPr>
              <w:t>84.8%</w:t>
            </w:r>
          </w:p>
        </w:tc>
        <w:tc>
          <w:tcPr>
            <w:tcW w:w="80" w:type="dxa"/>
            <w:vAlign w:val="bottom"/>
          </w:tcPr>
          <w:p>
            <w:pPr>
              <w:spacing w:after="0"/>
              <w:rPr>
                <w:sz w:val="16"/>
                <w:szCs w:val="16"/>
                <w:color w:val="auto"/>
              </w:rPr>
            </w:pPr>
          </w:p>
        </w:tc>
        <w:tc>
          <w:tcPr>
            <w:tcW w:w="106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-1310bps</w:t>
            </w: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3"/>
                <w:szCs w:val="13"/>
                <w:color w:val="auto"/>
              </w:rPr>
              <w:t xml:space="preserve">Equity requirement ratio </w:t>
            </w:r>
            <w:r>
              <w:rPr>
                <w:rFonts w:ascii="Times New Roman" w:cs="Times New Roman" w:eastAsia="Times New Roman" w:hAnsi="Times New Roman"/>
                <w:sz w:val="21"/>
                <w:szCs w:val="21"/>
                <w:color w:val="auto"/>
                <w:vertAlign w:val="superscript"/>
              </w:rPr>
              <w:t>(7)</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1.17x</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1.35x</w:t>
            </w:r>
          </w:p>
        </w:tc>
        <w:tc>
          <w:tcPr>
            <w:tcW w:w="40" w:type="dxa"/>
            <w:vAlign w:val="bottom"/>
            <w:shd w:val="clear" w:color="auto" w:fill="CCEEFF"/>
          </w:tcPr>
          <w:p>
            <w:pPr>
              <w:spacing w:after="0"/>
              <w:rPr>
                <w:sz w:val="16"/>
                <w:szCs w:val="16"/>
                <w:color w:val="auto"/>
              </w:rPr>
            </w:pPr>
          </w:p>
        </w:tc>
        <w:tc>
          <w:tcPr>
            <w:tcW w:w="1200" w:type="dxa"/>
            <w:vAlign w:val="bottom"/>
            <w:gridSpan w:val="5"/>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1.33x</w:t>
            </w:r>
          </w:p>
        </w:tc>
        <w:tc>
          <w:tcPr>
            <w:tcW w:w="840" w:type="dxa"/>
            <w:vAlign w:val="bottom"/>
            <w:gridSpan w:val="2"/>
            <w:shd w:val="clear" w:color="auto" w:fill="CCEEFF"/>
          </w:tcPr>
          <w:p>
            <w:pPr>
              <w:jc w:val="center"/>
              <w:ind w:left="46"/>
              <w:spacing w:after="0"/>
              <w:rPr>
                <w:sz w:val="20"/>
                <w:szCs w:val="20"/>
                <w:color w:val="auto"/>
              </w:rPr>
            </w:pPr>
            <w:r>
              <w:rPr>
                <w:rFonts w:ascii="Times New Roman" w:cs="Times New Roman" w:eastAsia="Times New Roman" w:hAnsi="Times New Roman"/>
                <w:sz w:val="14"/>
                <w:szCs w:val="14"/>
                <w:color w:val="auto"/>
              </w:rPr>
              <w:t>0.02x</w:t>
            </w:r>
          </w:p>
        </w:tc>
        <w:tc>
          <w:tcPr>
            <w:tcW w:w="16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4"/>
                <w:szCs w:val="14"/>
                <w:color w:val="auto"/>
              </w:rPr>
              <w:t>0.16x</w:t>
            </w:r>
          </w:p>
        </w:tc>
        <w:tc>
          <w:tcPr>
            <w:tcW w:w="460" w:type="dxa"/>
            <w:vAlign w:val="bottom"/>
            <w:shd w:val="clear" w:color="auto" w:fill="CCEEFF"/>
          </w:tcPr>
          <w:p>
            <w:pPr>
              <w:spacing w:after="0"/>
              <w:rPr>
                <w:sz w:val="16"/>
                <w:szCs w:val="16"/>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1.17x</w:t>
            </w:r>
          </w:p>
        </w:tc>
        <w:tc>
          <w:tcPr>
            <w:tcW w:w="9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1.33x</w:t>
            </w:r>
          </w:p>
        </w:tc>
        <w:tc>
          <w:tcPr>
            <w:tcW w:w="80" w:type="dxa"/>
            <w:vAlign w:val="bottom"/>
            <w:shd w:val="clear" w:color="auto" w:fill="CCEEFF"/>
          </w:tcPr>
          <w:p>
            <w:pPr>
              <w:spacing w:after="0"/>
              <w:rPr>
                <w:sz w:val="16"/>
                <w:szCs w:val="16"/>
                <w:color w:val="auto"/>
              </w:rPr>
            </w:pPr>
          </w:p>
        </w:tc>
        <w:tc>
          <w:tcPr>
            <w:tcW w:w="10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0.16x</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*Financial statements without consolidation adjustments.</w:t>
      </w:r>
    </w:p>
    <w:p>
      <w:pPr>
        <w:ind w:left="220" w:hanging="212"/>
        <w:spacing w:after="0" w:line="226" w:lineRule="auto"/>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Excluding investments in real estate.</w:t>
      </w:r>
    </w:p>
    <w:p>
      <w:pPr>
        <w:ind w:left="220" w:hanging="212"/>
        <w:spacing w:after="0" w:line="221" w:lineRule="auto"/>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claims / Net earned premiums.</w:t>
      </w:r>
    </w:p>
    <w:p>
      <w:pPr>
        <w:ind w:left="220" w:hanging="212"/>
        <w:spacing w:after="0" w:line="221" w:lineRule="auto"/>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unrealized gains.</w:t>
      </w:r>
    </w:p>
    <w:p>
      <w:pPr>
        <w:ind w:left="220" w:hanging="212"/>
        <w:spacing w:after="0" w:line="221" w:lineRule="auto"/>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Annualized and average are determined as the average of period beginning and period ending.</w:t>
      </w:r>
    </w:p>
    <w:p>
      <w:pPr>
        <w:ind w:firstLine="8"/>
        <w:spacing w:after="0" w:line="221" w:lineRule="auto"/>
        <w:tabs>
          <w:tab w:leader="none" w:pos="21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claims / Net earned premiums) + Reserves / Net earned premiums) + [(Acquisition cost + total expenses) / Net earned premiums] - (Net Financial Income without real estate sales, securities sales, impairment loss and fluctuation / Net earned premiums).</w:t>
      </w:r>
    </w:p>
    <w:p>
      <w:pPr>
        <w:ind w:left="220" w:hanging="212"/>
        <w:spacing w:after="0" w:line="221" w:lineRule="auto"/>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claims / Net earned premiums) + [(Acquisition cost + total expenses) / Net earned premiums].</w:t>
      </w:r>
    </w:p>
    <w:p>
      <w:pPr>
        <w:ind w:left="220" w:hanging="212"/>
        <w:spacing w:after="0"/>
        <w:tabs>
          <w:tab w:leader="none" w:pos="22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Support to cover credit risk, market risk and operational risk.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1Q15 and on, Grupo Pacifico’s financial statements reflect the association with Banmedica. This partnership includes:</w:t>
      </w:r>
    </w:p>
    <w:p>
      <w:pPr>
        <w:spacing w:after="0" w:line="225" w:lineRule="exact"/>
        <w:rPr>
          <w:sz w:val="20"/>
          <w:szCs w:val="20"/>
          <w:color w:val="auto"/>
        </w:rPr>
      </w:pPr>
    </w:p>
    <w:p>
      <w:pPr>
        <w:ind w:left="880" w:right="20" w:hanging="494"/>
        <w:spacing w:after="0" w:line="282" w:lineRule="auto"/>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private health insurance business, which is managed by Grupo Pacifico and incorporated in each line of Grupo Pacifico’s financial statements;</w:t>
      </w:r>
    </w:p>
    <w:p>
      <w:pPr>
        <w:spacing w:after="0" w:line="161"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health insurance for payroll employees; and</w:t>
      </w:r>
    </w:p>
    <w:p>
      <w:pPr>
        <w:spacing w:after="0" w:line="225" w:lineRule="exact"/>
        <w:rPr>
          <w:rFonts w:ascii="Times New Roman" w:cs="Times New Roman" w:eastAsia="Times New Roman" w:hAnsi="Times New Roman"/>
          <w:sz w:val="18"/>
          <w:szCs w:val="18"/>
          <w:color w:val="auto"/>
        </w:rPr>
      </w:pPr>
    </w:p>
    <w:p>
      <w:pPr>
        <w:ind w:left="880" w:hanging="494"/>
        <w:spacing w:after="0"/>
        <w:tabs>
          <w:tab w:leader="none" w:pos="8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services.</w:t>
      </w:r>
    </w:p>
    <w:p>
      <w:pPr>
        <w:spacing w:after="0" w:line="225" w:lineRule="exact"/>
        <w:rPr>
          <w:sz w:val="20"/>
          <w:szCs w:val="20"/>
          <w:color w:val="auto"/>
        </w:rPr>
      </w:pPr>
    </w:p>
    <w:p>
      <w:pPr>
        <w:ind w:left="60" w:right="20"/>
        <w:spacing w:after="0" w:line="282" w:lineRule="auto"/>
        <w:rPr>
          <w:sz w:val="20"/>
          <w:szCs w:val="20"/>
          <w:color w:val="auto"/>
        </w:rPr>
      </w:pPr>
      <w:r>
        <w:rPr>
          <w:rFonts w:ascii="Times New Roman" w:cs="Times New Roman" w:eastAsia="Times New Roman" w:hAnsi="Times New Roman"/>
          <w:sz w:val="18"/>
          <w:szCs w:val="18"/>
          <w:color w:val="auto"/>
        </w:rPr>
        <w:t>The businesses described in ii) and iii) are managed by Banmedica, therefore they do not consolidate in Grupo Pacifico’s financial statements. The 50% of net income generated by Banmedica is recorded in Grupo Pacifico’s Income Statement as a gain/loss on investments in subsidiaries.</w:t>
      </w:r>
    </w:p>
    <w:p>
      <w:pPr>
        <w:spacing w:after="0" w:line="158" w:lineRule="exact"/>
        <w:rPr>
          <w:sz w:val="20"/>
          <w:szCs w:val="20"/>
          <w:color w:val="auto"/>
        </w:rPr>
      </w:pPr>
    </w:p>
    <w:p>
      <w:pPr>
        <w:ind w:left="60" w:right="20"/>
        <w:spacing w:after="0" w:line="286" w:lineRule="auto"/>
        <w:rPr>
          <w:sz w:val="20"/>
          <w:szCs w:val="20"/>
          <w:color w:val="auto"/>
        </w:rPr>
      </w:pPr>
      <w:r>
        <w:rPr>
          <w:rFonts w:ascii="Times New Roman" w:cs="Times New Roman" w:eastAsia="Times New Roman" w:hAnsi="Times New Roman"/>
          <w:sz w:val="18"/>
          <w:szCs w:val="18"/>
          <w:color w:val="auto"/>
        </w:rPr>
        <w:t xml:space="preserve">As explained before, </w:t>
      </w:r>
      <w:r>
        <w:rPr>
          <w:rFonts w:ascii="Times New Roman" w:cs="Times New Roman" w:eastAsia="Times New Roman" w:hAnsi="Times New Roman"/>
          <w:sz w:val="18"/>
          <w:szCs w:val="18"/>
          <w:b w:val="1"/>
          <w:bCs w:val="1"/>
          <w:color w:val="auto"/>
        </w:rPr>
        <w:t>corporate health insurance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medical services</w:t>
      </w:r>
      <w:r>
        <w:rPr>
          <w:rFonts w:ascii="Times New Roman" w:cs="Times New Roman" w:eastAsia="Times New Roman" w:hAnsi="Times New Roman"/>
          <w:sz w:val="18"/>
          <w:szCs w:val="18"/>
          <w:color w:val="auto"/>
        </w:rPr>
        <w:t xml:space="preserve"> businesses are consolidated by Banmedica. The following table reflects the consolidated results from which Grupo Pacifico receives the 50% net income.</w:t>
      </w:r>
    </w:p>
    <w:p>
      <w:pPr>
        <w:spacing w:after="0" w:line="37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Health Insurance and Medical Services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YTD</w:t>
            </w: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3240" w:type="dxa"/>
            <w:vAlign w:val="bottom"/>
          </w:tcPr>
          <w:p>
            <w:pPr>
              <w:spacing w:after="0"/>
              <w:rPr>
                <w:sz w:val="13"/>
                <w:szCs w:val="13"/>
                <w:color w:val="auto"/>
              </w:rPr>
            </w:pPr>
          </w:p>
        </w:tc>
        <w:tc>
          <w:tcPr>
            <w:tcW w:w="100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980" w:type="dxa"/>
            <w:vAlign w:val="bottom"/>
            <w:tcBorders>
              <w:top w:val="single" w:sz="8" w:color="auto"/>
            </w:tcBorders>
            <w:gridSpan w:val="2"/>
          </w:tcPr>
          <w:p>
            <w:pPr>
              <w:jc w:val="right"/>
              <w:ind w:right="440"/>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760" w:type="dxa"/>
            <w:vAlign w:val="bottom"/>
            <w:tcBorders>
              <w:top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220" w:type="dxa"/>
            <w:vAlign w:val="bottom"/>
          </w:tcPr>
          <w:p>
            <w:pPr>
              <w:spacing w:after="0"/>
              <w:rPr>
                <w:sz w:val="13"/>
                <w:szCs w:val="13"/>
                <w:color w:val="auto"/>
              </w:rPr>
            </w:pPr>
          </w:p>
        </w:tc>
        <w:tc>
          <w:tcPr>
            <w:tcW w:w="1140" w:type="dxa"/>
            <w:vAlign w:val="bottom"/>
            <w:tcBorders>
              <w:top w:val="single" w:sz="8" w:color="auto"/>
            </w:tcBorders>
            <w:gridSpan w:val="3"/>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44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YoY</w:t>
            </w:r>
          </w:p>
        </w:tc>
        <w:tc>
          <w:tcPr>
            <w:tcW w:w="320" w:type="dxa"/>
            <w:vAlign w:val="bottom"/>
          </w:tcPr>
          <w:p>
            <w:pPr>
              <w:spacing w:after="0"/>
              <w:rPr>
                <w:sz w:val="13"/>
                <w:szCs w:val="13"/>
                <w:color w:val="auto"/>
              </w:rPr>
            </w:pPr>
          </w:p>
        </w:tc>
        <w:tc>
          <w:tcPr>
            <w:tcW w:w="1160" w:type="dxa"/>
            <w:vAlign w:val="bottom"/>
            <w:tcBorders>
              <w:top w:val="single" w:sz="8" w:color="auto"/>
            </w:tcBorders>
            <w:gridSpan w:val="3"/>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720" w:type="dxa"/>
            <w:vAlign w:val="bottom"/>
            <w:tcBorders>
              <w:top w:val="single" w:sz="8" w:color="auto"/>
            </w:tcBorders>
          </w:tcPr>
          <w:p>
            <w:pPr>
              <w:jc w:val="right"/>
              <w:ind w:right="168"/>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140" w:type="dxa"/>
            <w:vAlign w:val="bottom"/>
          </w:tcPr>
          <w:p>
            <w:pPr>
              <w:spacing w:after="0"/>
              <w:rPr>
                <w:sz w:val="13"/>
                <w:szCs w:val="13"/>
                <w:color w:val="auto"/>
              </w:rPr>
            </w:pPr>
          </w:p>
        </w:tc>
      </w:tr>
      <w:tr>
        <w:trPr>
          <w:trHeight w:val="142"/>
        </w:trPr>
        <w:tc>
          <w:tcPr>
            <w:tcW w:w="32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Results</w:t>
            </w: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auto"/>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earned premiums</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275,951</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266,614</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285,899</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3.6%</w:t>
            </w:r>
          </w:p>
        </w:tc>
        <w:tc>
          <w:tcPr>
            <w:tcW w:w="10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799,131</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830,770</w:t>
            </w:r>
          </w:p>
        </w:tc>
        <w:tc>
          <w:tcPr>
            <w:tcW w:w="11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claims</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(233,949)</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(173,711)</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(243,096)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0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(693,250)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(630,785)</w:t>
            </w:r>
          </w:p>
        </w:tc>
        <w:tc>
          <w:tcPr>
            <w:tcW w:w="11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-9.0%</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fees</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(12,365)</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(11,455)</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(12,185)</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0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(35,941)</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(35,758)</w:t>
            </w:r>
          </w:p>
        </w:tc>
        <w:tc>
          <w:tcPr>
            <w:tcW w:w="11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-0.5%</w:t>
            </w:r>
          </w:p>
        </w:tc>
      </w:tr>
      <w:tr>
        <w:trPr>
          <w:trHeight w:val="149"/>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underwriting expenses</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(2,486)</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(2,929)</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(2,646)</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10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(7,890)</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(8,421)</w:t>
            </w:r>
          </w:p>
        </w:tc>
        <w:tc>
          <w:tcPr>
            <w:tcW w:w="11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6.7%</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Underwriting result</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27,151</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78,520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27,972</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-64.4%</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3.0%</w:t>
            </w:r>
          </w:p>
        </w:tc>
        <w:tc>
          <w:tcPr>
            <w:tcW w:w="10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62,051</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155,806</w:t>
            </w:r>
          </w:p>
        </w:tc>
        <w:tc>
          <w:tcPr>
            <w:tcW w:w="114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151.1%</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financial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1,612</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1,990</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1,658</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4,187</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4,180</w:t>
            </w:r>
          </w:p>
        </w:tc>
        <w:tc>
          <w:tcPr>
            <w:tcW w:w="11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-0.2%</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expenses</w:t>
            </w:r>
          </w:p>
        </w:tc>
        <w:tc>
          <w:tcPr>
            <w:tcW w:w="10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(18,352)</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(19,767)</w:t>
            </w:r>
          </w:p>
        </w:tc>
        <w:tc>
          <w:tcPr>
            <w:tcW w:w="9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(18,340)</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10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(54,091)</w:t>
            </w:r>
          </w:p>
        </w:tc>
        <w:tc>
          <w:tcPr>
            <w:tcW w:w="160" w:type="dxa"/>
            <w:vAlign w:val="bottom"/>
          </w:tcPr>
          <w:p>
            <w:pPr>
              <w:spacing w:after="0"/>
              <w:rPr>
                <w:sz w:val="12"/>
                <w:szCs w:val="12"/>
                <w:color w:val="auto"/>
              </w:rPr>
            </w:pPr>
          </w:p>
        </w:tc>
        <w:tc>
          <w:tcPr>
            <w:tcW w:w="8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(57,766)</w:t>
            </w:r>
          </w:p>
        </w:tc>
        <w:tc>
          <w:tcPr>
            <w:tcW w:w="11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251</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162</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513</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217.1%</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104.2%</w:t>
            </w:r>
          </w:p>
        </w:tc>
        <w:tc>
          <w:tcPr>
            <w:tcW w:w="10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1,884</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919</w:t>
            </w:r>
          </w:p>
        </w:tc>
        <w:tc>
          <w:tcPr>
            <w:tcW w:w="114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-51.2%</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Traslations results</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1,030</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1,386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776</w:t>
            </w:r>
          </w:p>
        </w:tc>
        <w:tc>
          <w:tcPr>
            <w:tcW w:w="10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-44.0%</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-24.7%</w:t>
            </w:r>
          </w:p>
        </w:tc>
        <w:tc>
          <w:tcPr>
            <w:tcW w:w="10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817</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3,081</w:t>
            </w:r>
          </w:p>
        </w:tc>
        <w:tc>
          <w:tcPr>
            <w:tcW w:w="114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277.2%</w:t>
            </w:r>
          </w:p>
        </w:tc>
      </w:tr>
      <w:tr>
        <w:trPr>
          <w:trHeight w:val="149"/>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0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(3,716)</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(19,699)</w:t>
            </w:r>
          </w:p>
        </w:tc>
        <w:tc>
          <w:tcPr>
            <w:tcW w:w="98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(3,655)</w:t>
            </w:r>
          </w:p>
        </w:tc>
        <w:tc>
          <w:tcPr>
            <w:tcW w:w="10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-81.4%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(4,772)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(33,179)</w:t>
            </w:r>
          </w:p>
        </w:tc>
        <w:tc>
          <w:tcPr>
            <w:tcW w:w="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n.a</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before Medical services</w:t>
            </w:r>
          </w:p>
        </w:tc>
        <w:tc>
          <w:tcPr>
            <w:tcW w:w="10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7,976</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42,592</w:t>
            </w:r>
          </w:p>
        </w:tc>
        <w:tc>
          <w:tcPr>
            <w:tcW w:w="98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8,923</w:t>
            </w:r>
          </w:p>
        </w:tc>
        <w:tc>
          <w:tcPr>
            <w:tcW w:w="10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-79.0%</w:t>
            </w:r>
          </w:p>
        </w:tc>
        <w:tc>
          <w:tcPr>
            <w:tcW w:w="10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11.9%</w:t>
            </w:r>
          </w:p>
        </w:tc>
        <w:tc>
          <w:tcPr>
            <w:tcW w:w="100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10,076</w:t>
            </w:r>
          </w:p>
        </w:tc>
        <w:tc>
          <w:tcPr>
            <w:tcW w:w="16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73,041</w:t>
            </w:r>
          </w:p>
        </w:tc>
        <w:tc>
          <w:tcPr>
            <w:tcW w:w="80" w:type="dxa"/>
            <w:vAlign w:val="bottom"/>
          </w:tcPr>
          <w:p>
            <w:pPr>
              <w:spacing w:after="0"/>
              <w:rPr>
                <w:sz w:val="12"/>
                <w:szCs w:val="12"/>
                <w:color w:val="auto"/>
              </w:rPr>
            </w:pPr>
          </w:p>
        </w:tc>
        <w:tc>
          <w:tcPr>
            <w:tcW w:w="10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of Medical services</w:t>
            </w:r>
          </w:p>
        </w:tc>
        <w:tc>
          <w:tcPr>
            <w:tcW w:w="10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21,341</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-9,169</w:t>
            </w:r>
          </w:p>
        </w:tc>
        <w:tc>
          <w:tcPr>
            <w:tcW w:w="98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9,936</w:t>
            </w:r>
          </w:p>
        </w:tc>
        <w:tc>
          <w:tcPr>
            <w:tcW w:w="10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-208.4%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100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62,432</w:t>
            </w:r>
          </w:p>
        </w:tc>
        <w:tc>
          <w:tcPr>
            <w:tcW w:w="16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13,532</w:t>
            </w:r>
          </w:p>
        </w:tc>
        <w:tc>
          <w:tcPr>
            <w:tcW w:w="11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-78.3%</w:t>
            </w: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29,317</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33,424</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18,860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-43.6%</w:t>
            </w:r>
          </w:p>
        </w:tc>
        <w:tc>
          <w:tcPr>
            <w:tcW w:w="100" w:type="dxa"/>
            <w:vAlign w:val="bottom"/>
          </w:tcPr>
          <w:p>
            <w:pPr>
              <w:spacing w:after="0"/>
              <w:rPr>
                <w:sz w:val="16"/>
                <w:szCs w:val="16"/>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-35.7%</w:t>
            </w:r>
          </w:p>
        </w:tc>
        <w:tc>
          <w:tcPr>
            <w:tcW w:w="100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72,508</w:t>
            </w:r>
          </w:p>
        </w:tc>
        <w:tc>
          <w:tcPr>
            <w:tcW w:w="160" w:type="dxa"/>
            <w:vAlign w:val="bottom"/>
          </w:tcPr>
          <w:p>
            <w:pPr>
              <w:spacing w:after="0"/>
              <w:rPr>
                <w:sz w:val="16"/>
                <w:szCs w:val="16"/>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86,574</w:t>
            </w:r>
          </w:p>
        </w:tc>
        <w:tc>
          <w:tcPr>
            <w:tcW w:w="11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19.4%</w:t>
            </w:r>
          </w:p>
        </w:tc>
      </w:tr>
    </w:tbl>
    <w:p>
      <w:pPr>
        <w:spacing w:after="0" w:line="37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11.10. Prima AFP</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4"/>
          </w:tcPr>
          <w:p>
            <w:pPr>
              <w:ind w:left="4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6"/>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YTD</w:t>
            </w:r>
          </w:p>
        </w:tc>
        <w:tc>
          <w:tcPr>
            <w:tcW w:w="80" w:type="dxa"/>
            <w:vAlign w:val="bottom"/>
          </w:tcPr>
          <w:p>
            <w:pPr>
              <w:spacing w:after="0"/>
              <w:rPr>
                <w:sz w:val="15"/>
                <w:szCs w:val="15"/>
                <w:color w:val="auto"/>
              </w:rPr>
            </w:pPr>
          </w:p>
        </w:tc>
        <w:tc>
          <w:tcPr>
            <w:tcW w:w="1060" w:type="dxa"/>
            <w:vAlign w:val="bottom"/>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55"/>
        </w:trPr>
        <w:tc>
          <w:tcPr>
            <w:tcW w:w="3240" w:type="dxa"/>
            <w:vAlign w:val="bottom"/>
            <w:tcBorders>
              <w:bottom w:val="single" w:sz="8" w:color="CCEEFF"/>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3Q19</w:t>
            </w:r>
          </w:p>
        </w:tc>
        <w:tc>
          <w:tcPr>
            <w:tcW w:w="260" w:type="dxa"/>
            <w:vAlign w:val="bottom"/>
            <w:tcBorders>
              <w:top w:val="single" w:sz="8" w:color="auto"/>
              <w:bottom w:val="single" w:sz="8" w:color="CCEE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Times New Roman" w:cs="Times New Roman" w:eastAsia="Times New Roman" w:hAnsi="Times New Roman"/>
                <w:sz w:val="14"/>
                <w:szCs w:val="14"/>
                <w:b w:val="1"/>
                <w:bCs w:val="1"/>
                <w:color w:val="auto"/>
              </w:rPr>
              <w:t>2Q20</w:t>
            </w:r>
          </w:p>
        </w:tc>
        <w:tc>
          <w:tcPr>
            <w:tcW w:w="260" w:type="dxa"/>
            <w:vAlign w:val="bottom"/>
            <w:tcBorders>
              <w:top w:val="single" w:sz="8" w:color="auto"/>
              <w:bottom w:val="single" w:sz="8" w:color="CCEEFF"/>
            </w:tcBorders>
            <w:gridSpan w:val="2"/>
          </w:tcPr>
          <w:p>
            <w:pPr>
              <w:spacing w:after="0"/>
              <w:rPr>
                <w:sz w:val="13"/>
                <w:szCs w:val="13"/>
                <w:color w:val="auto"/>
              </w:rPr>
            </w:pPr>
          </w:p>
        </w:tc>
        <w:tc>
          <w:tcPr>
            <w:tcW w:w="760" w:type="dxa"/>
            <w:vAlign w:val="bottom"/>
            <w:tcBorders>
              <w:top w:val="single" w:sz="8" w:color="auto"/>
              <w:bottom w:val="single" w:sz="8" w:color="auto"/>
            </w:tcBorders>
          </w:tcPr>
          <w:p>
            <w:pPr>
              <w:ind w:left="220"/>
              <w:spacing w:after="0" w:line="155" w:lineRule="exact"/>
              <w:rPr>
                <w:sz w:val="20"/>
                <w:szCs w:val="20"/>
                <w:color w:val="auto"/>
              </w:rPr>
            </w:pPr>
            <w:r>
              <w:rPr>
                <w:rFonts w:ascii="Times New Roman" w:cs="Times New Roman" w:eastAsia="Times New Roman" w:hAnsi="Times New Roman"/>
                <w:sz w:val="14"/>
                <w:szCs w:val="14"/>
                <w:b w:val="1"/>
                <w:bCs w:val="1"/>
                <w:color w:val="auto"/>
              </w:rPr>
              <w:t>3Q20</w:t>
            </w:r>
          </w:p>
        </w:tc>
        <w:tc>
          <w:tcPr>
            <w:tcW w:w="16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ind w:left="120"/>
              <w:spacing w:after="0" w:line="155" w:lineRule="exact"/>
              <w:rPr>
                <w:sz w:val="20"/>
                <w:szCs w:val="20"/>
                <w:color w:val="auto"/>
              </w:rPr>
            </w:pPr>
            <w:r>
              <w:rPr>
                <w:rFonts w:ascii="Times New Roman" w:cs="Times New Roman" w:eastAsia="Times New Roman" w:hAnsi="Times New Roman"/>
                <w:sz w:val="14"/>
                <w:szCs w:val="14"/>
                <w:b w:val="1"/>
                <w:bCs w:val="1"/>
                <w:color w:val="auto"/>
              </w:rPr>
              <w:t>QoQ</w:t>
            </w:r>
          </w:p>
        </w:tc>
        <w:tc>
          <w:tcPr>
            <w:tcW w:w="26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gridSpan w:val="2"/>
          </w:tcPr>
          <w:p>
            <w:pPr>
              <w:jc w:val="right"/>
              <w:ind w:right="99"/>
              <w:spacing w:after="0" w:line="155" w:lineRule="exact"/>
              <w:rPr>
                <w:sz w:val="20"/>
                <w:szCs w:val="20"/>
                <w:color w:val="auto"/>
              </w:rPr>
            </w:pPr>
            <w:r>
              <w:rPr>
                <w:rFonts w:ascii="Times New Roman" w:cs="Times New Roman" w:eastAsia="Times New Roman" w:hAnsi="Times New Roman"/>
                <w:sz w:val="14"/>
                <w:szCs w:val="14"/>
                <w:b w:val="1"/>
                <w:bCs w:val="1"/>
                <w:color w:val="auto"/>
                <w:w w:val="87"/>
              </w:rPr>
              <w:t>YoY</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top w:val="single" w:sz="8" w:color="auto"/>
              <w:bottom w:val="single" w:sz="8" w:color="auto"/>
            </w:tcBorders>
            <w:gridSpan w:val="3"/>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Sep 19</w:t>
            </w:r>
          </w:p>
        </w:tc>
        <w:tc>
          <w:tcPr>
            <w:tcW w:w="18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640" w:type="dxa"/>
            <w:vAlign w:val="bottom"/>
            <w:tcBorders>
              <w:top w:val="single" w:sz="8" w:color="auto"/>
              <w:bottom w:val="single" w:sz="8" w:color="auto"/>
            </w:tcBorders>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rPr>
              <w:t>Sep 20</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Sep 20 / Sep 19</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r>
      <w:tr>
        <w:trPr>
          <w:trHeight w:val="142"/>
        </w:trPr>
        <w:tc>
          <w:tcPr>
            <w:tcW w:w="32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Income from commissions</w:t>
            </w: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97,099</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72,296</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89,242</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23.4%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2"/>
                <w:szCs w:val="12"/>
                <w:color w:val="auto"/>
              </w:rPr>
            </w:pPr>
          </w:p>
        </w:tc>
        <w:tc>
          <w:tcPr>
            <w:tcW w:w="760" w:type="dxa"/>
            <w:vAlign w:val="bottom"/>
            <w:gridSpan w:val="4"/>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302,723</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gridSpan w:val="3"/>
            <w:shd w:val="clear" w:color="auto" w:fill="CCEEFF"/>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-12.5%</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Administrative and sale expenses</w:t>
            </w: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(33,617)</w:t>
            </w: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(30,129)</w:t>
            </w:r>
          </w:p>
        </w:tc>
        <w:tc>
          <w:tcPr>
            <w:tcW w:w="10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(36,958)</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22.7%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060" w:type="dxa"/>
            <w:vAlign w:val="bottom"/>
            <w:gridSpan w:val="6"/>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(109,267)</w:t>
            </w:r>
          </w:p>
        </w:tc>
        <w:tc>
          <w:tcPr>
            <w:tcW w:w="94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(102,893)</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-5.8%</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0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(8,190)</w:t>
            </w: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(6,126)</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(5,982)</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-27.0%</w:t>
            </w:r>
          </w:p>
        </w:tc>
        <w:tc>
          <w:tcPr>
            <w:tcW w:w="1060" w:type="dxa"/>
            <w:vAlign w:val="bottom"/>
            <w:gridSpan w:val="6"/>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(17,388)</w:t>
            </w:r>
          </w:p>
        </w:tc>
        <w:tc>
          <w:tcPr>
            <w:tcW w:w="940" w:type="dxa"/>
            <w:vAlign w:val="bottom"/>
            <w:gridSpan w:val="4"/>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(18,208)</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Operating income</w:t>
            </w:r>
          </w:p>
        </w:tc>
        <w:tc>
          <w:tcPr>
            <w:tcW w:w="1040" w:type="dxa"/>
            <w:vAlign w:val="bottom"/>
            <w:gridSpan w:val="2"/>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55,292</w:t>
            </w:r>
          </w:p>
        </w:tc>
        <w:tc>
          <w:tcPr>
            <w:tcW w:w="9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36,041</w:t>
            </w:r>
          </w:p>
        </w:tc>
        <w:tc>
          <w:tcPr>
            <w:tcW w:w="100" w:type="dxa"/>
            <w:vAlign w:val="bottom"/>
          </w:tcPr>
          <w:p>
            <w:pPr>
              <w:spacing w:after="0"/>
              <w:rPr>
                <w:sz w:val="12"/>
                <w:szCs w:val="12"/>
                <w:color w:val="auto"/>
              </w:rPr>
            </w:pPr>
          </w:p>
        </w:tc>
        <w:tc>
          <w:tcPr>
            <w:tcW w:w="92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46,302</w:t>
            </w:r>
          </w:p>
        </w:tc>
        <w:tc>
          <w:tcPr>
            <w:tcW w:w="100" w:type="dxa"/>
            <w:vAlign w:val="bottom"/>
          </w:tcPr>
          <w:p>
            <w:pPr>
              <w:spacing w:after="0"/>
              <w:rPr>
                <w:sz w:val="12"/>
                <w:szCs w:val="12"/>
                <w:color w:val="auto"/>
              </w:rPr>
            </w:pPr>
          </w:p>
        </w:tc>
        <w:tc>
          <w:tcPr>
            <w:tcW w:w="104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28.5%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-16.3%</w:t>
            </w:r>
          </w:p>
        </w:tc>
        <w:tc>
          <w:tcPr>
            <w:tcW w:w="1060" w:type="dxa"/>
            <w:vAlign w:val="bottom"/>
            <w:gridSpan w:val="6"/>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176,068</w:t>
            </w:r>
          </w:p>
        </w:tc>
        <w:tc>
          <w:tcPr>
            <w:tcW w:w="940" w:type="dxa"/>
            <w:vAlign w:val="bottom"/>
            <w:gridSpan w:val="4"/>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143,670</w:t>
            </w:r>
          </w:p>
        </w:tc>
        <w:tc>
          <w:tcPr>
            <w:tcW w:w="114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-18.4%</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income and expenses, net (profitability of lace)</w:t>
            </w:r>
          </w:p>
        </w:tc>
        <w:tc>
          <w:tcPr>
            <w:tcW w:w="10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color w:val="auto"/>
              </w:rPr>
              <w:t>4,500</w:t>
            </w:r>
          </w:p>
        </w:tc>
        <w:tc>
          <w:tcPr>
            <w:tcW w:w="9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24,020</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4,855</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060" w:type="dxa"/>
            <w:vAlign w:val="bottom"/>
            <w:gridSpan w:val="6"/>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30,320</w:t>
            </w:r>
          </w:p>
        </w:tc>
        <w:tc>
          <w:tcPr>
            <w:tcW w:w="940" w:type="dxa"/>
            <w:vAlign w:val="bottom"/>
            <w:gridSpan w:val="4"/>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(16,058)</w:t>
            </w:r>
          </w:p>
        </w:tc>
        <w:tc>
          <w:tcPr>
            <w:tcW w:w="1140" w:type="dxa"/>
            <w:vAlign w:val="bottom"/>
            <w:gridSpan w:val="4"/>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-153.0%</w:t>
            </w:r>
          </w:p>
        </w:tc>
      </w:tr>
      <w:tr>
        <w:trPr>
          <w:trHeight w:val="149"/>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Income tax</w:t>
            </w: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(17,097)</w:t>
            </w: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(8,759)</w:t>
            </w:r>
          </w:p>
        </w:tc>
        <w:tc>
          <w:tcPr>
            <w:tcW w:w="10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(12,918)</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47.5%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-24.4%</w:t>
            </w:r>
          </w:p>
        </w:tc>
        <w:tc>
          <w:tcPr>
            <w:tcW w:w="1060" w:type="dxa"/>
            <w:vAlign w:val="bottom"/>
            <w:gridSpan w:val="6"/>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(56,421)</w:t>
            </w:r>
          </w:p>
        </w:tc>
        <w:tc>
          <w:tcPr>
            <w:tcW w:w="94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(41,832)</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-25.9%</w:t>
            </w:r>
          </w:p>
        </w:tc>
      </w:tr>
      <w:tr>
        <w:trPr>
          <w:trHeight w:val="148"/>
        </w:trPr>
        <w:tc>
          <w:tcPr>
            <w:tcW w:w="32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Net income before translation results</w:t>
            </w:r>
          </w:p>
        </w:tc>
        <w:tc>
          <w:tcPr>
            <w:tcW w:w="1040" w:type="dxa"/>
            <w:vAlign w:val="bottom"/>
            <w:gridSpan w:val="2"/>
            <w:shd w:val="clear" w:color="auto" w:fill="CCEEFF"/>
          </w:tcPr>
          <w:p>
            <w:pPr>
              <w:jc w:val="right"/>
              <w:ind w:right="188"/>
              <w:spacing w:after="0" w:line="149" w:lineRule="exact"/>
              <w:rPr>
                <w:sz w:val="20"/>
                <w:szCs w:val="20"/>
                <w:color w:val="auto"/>
              </w:rPr>
            </w:pPr>
            <w:r>
              <w:rPr>
                <w:rFonts w:ascii="Times New Roman" w:cs="Times New Roman" w:eastAsia="Times New Roman" w:hAnsi="Times New Roman"/>
                <w:sz w:val="14"/>
                <w:szCs w:val="14"/>
                <w:b w:val="1"/>
                <w:bCs w:val="1"/>
                <w:color w:val="auto"/>
              </w:rPr>
              <w:t>42,695</w:t>
            </w:r>
          </w:p>
        </w:tc>
        <w:tc>
          <w:tcPr>
            <w:tcW w:w="9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51,302</w:t>
            </w: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38,239</w:t>
            </w:r>
          </w:p>
        </w:tc>
        <w:tc>
          <w:tcPr>
            <w:tcW w:w="1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-25.5%</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-10.4%</w:t>
            </w:r>
          </w:p>
        </w:tc>
        <w:tc>
          <w:tcPr>
            <w:tcW w:w="1060" w:type="dxa"/>
            <w:vAlign w:val="bottom"/>
            <w:gridSpan w:val="6"/>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149,968</w:t>
            </w:r>
          </w:p>
        </w:tc>
        <w:tc>
          <w:tcPr>
            <w:tcW w:w="940" w:type="dxa"/>
            <w:vAlign w:val="bottom"/>
            <w:gridSpan w:val="4"/>
            <w:shd w:val="clear" w:color="auto" w:fill="CCEEFF"/>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85,779</w:t>
            </w:r>
          </w:p>
        </w:tc>
        <w:tc>
          <w:tcPr>
            <w:tcW w:w="114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-42.8%</w:t>
            </w:r>
          </w:p>
        </w:tc>
      </w:tr>
      <w:tr>
        <w:trPr>
          <w:trHeight w:val="148"/>
        </w:trPr>
        <w:tc>
          <w:tcPr>
            <w:tcW w:w="32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Translations results</w:t>
            </w:r>
          </w:p>
        </w:tc>
        <w:tc>
          <w:tcPr>
            <w:tcW w:w="10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(301)</w:t>
            </w: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00" w:type="dxa"/>
            <w:vAlign w:val="bottom"/>
          </w:tcPr>
          <w:p>
            <w:pPr>
              <w:spacing w:after="0"/>
              <w:rPr>
                <w:sz w:val="12"/>
                <w:szCs w:val="12"/>
                <w:color w:val="auto"/>
              </w:rPr>
            </w:pPr>
          </w:p>
        </w:tc>
        <w:tc>
          <w:tcPr>
            <w:tcW w:w="92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(202)</w:t>
            </w:r>
          </w:p>
        </w:tc>
        <w:tc>
          <w:tcPr>
            <w:tcW w:w="100" w:type="dxa"/>
            <w:vAlign w:val="bottom"/>
          </w:tcPr>
          <w:p>
            <w:pPr>
              <w:spacing w:after="0"/>
              <w:rPr>
                <w:sz w:val="12"/>
                <w:szCs w:val="12"/>
                <w:color w:val="auto"/>
              </w:rPr>
            </w:pPr>
          </w:p>
        </w:tc>
        <w:tc>
          <w:tcPr>
            <w:tcW w:w="104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187.4%</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-32.9%</w:t>
            </w:r>
          </w:p>
        </w:tc>
        <w:tc>
          <w:tcPr>
            <w:tcW w:w="1060" w:type="dxa"/>
            <w:vAlign w:val="bottom"/>
            <w:gridSpan w:val="6"/>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(206)</w:t>
            </w:r>
          </w:p>
        </w:tc>
        <w:tc>
          <w:tcPr>
            <w:tcW w:w="940" w:type="dxa"/>
            <w:vAlign w:val="bottom"/>
            <w:gridSpan w:val="4"/>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(589)</w:t>
            </w:r>
          </w:p>
        </w:tc>
        <w:tc>
          <w:tcPr>
            <w:tcW w:w="114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185.8%</w:t>
            </w:r>
          </w:p>
        </w:tc>
      </w:tr>
      <w:tr>
        <w:trPr>
          <w:trHeight w:val="162"/>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040" w:type="dxa"/>
            <w:vAlign w:val="bottom"/>
            <w:gridSpan w:val="2"/>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42,394</w:t>
            </w:r>
          </w:p>
        </w:tc>
        <w:tc>
          <w:tcPr>
            <w:tcW w:w="9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51,232</w:t>
            </w:r>
          </w:p>
        </w:tc>
        <w:tc>
          <w:tcPr>
            <w:tcW w:w="1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38,037</w:t>
            </w:r>
          </w:p>
        </w:tc>
        <w:tc>
          <w:tcPr>
            <w:tcW w:w="1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-25.8%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-10.3%</w:t>
            </w:r>
          </w:p>
        </w:tc>
        <w:tc>
          <w:tcPr>
            <w:tcW w:w="1060" w:type="dxa"/>
            <w:vAlign w:val="bottom"/>
            <w:gridSpan w:val="6"/>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149,761</w:t>
            </w:r>
          </w:p>
        </w:tc>
        <w:tc>
          <w:tcPr>
            <w:tcW w:w="940" w:type="dxa"/>
            <w:vAlign w:val="bottom"/>
            <w:gridSpan w:val="4"/>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85,190</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-43.1%</w:t>
            </w:r>
          </w:p>
        </w:tc>
      </w:tr>
      <w:tr>
        <w:trPr>
          <w:trHeight w:val="142"/>
        </w:trPr>
        <w:tc>
          <w:tcPr>
            <w:tcW w:w="32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ROAE</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26.0</w:t>
            </w:r>
          </w:p>
        </w:tc>
        <w:tc>
          <w:tcPr>
            <w:tcW w:w="260" w:type="dxa"/>
            <w:vAlign w:val="bottom"/>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35.8</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24.6</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-1113pbs</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-141pbs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Borders>
              <w:top w:val="single" w:sz="8" w:color="auto"/>
              <w:bottom w:val="single" w:sz="8" w:color="auto"/>
            </w:tcBorders>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30.6</w:t>
            </w:r>
          </w:p>
        </w:tc>
        <w:tc>
          <w:tcPr>
            <w:tcW w:w="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17.0</w:t>
            </w:r>
          </w:p>
        </w:tc>
        <w:tc>
          <w:tcPr>
            <w:tcW w:w="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-1357pbs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436"/>
        </w:trPr>
        <w:tc>
          <w:tcPr>
            <w:tcW w:w="3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As of</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gridSpan w:val="7"/>
          </w:tcPr>
          <w:p>
            <w:pPr>
              <w:jc w:val="right"/>
              <w:ind w:right="920"/>
              <w:spacing w:after="0"/>
              <w:rPr>
                <w:sz w:val="20"/>
                <w:szCs w:val="20"/>
                <w:color w:val="auto"/>
              </w:rPr>
            </w:pPr>
            <w:r>
              <w:rPr>
                <w:rFonts w:ascii="Times New Roman" w:cs="Times New Roman" w:eastAsia="Times New Roman" w:hAnsi="Times New Roman"/>
                <w:sz w:val="16"/>
                <w:szCs w:val="16"/>
                <w:b w:val="1"/>
                <w:bCs w:val="1"/>
                <w:color w:val="auto"/>
              </w:rPr>
              <w:t>% change</w:t>
            </w:r>
          </w:p>
        </w:tc>
      </w:tr>
      <w:tr>
        <w:trPr>
          <w:trHeight w:val="209"/>
        </w:trPr>
        <w:tc>
          <w:tcPr>
            <w:tcW w:w="3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3Q19</w:t>
            </w:r>
          </w:p>
        </w:tc>
        <w:tc>
          <w:tcPr>
            <w:tcW w:w="10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gridSpan w:val="3"/>
          </w:tcPr>
          <w:p>
            <w:pPr>
              <w:ind w:left="300"/>
              <w:spacing w:after="0"/>
              <w:rPr>
                <w:sz w:val="20"/>
                <w:szCs w:val="20"/>
                <w:color w:val="auto"/>
              </w:rPr>
            </w:pPr>
            <w:r>
              <w:rPr>
                <w:rFonts w:ascii="Times New Roman" w:cs="Times New Roman" w:eastAsia="Times New Roman" w:hAnsi="Times New Roman"/>
                <w:sz w:val="16"/>
                <w:szCs w:val="16"/>
                <w:b w:val="1"/>
                <w:bCs w:val="1"/>
                <w:color w:val="auto"/>
              </w:rPr>
              <w:t>2Q20</w:t>
            </w:r>
          </w:p>
        </w:tc>
        <w:tc>
          <w:tcPr>
            <w:tcW w:w="6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gridSpan w:val="4"/>
          </w:tcPr>
          <w:p>
            <w:pPr>
              <w:jc w:val="right"/>
              <w:ind w:right="228"/>
              <w:spacing w:after="0"/>
              <w:rPr>
                <w:sz w:val="20"/>
                <w:szCs w:val="20"/>
                <w:color w:val="auto"/>
              </w:rPr>
            </w:pPr>
            <w:r>
              <w:rPr>
                <w:rFonts w:ascii="Times New Roman" w:cs="Times New Roman" w:eastAsia="Times New Roman" w:hAnsi="Times New Roman"/>
                <w:sz w:val="16"/>
                <w:szCs w:val="16"/>
                <w:b w:val="1"/>
                <w:bCs w:val="1"/>
                <w:color w:val="auto"/>
              </w:rPr>
              <w:t>3Q20</w:t>
            </w:r>
          </w:p>
        </w:tc>
        <w:tc>
          <w:tcPr>
            <w:tcW w:w="22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gridSpan w:val="2"/>
          </w:tcPr>
          <w:p>
            <w:pPr>
              <w:spacing w:after="0"/>
              <w:rPr>
                <w:sz w:val="18"/>
                <w:szCs w:val="18"/>
                <w:color w:val="auto"/>
              </w:rPr>
            </w:pPr>
          </w:p>
        </w:tc>
        <w:tc>
          <w:tcPr>
            <w:tcW w:w="700" w:type="dxa"/>
            <w:vAlign w:val="bottom"/>
            <w:tcBorders>
              <w:top w:val="single" w:sz="8" w:color="auto"/>
              <w:bottom w:val="single" w:sz="8" w:color="auto"/>
            </w:tcBorders>
            <w:gridSpan w:val="2"/>
          </w:tcPr>
          <w:p>
            <w:pPr>
              <w:jc w:val="right"/>
              <w:ind w:right="246"/>
              <w:spacing w:after="0"/>
              <w:rPr>
                <w:sz w:val="20"/>
                <w:szCs w:val="20"/>
                <w:color w:val="auto"/>
              </w:rPr>
            </w:pPr>
            <w:r>
              <w:rPr>
                <w:rFonts w:ascii="Times New Roman" w:cs="Times New Roman" w:eastAsia="Times New Roman" w:hAnsi="Times New Roman"/>
                <w:sz w:val="16"/>
                <w:szCs w:val="16"/>
                <w:b w:val="1"/>
                <w:bCs w:val="1"/>
                <w:color w:val="auto"/>
              </w:rPr>
              <w:t>QoQ</w:t>
            </w:r>
          </w:p>
        </w:tc>
        <w:tc>
          <w:tcPr>
            <w:tcW w:w="240" w:type="dxa"/>
            <w:vAlign w:val="bottom"/>
            <w:tcBorders>
              <w:top w:val="single" w:sz="8" w:color="auto"/>
              <w:bottom w:val="single" w:sz="8" w:color="CCEEFF"/>
            </w:tcBorders>
            <w:gridSpan w:val="2"/>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ind w:left="280"/>
              <w:spacing w:after="0"/>
              <w:rPr>
                <w:sz w:val="20"/>
                <w:szCs w:val="20"/>
                <w:color w:val="auto"/>
              </w:rPr>
            </w:pPr>
            <w:r>
              <w:rPr>
                <w:rFonts w:ascii="Times New Roman" w:cs="Times New Roman" w:eastAsia="Times New Roman" w:hAnsi="Times New Roman"/>
                <w:sz w:val="16"/>
                <w:szCs w:val="16"/>
                <w:b w:val="1"/>
                <w:bCs w:val="1"/>
                <w:color w:val="auto"/>
              </w:rPr>
              <w:t>YoY</w:t>
            </w:r>
          </w:p>
        </w:tc>
        <w:tc>
          <w:tcPr>
            <w:tcW w:w="120" w:type="dxa"/>
            <w:vAlign w:val="bottom"/>
            <w:tcBorders>
              <w:bottom w:val="single" w:sz="8" w:color="CCEEFF"/>
            </w:tcBorders>
          </w:tcPr>
          <w:p>
            <w:pPr>
              <w:spacing w:after="0"/>
              <w:rPr>
                <w:sz w:val="18"/>
                <w:szCs w:val="18"/>
                <w:color w:val="auto"/>
              </w:rPr>
            </w:pPr>
          </w:p>
        </w:tc>
      </w:tr>
      <w:tr>
        <w:trPr>
          <w:trHeight w:val="20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assets</w:t>
            </w: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937,573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951,560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1,015,828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6.8%</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6"/>
                <w:szCs w:val="16"/>
                <w:color w:val="auto"/>
              </w:rPr>
              <w:t>Total liabilities</w:t>
            </w: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265,447</w:t>
            </w: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353,019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w w:val="99"/>
              </w:rPr>
              <w:t>379,394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4"/>
          </w:tcPr>
          <w:p>
            <w:pPr>
              <w:jc w:val="right"/>
              <w:ind w:right="28"/>
              <w:spacing w:after="0"/>
              <w:rPr>
                <w:sz w:val="20"/>
                <w:szCs w:val="20"/>
                <w:color w:val="auto"/>
              </w:rPr>
            </w:pPr>
            <w:r>
              <w:rPr>
                <w:rFonts w:ascii="Times New Roman" w:cs="Times New Roman" w:eastAsia="Times New Roman" w:hAnsi="Times New Roman"/>
                <w:sz w:val="16"/>
                <w:szCs w:val="16"/>
                <w:color w:val="auto"/>
              </w:rPr>
              <w:t>7.5%</w:t>
            </w: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57"/>
        </w:trPr>
        <w:tc>
          <w:tcPr>
            <w:tcW w:w="32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6"/>
                <w:szCs w:val="16"/>
                <w:color w:val="auto"/>
              </w:rPr>
              <w:t xml:space="preserve">Net shareholders' equity </w:t>
            </w:r>
            <w:r>
              <w:rPr>
                <w:rFonts w:ascii="Times New Roman" w:cs="Times New Roman" w:eastAsia="Times New Roman" w:hAnsi="Times New Roman"/>
                <w:sz w:val="26"/>
                <w:szCs w:val="26"/>
                <w:color w:val="auto"/>
                <w:vertAlign w:val="superscript"/>
              </w:rPr>
              <w:t>(1)</w:t>
            </w:r>
          </w:p>
        </w:tc>
        <w:tc>
          <w:tcPr>
            <w:tcW w:w="7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672,126</w:t>
            </w:r>
          </w:p>
        </w:tc>
        <w:tc>
          <w:tcPr>
            <w:tcW w:w="11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598,541</w:t>
            </w: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6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99"/>
              </w:rPr>
              <w:t>636,434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40" w:type="dxa"/>
            <w:vAlign w:val="bottom"/>
            <w:gridSpan w:val="4"/>
            <w:shd w:val="clear" w:color="auto" w:fill="CCEEFF"/>
          </w:tcPr>
          <w:p>
            <w:pPr>
              <w:jc w:val="right"/>
              <w:ind w:right="28"/>
              <w:spacing w:after="0"/>
              <w:rPr>
                <w:sz w:val="20"/>
                <w:szCs w:val="20"/>
                <w:color w:val="auto"/>
              </w:rPr>
            </w:pPr>
            <w:r>
              <w:rPr>
                <w:rFonts w:ascii="Times New Roman" w:cs="Times New Roman" w:eastAsia="Times New Roman" w:hAnsi="Times New Roman"/>
                <w:sz w:val="16"/>
                <w:szCs w:val="16"/>
                <w:color w:val="auto"/>
              </w:rPr>
              <w:t>6.3%</w:t>
            </w:r>
          </w:p>
        </w:tc>
        <w:tc>
          <w:tcPr>
            <w:tcW w:w="114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Net shareholders' equity includes unrealized gains from Prima's investment portfolio.</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w:t>
            </w: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45"/>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Funds under management</w:t>
            </w:r>
          </w:p>
        </w:tc>
        <w:tc>
          <w:tcPr>
            <w:tcW w:w="8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Jun 20</w:t>
            </w:r>
          </w:p>
        </w:tc>
        <w:tc>
          <w:tcPr>
            <w:tcW w:w="160" w:type="dxa"/>
            <w:vAlign w:val="bottom"/>
            <w:tcBorders>
              <w:bottom w:val="single" w:sz="8" w:color="CCEEFF"/>
            </w:tcBorders>
          </w:tcPr>
          <w:p>
            <w:pPr>
              <w:spacing w:after="0"/>
              <w:rPr>
                <w:sz w:val="24"/>
                <w:szCs w:val="24"/>
                <w:color w:val="auto"/>
              </w:rPr>
            </w:pPr>
          </w:p>
        </w:tc>
        <w:tc>
          <w:tcPr>
            <w:tcW w:w="9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24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Sep 20</w:t>
            </w:r>
          </w:p>
        </w:tc>
        <w:tc>
          <w:tcPr>
            <w:tcW w:w="18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 share</w:t>
            </w:r>
          </w:p>
        </w:tc>
        <w:tc>
          <w:tcPr>
            <w:tcW w:w="160" w:type="dxa"/>
            <w:vAlign w:val="bottom"/>
            <w:tcBorders>
              <w:bottom w:val="single" w:sz="8" w:color="CCEEFF"/>
            </w:tcBorders>
          </w:tcPr>
          <w:p>
            <w:pPr>
              <w:spacing w:after="0"/>
              <w:rPr>
                <w:sz w:val="24"/>
                <w:szCs w:val="24"/>
                <w:color w:val="auto"/>
              </w:rPr>
            </w:pPr>
          </w:p>
        </w:tc>
      </w:tr>
      <w:tr>
        <w:trPr>
          <w:trHeight w:val="209"/>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0</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1</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7,278</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15.7%</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7,281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2</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33,353</w:t>
            </w:r>
          </w:p>
        </w:tc>
        <w:tc>
          <w:tcPr>
            <w:tcW w:w="1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72.0%</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33,162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r>
      <w:tr>
        <w:trPr>
          <w:trHeight w:val="229"/>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Fund 3</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4,769</w:t>
            </w:r>
          </w:p>
        </w:tc>
        <w:tc>
          <w:tcPr>
            <w:tcW w:w="12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10.3%</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10"/>
        </w:trPr>
        <w:tc>
          <w:tcPr>
            <w:tcW w:w="43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 Millions</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46,331</w:t>
            </w:r>
          </w:p>
        </w:tc>
        <w:tc>
          <w:tcPr>
            <w:tcW w:w="16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46,255</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426"/>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Source: SBS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4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Nominal profitability over the last 12 months</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80" w:type="dxa"/>
            <w:vAlign w:val="bottom"/>
            <w:gridSpan w:val="11"/>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Jun 20 / Jun 19  Sep 20 / Sep 19</w:t>
            </w: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0</w:t>
            </w:r>
          </w:p>
        </w:tc>
        <w:tc>
          <w:tcPr>
            <w:tcW w:w="860" w:type="dxa"/>
            <w:vAlign w:val="bottom"/>
            <w:shd w:val="clear" w:color="auto" w:fill="CCEEFF"/>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Fund 1</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Fund 2</w:t>
            </w:r>
          </w:p>
        </w:tc>
        <w:tc>
          <w:tcPr>
            <w:tcW w:w="8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Fund 3</w:t>
            </w:r>
          </w:p>
        </w:tc>
        <w:tc>
          <w:tcPr>
            <w:tcW w:w="8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AFP fees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spacing w:after="0"/>
              <w:rPr>
                <w:sz w:val="18"/>
                <w:szCs w:val="18"/>
                <w:color w:val="auto"/>
              </w:rPr>
            </w:pPr>
          </w:p>
        </w:tc>
        <w:tc>
          <w:tcPr>
            <w:tcW w:w="1240" w:type="dxa"/>
            <w:vAlign w:val="bottom"/>
            <w:gridSpan w:val="4"/>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Fee based on flow</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3600" w:type="dxa"/>
            <w:vAlign w:val="bottom"/>
            <w:gridSpan w:val="10"/>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Applied to the affiliates' monthly remuneration.</w:t>
            </w:r>
          </w:p>
        </w:tc>
        <w:tc>
          <w:tcPr>
            <w:tcW w:w="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Mixed fee</w:t>
            </w:r>
          </w:p>
        </w:tc>
        <w:tc>
          <w:tcPr>
            <w:tcW w:w="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Flow</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7160" w:type="dxa"/>
            <w:vAlign w:val="bottom"/>
            <w:gridSpan w:val="18"/>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Applied to the affiliates' monthly remuneration since June 2017. Feb 17- may 17 =0.87%.</w:t>
            </w: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Balance</w:t>
            </w:r>
          </w:p>
        </w:tc>
        <w:tc>
          <w:tcPr>
            <w:tcW w:w="8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1.25 %</w:t>
            </w:r>
          </w:p>
        </w:tc>
        <w:tc>
          <w:tcPr>
            <w:tcW w:w="8300" w:type="dxa"/>
            <w:vAlign w:val="bottom"/>
            <w:gridSpan w:val="20"/>
          </w:tcPr>
          <w:p>
            <w:pPr>
              <w:ind w:left="80"/>
              <w:spacing w:after="0" w:line="198" w:lineRule="exact"/>
              <w:rPr>
                <w:sz w:val="20"/>
                <w:szCs w:val="20"/>
                <w:color w:val="auto"/>
              </w:rPr>
            </w:pPr>
            <w:r>
              <w:rPr>
                <w:rFonts w:ascii="Times New Roman" w:cs="Times New Roman" w:eastAsia="Times New Roman" w:hAnsi="Times New Roman"/>
                <w:sz w:val="18"/>
                <w:szCs w:val="18"/>
                <w:color w:val="auto"/>
              </w:rPr>
              <w:t>Applies annualy to the new balance since February 2013 for new affiliates to the system and beginning on</w:t>
            </w: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960" w:type="dxa"/>
            <w:vAlign w:val="bottom"/>
            <w:gridSpan w:val="16"/>
          </w:tcPr>
          <w:p>
            <w:pPr>
              <w:ind w:left="80"/>
              <w:spacing w:after="0"/>
              <w:rPr>
                <w:sz w:val="20"/>
                <w:szCs w:val="20"/>
                <w:color w:val="auto"/>
              </w:rPr>
            </w:pPr>
            <w:r>
              <w:rPr>
                <w:rFonts w:ascii="Times New Roman" w:cs="Times New Roman" w:eastAsia="Times New Roman" w:hAnsi="Times New Roman"/>
                <w:sz w:val="18"/>
                <w:szCs w:val="18"/>
                <w:color w:val="auto"/>
              </w:rPr>
              <w:t>June 2013 for old affiliates who have chosen this commission scheme.</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 indicators</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20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280"/>
              <w:spacing w:after="0"/>
              <w:rPr>
                <w:sz w:val="20"/>
                <w:szCs w:val="20"/>
                <w:color w:val="auto"/>
              </w:rPr>
            </w:pPr>
            <w:r>
              <w:rPr>
                <w:rFonts w:ascii="Times New Roman" w:cs="Times New Roman" w:eastAsia="Times New Roman" w:hAnsi="Times New Roman"/>
                <w:sz w:val="16"/>
                <w:szCs w:val="16"/>
                <w:b w:val="1"/>
                <w:bCs w:val="1"/>
                <w:color w:val="auto"/>
              </w:rPr>
              <w:t>Prima</w:t>
            </w:r>
          </w:p>
        </w:tc>
        <w:tc>
          <w:tcPr>
            <w:tcW w:w="132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System</w:t>
            </w:r>
          </w:p>
        </w:tc>
        <w:tc>
          <w:tcPr>
            <w:tcW w:w="114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 share</w:t>
            </w: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Prima</w:t>
            </w: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System</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 share</w:t>
            </w:r>
          </w:p>
        </w:tc>
        <w:tc>
          <w:tcPr>
            <w:tcW w:w="0" w:type="dxa"/>
            <w:vAlign w:val="bottom"/>
          </w:tcPr>
          <w:p>
            <w:pPr>
              <w:spacing w:after="0"/>
              <w:rPr>
                <w:sz w:val="1"/>
                <w:szCs w:val="1"/>
                <w:color w:val="auto"/>
              </w:rPr>
            </w:pPr>
          </w:p>
        </w:tc>
      </w:tr>
      <w:tr>
        <w:trPr>
          <w:trHeight w:val="212"/>
        </w:trPr>
        <w:tc>
          <w:tcPr>
            <w:tcW w:w="2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Main indicators and market share</w:t>
            </w:r>
          </w:p>
        </w:tc>
        <w:tc>
          <w:tcPr>
            <w:tcW w:w="8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gridSpan w:val="2"/>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2Q20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2Q20</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2Q20</w:t>
            </w:r>
          </w:p>
        </w:tc>
        <w:tc>
          <w:tcPr>
            <w:tcW w:w="2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3Q20</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3Q20</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3Q20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Affiliates</w:t>
            </w:r>
          </w:p>
        </w:tc>
        <w:tc>
          <w:tcPr>
            <w:tcW w:w="8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2,364,850</w:t>
            </w:r>
          </w:p>
        </w:tc>
        <w:tc>
          <w:tcPr>
            <w:tcW w:w="240" w:type="dxa"/>
            <w:vAlign w:val="bottom"/>
            <w:shd w:val="clear" w:color="auto" w:fill="CCEEFF"/>
          </w:tcPr>
          <w:p>
            <w:pPr>
              <w:spacing w:after="0"/>
              <w:rPr>
                <w:sz w:val="17"/>
                <w:szCs w:val="17"/>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7,576,582</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31.2%</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2,362,074</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7,672,933</w:t>
            </w:r>
          </w:p>
        </w:tc>
        <w:tc>
          <w:tcPr>
            <w:tcW w:w="2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43"/>
        </w:trPr>
        <w:tc>
          <w:tcPr>
            <w:tcW w:w="208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New affiliations </w:t>
            </w:r>
            <w:r>
              <w:rPr>
                <w:rFonts w:ascii="Times New Roman" w:cs="Times New Roman" w:eastAsia="Times New Roman" w:hAnsi="Times New Roman"/>
                <w:sz w:val="26"/>
                <w:szCs w:val="26"/>
                <w:color w:val="auto"/>
                <w:vertAlign w:val="superscript"/>
              </w:rPr>
              <w:t>(1)</w:t>
            </w:r>
          </w:p>
        </w:tc>
        <w:tc>
          <w:tcPr>
            <w:tcW w:w="860" w:type="dxa"/>
            <w:vAlign w:val="bottom"/>
          </w:tcPr>
          <w:p>
            <w:pPr>
              <w:spacing w:after="0"/>
              <w:rPr>
                <w:sz w:val="21"/>
                <w:szCs w:val="21"/>
                <w:color w:val="auto"/>
              </w:rPr>
            </w:pPr>
          </w:p>
        </w:tc>
        <w:tc>
          <w:tcPr>
            <w:tcW w:w="228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55,288</w:t>
            </w:r>
          </w:p>
        </w:tc>
        <w:tc>
          <w:tcPr>
            <w:tcW w:w="10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100,149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w:t>
            </w:r>
          </w:p>
        </w:tc>
        <w:tc>
          <w:tcPr>
            <w:tcW w:w="0" w:type="dxa"/>
            <w:vAlign w:val="bottom"/>
          </w:tcPr>
          <w:p>
            <w:pPr>
              <w:spacing w:after="0"/>
              <w:rPr>
                <w:sz w:val="1"/>
                <w:szCs w:val="1"/>
                <w:color w:val="auto"/>
              </w:rPr>
            </w:pPr>
          </w:p>
        </w:tc>
      </w:tr>
      <w:tr>
        <w:trPr>
          <w:trHeight w:val="203"/>
        </w:trPr>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Funds under management (S/ Millions)</w:t>
            </w:r>
          </w:p>
        </w:tc>
        <w:tc>
          <w:tcPr>
            <w:tcW w:w="22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46,331</w:t>
            </w: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152,384</w:t>
            </w:r>
          </w:p>
        </w:tc>
        <w:tc>
          <w:tcPr>
            <w:tcW w:w="10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30.4%</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46,255</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152,297</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243"/>
        </w:trPr>
        <w:tc>
          <w:tcPr>
            <w:tcW w:w="208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 xml:space="preserve">Collections (S/ Millions) </w:t>
            </w:r>
            <w:r>
              <w:rPr>
                <w:rFonts w:ascii="Times New Roman" w:cs="Times New Roman" w:eastAsia="Times New Roman" w:hAnsi="Times New Roman"/>
                <w:sz w:val="26"/>
                <w:szCs w:val="26"/>
                <w:color w:val="auto"/>
                <w:vertAlign w:val="superscript"/>
              </w:rPr>
              <w:t>(2)</w:t>
            </w:r>
          </w:p>
        </w:tc>
        <w:tc>
          <w:tcPr>
            <w:tcW w:w="860" w:type="dxa"/>
            <w:vAlign w:val="bottom"/>
          </w:tcPr>
          <w:p>
            <w:pPr>
              <w:spacing w:after="0"/>
              <w:rPr>
                <w:sz w:val="21"/>
                <w:szCs w:val="21"/>
                <w:color w:val="auto"/>
              </w:rPr>
            </w:pPr>
          </w:p>
        </w:tc>
        <w:tc>
          <w:tcPr>
            <w:tcW w:w="228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349</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1,072</w:t>
            </w:r>
          </w:p>
        </w:tc>
        <w:tc>
          <w:tcPr>
            <w:tcW w:w="100" w:type="dxa"/>
            <w:vAlign w:val="bottom"/>
          </w:tcPr>
          <w:p>
            <w:pPr>
              <w:spacing w:after="0"/>
              <w:rPr>
                <w:sz w:val="21"/>
                <w:szCs w:val="21"/>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32.5%</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848</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2,757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30.8%</w:t>
            </w:r>
          </w:p>
        </w:tc>
        <w:tc>
          <w:tcPr>
            <w:tcW w:w="0" w:type="dxa"/>
            <w:vAlign w:val="bottom"/>
          </w:tcPr>
          <w:p>
            <w:pPr>
              <w:spacing w:after="0"/>
              <w:rPr>
                <w:sz w:val="1"/>
                <w:szCs w:val="1"/>
                <w:color w:val="auto"/>
              </w:rPr>
            </w:pPr>
          </w:p>
        </w:tc>
      </w:tr>
      <w:tr>
        <w:trPr>
          <w:trHeight w:val="243"/>
        </w:trPr>
        <w:tc>
          <w:tcPr>
            <w:tcW w:w="2940" w:type="dxa"/>
            <w:vAlign w:val="bottom"/>
            <w:gridSpan w:val="2"/>
            <w:shd w:val="clear" w:color="auto" w:fill="CCEEFF"/>
          </w:tcPr>
          <w:p>
            <w:pPr>
              <w:spacing w:after="0" w:line="243" w:lineRule="exact"/>
              <w:rPr>
                <w:sz w:val="20"/>
                <w:szCs w:val="20"/>
                <w:color w:val="auto"/>
              </w:rPr>
            </w:pPr>
            <w:r>
              <w:rPr>
                <w:rFonts w:ascii="Times New Roman" w:cs="Times New Roman" w:eastAsia="Times New Roman" w:hAnsi="Times New Roman"/>
                <w:sz w:val="16"/>
                <w:szCs w:val="16"/>
                <w:color w:val="auto"/>
              </w:rPr>
              <w:t xml:space="preserve">Voluntary contributions (S/ Millions) </w:t>
            </w:r>
            <w:r>
              <w:rPr>
                <w:rFonts w:ascii="Times New Roman" w:cs="Times New Roman" w:eastAsia="Times New Roman" w:hAnsi="Times New Roman"/>
                <w:sz w:val="26"/>
                <w:szCs w:val="26"/>
                <w:color w:val="auto"/>
                <w:vertAlign w:val="superscript"/>
              </w:rPr>
              <w:t>(2)</w:t>
            </w:r>
          </w:p>
        </w:tc>
        <w:tc>
          <w:tcPr>
            <w:tcW w:w="228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1,013</w:t>
            </w:r>
          </w:p>
        </w:tc>
        <w:tc>
          <w:tcPr>
            <w:tcW w:w="12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47.5%</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1,138</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2,451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46.4%</w:t>
            </w:r>
          </w:p>
        </w:tc>
        <w:tc>
          <w:tcPr>
            <w:tcW w:w="0" w:type="dxa"/>
            <w:vAlign w:val="bottom"/>
          </w:tcPr>
          <w:p>
            <w:pPr>
              <w:spacing w:after="0"/>
              <w:rPr>
                <w:sz w:val="1"/>
                <w:szCs w:val="1"/>
                <w:color w:val="auto"/>
              </w:rPr>
            </w:pPr>
          </w:p>
        </w:tc>
      </w:tr>
      <w:tr>
        <w:trPr>
          <w:trHeight w:val="355"/>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RAM (S/ Millions) </w:t>
            </w:r>
            <w:r>
              <w:rPr>
                <w:rFonts w:ascii="Times New Roman" w:cs="Times New Roman" w:eastAsia="Times New Roman" w:hAnsi="Times New Roman"/>
                <w:sz w:val="26"/>
                <w:szCs w:val="26"/>
                <w:color w:val="auto"/>
                <w:vertAlign w:val="superscript"/>
              </w:rPr>
              <w:t>(2) (3)</w:t>
            </w:r>
          </w:p>
        </w:tc>
        <w:tc>
          <w:tcPr>
            <w:tcW w:w="860" w:type="dxa"/>
            <w:vAlign w:val="bottom"/>
          </w:tcPr>
          <w:p>
            <w:pPr>
              <w:spacing w:after="0"/>
              <w:rPr>
                <w:sz w:val="24"/>
                <w:szCs w:val="24"/>
                <w:color w:val="auto"/>
              </w:rPr>
            </w:pPr>
          </w:p>
        </w:tc>
        <w:tc>
          <w:tcPr>
            <w:tcW w:w="228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1,058</w:t>
            </w:r>
          </w:p>
        </w:tc>
        <w:tc>
          <w:tcPr>
            <w:tcW w:w="122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rPr>
              <w:t>3,235</w:t>
            </w:r>
          </w:p>
        </w:tc>
        <w:tc>
          <w:tcPr>
            <w:tcW w:w="100" w:type="dxa"/>
            <w:vAlign w:val="bottom"/>
          </w:tcPr>
          <w:p>
            <w:pPr>
              <w:spacing w:after="0"/>
              <w:rPr>
                <w:sz w:val="24"/>
                <w:szCs w:val="24"/>
                <w:color w:val="auto"/>
              </w:rPr>
            </w:pPr>
          </w:p>
        </w:tc>
        <w:tc>
          <w:tcPr>
            <w:tcW w:w="1140" w:type="dxa"/>
            <w:vAlign w:val="bottom"/>
            <w:gridSpan w:val="4"/>
          </w:tcPr>
          <w:p>
            <w:pPr>
              <w:jc w:val="right"/>
              <w:ind w:right="120"/>
              <w:spacing w:after="0"/>
              <w:rPr>
                <w:sz w:val="20"/>
                <w:szCs w:val="20"/>
                <w:color w:val="auto"/>
              </w:rPr>
            </w:pPr>
            <w:r>
              <w:rPr>
                <w:rFonts w:ascii="Times New Roman" w:cs="Times New Roman" w:eastAsia="Times New Roman" w:hAnsi="Times New Roman"/>
                <w:sz w:val="16"/>
                <w:szCs w:val="16"/>
                <w:color w:val="auto"/>
              </w:rPr>
              <w:t>32.7%</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1,244</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3,955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bl>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Source: SBS</w:t>
      </w:r>
    </w:p>
    <w:p>
      <w:pPr>
        <w:spacing w:after="0" w:line="227" w:lineRule="exact"/>
        <w:rPr>
          <w:sz w:val="20"/>
          <w:szCs w:val="20"/>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2019, another AFP has the exclusivity of affiliations.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available as of May 2020.</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 AFP estimate: Average of aggregated income for flow during the last 4 months, excluding special collections and voluntary contribution fees.</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933"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11.11. Table of calculations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6600825" cy="73634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600825" cy="736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Averages are determined as the average of period-beginning and period-ending balances.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total deposits, due to banks and correspondents, BCRP instruments, repurchase agreements and bonds and notes issued.</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include Life insurance business.</w:t>
      </w:r>
    </w:p>
    <w:p>
      <w:pPr>
        <w:spacing w:after="0" w:line="9" w:lineRule="exact"/>
        <w:rPr>
          <w:rFonts w:ascii="Times New Roman" w:cs="Times New Roman" w:eastAsia="Times New Roman" w:hAnsi="Times New Roman"/>
          <w:sz w:val="18"/>
          <w:szCs w:val="18"/>
          <w:color w:val="auto"/>
        </w:rPr>
      </w:pPr>
    </w:p>
    <w:p>
      <w:pPr>
        <w:jc w:val="both"/>
        <w:ind w:right="20" w:firstLine="8"/>
        <w:spacing w:after="0" w:line="250" w:lineRule="auto"/>
        <w:tabs>
          <w:tab w:leader="none" w:pos="26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Tier 1 = Capital + Legal and other capital reserves + Accumulated earnings with capitalization agreement + (0.5 x Unrealized profit and net income in subsidiaries) - Goodwill - (0.5 x Investment in subsidiaries) + Perpetual subordinated debt (maximum amount that can be included is 17.65% of Capital + Reserves + Accumulated earnings with capitalization agreement + Unrealized profit and net income in subsidiaries - Goodwill).</w:t>
      </w:r>
    </w:p>
    <w:p>
      <w:pPr>
        <w:spacing w:after="0" w:line="1"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investment in subsidiaries, goodwill, intangibles and deferred tax that rely on future profitability.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92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color w:val="auto"/>
        </w:rPr>
        <w:t>11.12. Non-recurring events</w:t>
      </w:r>
    </w:p>
    <w:p>
      <w:pPr>
        <w:spacing w:after="0" w:line="22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color w:val="auto"/>
        </w:rPr>
        <w:t>Non-Recurring Events (Before Tax)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Universal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BCP Zero-interest-rate loans Impairment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BCP's Bonds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Microfinance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Mibanco Zero-interest-rate loans Impairment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Interest Income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IB&amp;WN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1454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ASB Propietary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at PE Investment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Non-Financial Income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454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IB&amp;WN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2743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ASB Legal Contingency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Holdings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Impairment in Bancompartir's Goodwill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Credicorp (1 + 2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454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Non-Recurring (Before Tax)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Total Non-Recurring (After Tax and Minority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450215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3Q20</w:t>
      </w:r>
    </w:p>
    <w:p>
      <w:pPr>
        <w:spacing w:after="0" w:line="2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33.8</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(108.3)</w:t>
      </w:r>
    </w:p>
    <w:p>
      <w:pPr>
        <w:spacing w:after="0" w:line="22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17145</wp:posOffset>
            </wp:positionV>
            <wp:extent cx="7797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(17.9)</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(23.0)</w:t>
      </w:r>
    </w:p>
    <w:p>
      <w:pPr>
        <w:spacing w:after="0" w:line="4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7797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(71.9)</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(64.0)</w:t>
      </w:r>
    </w:p>
    <w:p>
      <w:pPr>
        <w:spacing w:after="0" w:line="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(135.9)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40005</wp:posOffset>
            </wp:positionV>
            <wp:extent cx="7797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(200.1)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28575</wp:posOffset>
            </wp:positionV>
            <wp:extent cx="7797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9780" cy="8255"/>
                    </a:xfrm>
                    <a:prstGeom prst="rect">
                      <a:avLst/>
                    </a:prstGeom>
                    <a:noFill/>
                  </pic:spPr>
                </pic:pic>
              </a:graphicData>
            </a:graphic>
          </wp:anchor>
        </w:drawing>
      </w:r>
    </w:p>
    <w:p>
      <w:pPr>
        <w:spacing w:after="0" w:line="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(184.8)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-264160</wp:posOffset>
            </wp:positionH>
            <wp:positionV relativeFrom="paragraph">
              <wp:posOffset>14605</wp:posOffset>
            </wp:positionV>
            <wp:extent cx="7797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9780" cy="8890"/>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2">
            <w:col w:w="9600" w:space="720"/>
            <w:col w:w="920"/>
          </w:cols>
          <w:pgMar w:left="320" w:top="900"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color w:val="auto"/>
        </w:rPr>
        <w:t>11.13. Glossary of terms</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300" w:type="dxa"/>
            <w:vAlign w:val="bottom"/>
            <w:tcBorders>
              <w:top w:val="single" w:sz="8" w:color="auto"/>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Government Program Loans (“GP or GP loans”)</w:t>
            </w:r>
          </w:p>
        </w:tc>
        <w:tc>
          <w:tcPr>
            <w:tcW w:w="69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 Portfolio related to Reactiva Peru and FAE-Mype to respond quickly and effectively to</w:t>
            </w:r>
          </w:p>
        </w:tc>
        <w:tc>
          <w:tcPr>
            <w:tcW w:w="0" w:type="dxa"/>
            <w:vAlign w:val="bottom"/>
          </w:tcPr>
          <w:p>
            <w:pPr>
              <w:spacing w:after="0"/>
              <w:rPr>
                <w:sz w:val="1"/>
                <w:szCs w:val="1"/>
                <w:color w:val="auto"/>
              </w:rPr>
            </w:pPr>
          </w:p>
        </w:tc>
      </w:tr>
      <w:tr>
        <w:trPr>
          <w:trHeight w:val="126"/>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liquidity needs and maintain the payment chain.</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6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4"/>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Loans</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Loan Portfolio excluding GP Loans</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6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3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One-off Impairment</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One-off IFRS9 modification loss related to the zero-interest-rate loans to finance frozen</w:t>
            </w:r>
          </w:p>
        </w:tc>
        <w:tc>
          <w:tcPr>
            <w:tcW w:w="0" w:type="dxa"/>
            <w:vAlign w:val="bottom"/>
          </w:tcPr>
          <w:p>
            <w:pPr>
              <w:spacing w:after="0"/>
              <w:rPr>
                <w:sz w:val="1"/>
                <w:szCs w:val="1"/>
                <w:color w:val="auto"/>
              </w:rPr>
            </w:pPr>
          </w:p>
        </w:tc>
      </w:tr>
      <w:tr>
        <w:trPr>
          <w:trHeight w:val="126"/>
        </w:trPr>
        <w:tc>
          <w:tcPr>
            <w:tcW w:w="4300" w:type="dxa"/>
            <w:vAlign w:val="bottom"/>
            <w:tcBorders>
              <w:left w:val="single" w:sz="8" w:color="auto"/>
              <w:right w:val="single" w:sz="8" w:color="auto"/>
            </w:tcBorders>
            <w:vMerge w:val="continue"/>
          </w:tcPr>
          <w:p>
            <w:pPr>
              <w:spacing w:after="0"/>
              <w:rPr>
                <w:sz w:val="10"/>
                <w:szCs w:val="10"/>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installments.</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6940" w:type="dxa"/>
            <w:vAlign w:val="bottom"/>
            <w:tcBorders>
              <w:bottom w:val="single" w:sz="8" w:color="auto"/>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8"/>
        </w:trPr>
        <w:tc>
          <w:tcPr>
            <w:tcW w:w="43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Cost of risk</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Cost of Risk related to the Structural Loans. It excludes, in the numerator, provisions for credit</w:t>
            </w:r>
          </w:p>
        </w:tc>
        <w:tc>
          <w:tcPr>
            <w:tcW w:w="0" w:type="dxa"/>
            <w:vAlign w:val="bottom"/>
          </w:tcPr>
          <w:p>
            <w:pPr>
              <w:spacing w:after="0"/>
              <w:rPr>
                <w:sz w:val="1"/>
                <w:szCs w:val="1"/>
                <w:color w:val="auto"/>
              </w:rPr>
            </w:pPr>
          </w:p>
        </w:tc>
      </w:tr>
      <w:tr>
        <w:trPr>
          <w:trHeight w:val="113"/>
        </w:trPr>
        <w:tc>
          <w:tcPr>
            <w:tcW w:w="4300" w:type="dxa"/>
            <w:vAlign w:val="bottom"/>
            <w:tcBorders>
              <w:left w:val="single" w:sz="8" w:color="auto"/>
              <w:right w:val="single" w:sz="8" w:color="auto"/>
            </w:tcBorders>
            <w:vMerge w:val="continue"/>
          </w:tcPr>
          <w:p>
            <w:pPr>
              <w:spacing w:after="0"/>
              <w:rPr>
                <w:sz w:val="9"/>
                <w:szCs w:val="9"/>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losses on GP loans, and in the denominator the total amount of GP Loans.</w:t>
            </w:r>
          </w:p>
        </w:tc>
        <w:tc>
          <w:tcPr>
            <w:tcW w:w="0" w:type="dxa"/>
            <w:vAlign w:val="bottom"/>
          </w:tcPr>
          <w:p>
            <w:pPr>
              <w:spacing w:after="0"/>
              <w:rPr>
                <w:sz w:val="1"/>
                <w:szCs w:val="1"/>
                <w:color w:val="auto"/>
              </w:rPr>
            </w:pPr>
          </w:p>
        </w:tc>
      </w:tr>
      <w:tr>
        <w:trPr>
          <w:trHeight w:val="121"/>
        </w:trPr>
        <w:tc>
          <w:tcPr>
            <w:tcW w:w="4300" w:type="dxa"/>
            <w:vAlign w:val="bottom"/>
            <w:tcBorders>
              <w:left w:val="single" w:sz="8" w:color="auto"/>
              <w:bottom w:val="single" w:sz="8" w:color="auto"/>
              <w:right w:val="single" w:sz="8" w:color="auto"/>
            </w:tcBorders>
          </w:tcPr>
          <w:p>
            <w:pPr>
              <w:spacing w:after="0"/>
              <w:rPr>
                <w:sz w:val="10"/>
                <w:szCs w:val="10"/>
                <w:color w:val="auto"/>
              </w:rPr>
            </w:pPr>
          </w:p>
        </w:tc>
        <w:tc>
          <w:tcPr>
            <w:tcW w:w="69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Internal Overdue Loans (IOL) ratio</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IOL Ratio related to the Structural Loans. It excludes the impact of GP Loans.</w:t>
            </w:r>
          </w:p>
        </w:tc>
        <w:tc>
          <w:tcPr>
            <w:tcW w:w="0" w:type="dxa"/>
            <w:vAlign w:val="bottom"/>
          </w:tcPr>
          <w:p>
            <w:pPr>
              <w:spacing w:after="0"/>
              <w:rPr>
                <w:sz w:val="1"/>
                <w:szCs w:val="1"/>
                <w:color w:val="auto"/>
              </w:rPr>
            </w:pPr>
          </w:p>
        </w:tc>
      </w:tr>
      <w:tr>
        <w:trPr>
          <w:trHeight w:val="94"/>
        </w:trPr>
        <w:tc>
          <w:tcPr>
            <w:tcW w:w="430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1"/>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Early delinquency (&gt;60 - &lt;150)</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Early Delinquency Ratio related to the Structural Loans. It excludes the impact of GP Loans</w:t>
            </w:r>
          </w:p>
        </w:tc>
        <w:tc>
          <w:tcPr>
            <w:tcW w:w="0" w:type="dxa"/>
            <w:vAlign w:val="bottom"/>
          </w:tcPr>
          <w:p>
            <w:pPr>
              <w:spacing w:after="0"/>
              <w:rPr>
                <w:sz w:val="1"/>
                <w:szCs w:val="1"/>
                <w:color w:val="auto"/>
              </w:rPr>
            </w:pPr>
          </w:p>
        </w:tc>
      </w:tr>
      <w:tr>
        <w:trPr>
          <w:trHeight w:val="94"/>
        </w:trPr>
        <w:tc>
          <w:tcPr>
            <w:tcW w:w="430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NPL ratio</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NPL Ratio related to the Structural Loans. It excludes the impact of GP Loans.</w:t>
            </w:r>
          </w:p>
        </w:tc>
        <w:tc>
          <w:tcPr>
            <w:tcW w:w="0" w:type="dxa"/>
            <w:vAlign w:val="bottom"/>
          </w:tcPr>
          <w:p>
            <w:pPr>
              <w:spacing w:after="0"/>
              <w:rPr>
                <w:sz w:val="1"/>
                <w:szCs w:val="1"/>
                <w:color w:val="auto"/>
              </w:rPr>
            </w:pPr>
          </w:p>
        </w:tc>
      </w:tr>
      <w:tr>
        <w:trPr>
          <w:trHeight w:val="81"/>
        </w:trPr>
        <w:tc>
          <w:tcPr>
            <w:tcW w:w="4300" w:type="dxa"/>
            <w:vAlign w:val="bottom"/>
            <w:tcBorders>
              <w:left w:val="single" w:sz="8" w:color="auto"/>
              <w:bottom w:val="single" w:sz="8" w:color="auto"/>
              <w:right w:val="single" w:sz="8" w:color="auto"/>
            </w:tcBorders>
          </w:tcPr>
          <w:p>
            <w:pPr>
              <w:spacing w:after="0"/>
              <w:rPr>
                <w:sz w:val="7"/>
                <w:szCs w:val="7"/>
                <w:color w:val="auto"/>
              </w:rPr>
            </w:pPr>
          </w:p>
        </w:tc>
        <w:tc>
          <w:tcPr>
            <w:tcW w:w="694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30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NIM</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NIM related to structural loans and other interest earning assets. It excludes the impact from</w:t>
            </w:r>
          </w:p>
        </w:tc>
        <w:tc>
          <w:tcPr>
            <w:tcW w:w="0" w:type="dxa"/>
            <w:vAlign w:val="bottom"/>
          </w:tcPr>
          <w:p>
            <w:pPr>
              <w:spacing w:after="0"/>
              <w:rPr>
                <w:sz w:val="1"/>
                <w:szCs w:val="1"/>
                <w:color w:val="auto"/>
              </w:rPr>
            </w:pPr>
          </w:p>
        </w:tc>
      </w:tr>
      <w:tr>
        <w:trPr>
          <w:trHeight w:val="113"/>
        </w:trPr>
        <w:tc>
          <w:tcPr>
            <w:tcW w:w="4300" w:type="dxa"/>
            <w:vAlign w:val="bottom"/>
            <w:tcBorders>
              <w:left w:val="single" w:sz="8" w:color="auto"/>
              <w:right w:val="single" w:sz="8" w:color="auto"/>
            </w:tcBorders>
            <w:vMerge w:val="continue"/>
          </w:tcPr>
          <w:p>
            <w:pPr>
              <w:spacing w:after="0"/>
              <w:rPr>
                <w:sz w:val="9"/>
                <w:szCs w:val="9"/>
                <w:color w:val="auto"/>
              </w:rPr>
            </w:pPr>
          </w:p>
        </w:tc>
        <w:tc>
          <w:tcPr>
            <w:tcW w:w="694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GP loans and the one-off impairment.</w:t>
            </w:r>
          </w:p>
        </w:tc>
        <w:tc>
          <w:tcPr>
            <w:tcW w:w="0" w:type="dxa"/>
            <w:vAlign w:val="bottom"/>
          </w:tcPr>
          <w:p>
            <w:pPr>
              <w:spacing w:after="0"/>
              <w:rPr>
                <w:sz w:val="1"/>
                <w:szCs w:val="1"/>
                <w:color w:val="auto"/>
              </w:rPr>
            </w:pPr>
          </w:p>
        </w:tc>
      </w:tr>
      <w:tr>
        <w:trPr>
          <w:trHeight w:val="121"/>
        </w:trPr>
        <w:tc>
          <w:tcPr>
            <w:tcW w:w="4300" w:type="dxa"/>
            <w:vAlign w:val="bottom"/>
            <w:tcBorders>
              <w:left w:val="single" w:sz="8" w:color="auto"/>
              <w:bottom w:val="single" w:sz="8" w:color="auto"/>
              <w:right w:val="single" w:sz="8" w:color="auto"/>
            </w:tcBorders>
          </w:tcPr>
          <w:p>
            <w:pPr>
              <w:spacing w:after="0"/>
              <w:rPr>
                <w:sz w:val="10"/>
                <w:szCs w:val="10"/>
                <w:color w:val="auto"/>
              </w:rPr>
            </w:pPr>
          </w:p>
        </w:tc>
        <w:tc>
          <w:tcPr>
            <w:tcW w:w="69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5"/>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Structural Funding Cost</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Funding Cost Ratio excluding the impact of Central Bank funding for GP Loans</w:t>
            </w:r>
          </w:p>
        </w:tc>
        <w:tc>
          <w:tcPr>
            <w:tcW w:w="0" w:type="dxa"/>
            <w:vAlign w:val="bottom"/>
          </w:tcPr>
          <w:p>
            <w:pPr>
              <w:spacing w:after="0"/>
              <w:rPr>
                <w:sz w:val="1"/>
                <w:szCs w:val="1"/>
                <w:color w:val="auto"/>
              </w:rPr>
            </w:pPr>
          </w:p>
        </w:tc>
      </w:tr>
      <w:tr>
        <w:trPr>
          <w:trHeight w:val="94"/>
        </w:trPr>
        <w:tc>
          <w:tcPr>
            <w:tcW w:w="430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5"/>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Income Growth</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Income growth excluding the one-off impairment</w:t>
            </w:r>
          </w:p>
        </w:tc>
        <w:tc>
          <w:tcPr>
            <w:tcW w:w="0" w:type="dxa"/>
            <w:vAlign w:val="bottom"/>
          </w:tcPr>
          <w:p>
            <w:pPr>
              <w:spacing w:after="0"/>
              <w:rPr>
                <w:sz w:val="1"/>
                <w:szCs w:val="1"/>
                <w:color w:val="auto"/>
              </w:rPr>
            </w:pPr>
          </w:p>
        </w:tc>
      </w:tr>
      <w:tr>
        <w:trPr>
          <w:trHeight w:val="94"/>
        </w:trPr>
        <w:tc>
          <w:tcPr>
            <w:tcW w:w="4300" w:type="dxa"/>
            <w:vAlign w:val="bottom"/>
            <w:tcBorders>
              <w:left w:val="single" w:sz="8" w:color="auto"/>
              <w:bottom w:val="single" w:sz="8" w:color="auto"/>
              <w:right w:val="single" w:sz="8" w:color="auto"/>
            </w:tcBorders>
          </w:tcPr>
          <w:p>
            <w:pPr>
              <w:spacing w:after="0"/>
              <w:rPr>
                <w:sz w:val="8"/>
                <w:szCs w:val="8"/>
                <w:color w:val="auto"/>
              </w:rPr>
            </w:pPr>
          </w:p>
        </w:tc>
        <w:tc>
          <w:tcPr>
            <w:tcW w:w="69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44"/>
        </w:trPr>
        <w:tc>
          <w:tcPr>
            <w:tcW w:w="43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Adjusted Efficiency ratio</w:t>
            </w:r>
          </w:p>
        </w:tc>
        <w:tc>
          <w:tcPr>
            <w:tcW w:w="6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Efficiency ratio excluding the one-off impairment from operating income.</w:t>
            </w:r>
          </w:p>
        </w:tc>
        <w:tc>
          <w:tcPr>
            <w:tcW w:w="0" w:type="dxa"/>
            <w:vAlign w:val="bottom"/>
          </w:tcPr>
          <w:p>
            <w:pPr>
              <w:spacing w:after="0"/>
              <w:rPr>
                <w:sz w:val="1"/>
                <w:szCs w:val="1"/>
                <w:color w:val="auto"/>
              </w:rPr>
            </w:pPr>
          </w:p>
        </w:tc>
      </w:tr>
      <w:tr>
        <w:trPr>
          <w:trHeight w:val="108"/>
        </w:trPr>
        <w:tc>
          <w:tcPr>
            <w:tcW w:w="4300" w:type="dxa"/>
            <w:vAlign w:val="bottom"/>
            <w:tcBorders>
              <w:left w:val="single" w:sz="8" w:color="auto"/>
              <w:bottom w:val="single" w:sz="8" w:color="auto"/>
              <w:right w:val="single" w:sz="8" w:color="auto"/>
            </w:tcBorders>
          </w:tcPr>
          <w:p>
            <w:pPr>
              <w:spacing w:after="0"/>
              <w:rPr>
                <w:sz w:val="9"/>
                <w:szCs w:val="9"/>
                <w:color w:val="auto"/>
              </w:rPr>
            </w:pPr>
          </w:p>
        </w:tc>
        <w:tc>
          <w:tcPr>
            <w:tcW w:w="69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41"/>
        </w:trPr>
        <w:tc>
          <w:tcPr>
            <w:tcW w:w="4300" w:type="dxa"/>
            <w:vAlign w:val="bottom"/>
            <w:tcBorders>
              <w:bottom w:val="single" w:sz="8" w:color="auto"/>
            </w:tcBorders>
          </w:tcPr>
          <w:p>
            <w:pPr>
              <w:spacing w:after="0"/>
              <w:rPr>
                <w:sz w:val="24"/>
                <w:szCs w:val="24"/>
                <w:color w:val="auto"/>
              </w:rPr>
            </w:pPr>
          </w:p>
        </w:tc>
        <w:tc>
          <w:tcPr>
            <w:tcW w:w="6940" w:type="dxa"/>
            <w:vAlign w:val="bottom"/>
            <w:tcBorders>
              <w:bottom w:val="single" w:sz="8" w:color="auto"/>
            </w:tcBorders>
          </w:tcPr>
          <w:p>
            <w:pPr>
              <w:ind w:left="6760"/>
              <w:spacing w:after="0"/>
              <w:rPr>
                <w:sz w:val="20"/>
                <w:szCs w:val="20"/>
                <w:color w:val="auto"/>
              </w:rPr>
            </w:pPr>
            <w:r>
              <w:rPr>
                <w:rFonts w:ascii="Times New Roman" w:cs="Times New Roman" w:eastAsia="Times New Roman" w:hAnsi="Times New Roman"/>
                <w:sz w:val="18"/>
                <w:szCs w:val="18"/>
                <w:color w:val="auto"/>
                <w:w w:val="77"/>
              </w:rPr>
              <w:t>77</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1)"/>
      <w:numFmt w:val="decimal"/>
      <w:start w:val="1"/>
    </w:lvl>
  </w:abstractNum>
  <w:abstractNum w:abstractNumId="1">
    <w:nsid w:val="749ABB43"/>
    <w:multiLevelType w:val="hybridMultilevel"/>
    <w:lvl w:ilvl="0">
      <w:lvlJc w:val="left"/>
      <w:lvlText w:val="(%1)"/>
      <w:numFmt w:val="decimal"/>
      <w:start w:val="1"/>
    </w:lvl>
  </w:abstractNum>
  <w:abstractNum w:abstractNumId="2">
    <w:nsid w:val="3DC240FB"/>
    <w:multiLevelType w:val="hybridMultilevel"/>
    <w:lvl w:ilvl="0">
      <w:lvlJc w:val="left"/>
      <w:lvlText w:val="(%1)"/>
      <w:numFmt w:val="decimal"/>
      <w:start w:val="1"/>
    </w:lvl>
  </w:abstractNum>
  <w:abstractNum w:abstractNumId="3">
    <w:nsid w:val="1BA026FA"/>
    <w:multiLevelType w:val="hybridMultilevel"/>
    <w:lvl w:ilvl="0">
      <w:lvlJc w:val="left"/>
      <w:lvlText w:val="%1."/>
      <w:numFmt w:val="decimal"/>
      <w:start w:val="1"/>
    </w:lvl>
  </w:abstractNum>
  <w:abstractNum w:abstractNumId="4">
    <w:nsid w:val="79A1DEAA"/>
    <w:multiLevelType w:val="hybridMultilevel"/>
    <w:lvl w:ilvl="0">
      <w:lvlJc w:val="left"/>
      <w:lvlText w:val="(%1)"/>
      <w:numFmt w:val="lowerRoman"/>
      <w:start w:val="1"/>
    </w:lvl>
  </w:abstractNum>
  <w:abstractNum w:abstractNumId="5">
    <w:nsid w:val="75C6C33A"/>
    <w:multiLevelType w:val="hybridMultilevel"/>
    <w:lvl w:ilvl="0">
      <w:lvlJc w:val="left"/>
      <w:lvlText w:val="(%1)"/>
      <w:numFmt w:val="lowerRoman"/>
      <w:start w:val="1"/>
    </w:lvl>
  </w:abstractNum>
  <w:abstractNum w:abstractNumId="6">
    <w:nsid w:val="12E685FB"/>
    <w:multiLevelType w:val="hybridMultilevel"/>
    <w:lvl w:ilvl="0">
      <w:lvlJc w:val="left"/>
      <w:lvlText w:val="(%1)"/>
      <w:numFmt w:val="decimal"/>
      <w:start w:val="1"/>
    </w:lvl>
  </w:abstractNum>
  <w:abstractNum w:abstractNumId="7">
    <w:nsid w:val="70C6A529"/>
    <w:multiLevelType w:val="hybridMultilevel"/>
    <w:lvl w:ilvl="0">
      <w:lvlJc w:val="left"/>
      <w:lvlText w:val="(%1)"/>
      <w:numFmt w:val="lowerRoman"/>
      <w:start w:val="1"/>
    </w:lvl>
  </w:abstractNum>
  <w:abstractNum w:abstractNumId="8">
    <w:nsid w:val="520EEDD1"/>
    <w:multiLevelType w:val="hybridMultilevel"/>
    <w:lvl w:ilvl="0">
      <w:lvlJc w:val="left"/>
      <w:lvlText w:val="(%1)"/>
      <w:numFmt w:val="decimal"/>
      <w:start w:val="1"/>
    </w:lvl>
  </w:abstractNum>
  <w:abstractNum w:abstractNumId="9">
    <w:nsid w:val="374A3FE6"/>
    <w:multiLevelType w:val="hybridMultilevel"/>
    <w:lvl w:ilvl="0">
      <w:lvlJc w:val="left"/>
      <w:lvlText w:val="(%1)"/>
      <w:numFmt w:val="decimal"/>
      <w:start w:val="1"/>
    </w:lvl>
  </w:abstractNum>
  <w:abstractNum w:abstractNumId="10">
    <w:nsid w:val="4F4EF005"/>
    <w:multiLevelType w:val="hybridMultilevel"/>
    <w:lvl w:ilvl="0">
      <w:lvlJc w:val="left"/>
      <w:lvlText w:val="%1."/>
      <w:numFmt w:val="decimal"/>
      <w:start w:val="2"/>
    </w:lvl>
  </w:abstractNum>
  <w:abstractNum w:abstractNumId="11">
    <w:nsid w:val="23F9C13C"/>
    <w:multiLevelType w:val="hybridMultilevel"/>
    <w:lvl w:ilvl="0">
      <w:lvlJc w:val="left"/>
      <w:lvlText w:val="(%1)"/>
      <w:numFmt w:val="lowerRoman"/>
      <w:start w:val="1"/>
    </w:lvl>
  </w:abstractNum>
  <w:abstractNum w:abstractNumId="12">
    <w:nsid w:val="649BB77C"/>
    <w:multiLevelType w:val="hybridMultilevel"/>
    <w:lvl w:ilvl="0">
      <w:lvlJc w:val="left"/>
      <w:lvlText w:val="(%1)"/>
      <w:numFmt w:val="lowerRoman"/>
      <w:start w:val="2"/>
    </w:lvl>
  </w:abstractNum>
  <w:abstractNum w:abstractNumId="13">
    <w:nsid w:val="275AC794"/>
    <w:multiLevelType w:val="hybridMultilevel"/>
    <w:lvl w:ilvl="0">
      <w:lvlJc w:val="left"/>
      <w:lvlText w:val="(%1)"/>
      <w:numFmt w:val="lowerRoman"/>
      <w:start w:val="1"/>
    </w:lvl>
  </w:abstractNum>
  <w:abstractNum w:abstractNumId="14">
    <w:nsid w:val="39386575"/>
    <w:multiLevelType w:val="hybridMultilevel"/>
    <w:lvl w:ilvl="0">
      <w:lvlJc w:val="left"/>
      <w:lvlText w:val="(%1)"/>
      <w:numFmt w:val="decimal"/>
      <w:start w:val="1"/>
    </w:lvl>
  </w:abstractNum>
  <w:abstractNum w:abstractNumId="15">
    <w:nsid w:val="1CF10FD8"/>
    <w:multiLevelType w:val="hybridMultilevel"/>
    <w:lvl w:ilvl="0">
      <w:lvlJc w:val="left"/>
      <w:lvlText w:val="(%1)"/>
      <w:numFmt w:val="lowerRoman"/>
      <w:start w:val="1"/>
    </w:lvl>
  </w:abstractNum>
  <w:abstractNum w:abstractNumId="16">
    <w:nsid w:val="180115BE"/>
    <w:multiLevelType w:val="hybridMultilevel"/>
    <w:lvl w:ilvl="0">
      <w:lvlJc w:val="left"/>
      <w:lvlText w:val="(%1)"/>
      <w:numFmt w:val="lowerRoman"/>
      <w:start w:val="1"/>
    </w:lvl>
  </w:abstractNum>
  <w:abstractNum w:abstractNumId="17">
    <w:nsid w:val="235BA861"/>
    <w:multiLevelType w:val="hybridMultilevel"/>
    <w:lvl w:ilvl="0">
      <w:lvlJc w:val="left"/>
      <w:lvlText w:val="%1"/>
      <w:numFmt w:val="lowerRoman"/>
      <w:start w:val="1"/>
    </w:lvl>
    <w:lvl w:ilvl="1">
      <w:lvlJc w:val="left"/>
      <w:lvlText w:val="(%2)"/>
      <w:numFmt w:val="decimal"/>
      <w:start w:val="1"/>
    </w:lvl>
  </w:abstractNum>
  <w:abstractNum w:abstractNumId="18">
    <w:nsid w:val="47398C89"/>
    <w:multiLevelType w:val="hybridMultilevel"/>
    <w:lvl w:ilvl="0">
      <w:lvlJc w:val="left"/>
      <w:lvlText w:val="(%1)"/>
      <w:numFmt w:val="lowerRoman"/>
      <w:start w:val="1"/>
    </w:lvl>
    <w:lvl w:ilvl="1">
      <w:lvlJc w:val="left"/>
      <w:lvlText w:val="%2"/>
      <w:numFmt w:val="decimal"/>
      <w:start w:val="1"/>
    </w:lvl>
  </w:abstractNum>
  <w:abstractNum w:abstractNumId="19">
    <w:nsid w:val="354FE9F9"/>
    <w:multiLevelType w:val="hybridMultilevel"/>
    <w:lvl w:ilvl="0">
      <w:lvlJc w:val="left"/>
      <w:lvlText w:val="%1."/>
      <w:numFmt w:val="decimal"/>
      <w:start w:val="3"/>
    </w:lvl>
  </w:abstractNum>
  <w:abstractNum w:abstractNumId="20">
    <w:nsid w:val="15B5AF5C"/>
    <w:multiLevelType w:val="hybridMultilevel"/>
    <w:lvl w:ilvl="0">
      <w:lvlJc w:val="left"/>
      <w:lvlText w:val="(%1)"/>
      <w:numFmt w:val="lowerRoman"/>
      <w:start w:val="2"/>
    </w:lvl>
  </w:abstractNum>
  <w:abstractNum w:abstractNumId="21">
    <w:nsid w:val="741226BB"/>
    <w:multiLevelType w:val="hybridMultilevel"/>
    <w:lvl w:ilvl="0">
      <w:lvlJc w:val="left"/>
      <w:lvlText w:val="(%1)"/>
      <w:numFmt w:val="decimal"/>
      <w:start w:val="1"/>
    </w:lvl>
  </w:abstractNum>
  <w:abstractNum w:abstractNumId="22">
    <w:nsid w:val="D34B6A8"/>
    <w:multiLevelType w:val="hybridMultilevel"/>
    <w:lvl w:ilvl="0">
      <w:lvlJc w:val="left"/>
      <w:lvlText w:val="(%1)"/>
      <w:numFmt w:val="decimal"/>
      <w:start w:val="1"/>
    </w:lvl>
  </w:abstractNum>
  <w:abstractNum w:abstractNumId="23">
    <w:nsid w:val="10233C99"/>
    <w:multiLevelType w:val="hybridMultilevel"/>
    <w:lvl w:ilvl="0">
      <w:lvlJc w:val="left"/>
      <w:lvlText w:val="(%1)"/>
      <w:numFmt w:val="lowerRoman"/>
      <w:start w:val="1"/>
    </w:lvl>
  </w:abstractNum>
  <w:abstractNum w:abstractNumId="24">
    <w:nsid w:val="3F6AB60F"/>
    <w:multiLevelType w:val="hybridMultilevel"/>
    <w:lvl w:ilvl="0">
      <w:lvlJc w:val="left"/>
      <w:lvlText w:val="(%1)"/>
      <w:numFmt w:val="decimal"/>
      <w:start w:val="1"/>
    </w:lvl>
  </w:abstractNum>
  <w:abstractNum w:abstractNumId="25">
    <w:nsid w:val="61574095"/>
    <w:multiLevelType w:val="hybridMultilevel"/>
    <w:lvl w:ilvl="0">
      <w:lvlJc w:val="left"/>
      <w:lvlText w:val="(%1)"/>
      <w:numFmt w:val="lowerRoman"/>
      <w:start w:val="1"/>
    </w:lvl>
  </w:abstractNum>
  <w:abstractNum w:abstractNumId="26">
    <w:nsid w:val="7E0C57B1"/>
    <w:multiLevelType w:val="hybridMultilevel"/>
    <w:lvl w:ilvl="0">
      <w:lvlJc w:val="left"/>
      <w:lvlText w:val="(%1)"/>
      <w:numFmt w:val="lowerRoman"/>
      <w:start w:val="1"/>
    </w:lvl>
  </w:abstractNum>
  <w:abstractNum w:abstractNumId="27">
    <w:nsid w:val="77AE35EB"/>
    <w:multiLevelType w:val="hybridMultilevel"/>
    <w:lvl w:ilvl="0">
      <w:lvlJc w:val="left"/>
      <w:lvlText w:val="(%1)"/>
      <w:numFmt w:val="lowerRoman"/>
      <w:start w:val="2"/>
    </w:lvl>
  </w:abstractNum>
  <w:abstractNum w:abstractNumId="28">
    <w:nsid w:val="579BE4F1"/>
    <w:multiLevelType w:val="hybridMultilevel"/>
    <w:lvl w:ilvl="0">
      <w:lvlJc w:val="left"/>
      <w:lvlText w:val="(%1)"/>
      <w:numFmt w:val="lowerRoman"/>
      <w:start w:val="3"/>
    </w:lvl>
  </w:abstractNum>
  <w:abstractNum w:abstractNumId="29">
    <w:nsid w:val="310C50B3"/>
    <w:multiLevelType w:val="hybridMultilevel"/>
    <w:lvl w:ilvl="0">
      <w:lvlJc w:val="left"/>
      <w:lvlText w:val="(%1)"/>
      <w:numFmt w:val="lowerRoman"/>
      <w:start w:val="4"/>
    </w:lvl>
  </w:abstractNum>
  <w:abstractNum w:abstractNumId="30">
    <w:nsid w:val="5FF87E05"/>
    <w:multiLevelType w:val="hybridMultilevel"/>
    <w:lvl w:ilvl="0">
      <w:lvlJc w:val="left"/>
      <w:lvlText w:val="(%1)"/>
      <w:numFmt w:val="lowerRoman"/>
      <w:start w:val="5"/>
    </w:lvl>
  </w:abstractNum>
  <w:abstractNum w:abstractNumId="31">
    <w:nsid w:val="2F305DEF"/>
    <w:multiLevelType w:val="hybridMultilevel"/>
    <w:lvl w:ilvl="0">
      <w:lvlJc w:val="left"/>
      <w:lvlText w:val="(%1)"/>
      <w:numFmt w:val="lowerRoman"/>
      <w:start w:val="6"/>
    </w:lvl>
  </w:abstractNum>
  <w:abstractNum w:abstractNumId="32">
    <w:nsid w:val="25A70BF7"/>
    <w:multiLevelType w:val="hybridMultilevel"/>
    <w:lvl w:ilvl="0">
      <w:lvlJc w:val="left"/>
      <w:lvlText w:val="(%1)"/>
      <w:numFmt w:val="lowerRoman"/>
      <w:start w:val="7"/>
    </w:lvl>
  </w:abstractNum>
  <w:abstractNum w:abstractNumId="33">
    <w:nsid w:val="1DBABF00"/>
    <w:multiLevelType w:val="hybridMultilevel"/>
    <w:lvl w:ilvl="0">
      <w:lvlJc w:val="left"/>
      <w:lvlText w:val="(%1)"/>
      <w:numFmt w:val="lowerRoman"/>
      <w:start w:val="8"/>
    </w:lvl>
  </w:abstractNum>
  <w:abstractNum w:abstractNumId="34">
    <w:nsid w:val="4AD084E9"/>
    <w:multiLevelType w:val="hybridMultilevel"/>
    <w:lvl w:ilvl="0">
      <w:lvlJc w:val="left"/>
      <w:lvlText w:val="%1."/>
      <w:numFmt w:val="decimal"/>
      <w:start w:val="4"/>
    </w:lvl>
  </w:abstractNum>
  <w:abstractNum w:abstractNumId="35">
    <w:nsid w:val="1F48EAA1"/>
    <w:multiLevelType w:val="hybridMultilevel"/>
    <w:lvl w:ilvl="0">
      <w:lvlJc w:val="left"/>
      <w:lvlText w:val="(%1)"/>
      <w:numFmt w:val="decimal"/>
      <w:start w:val="1"/>
    </w:lvl>
  </w:abstractNum>
  <w:abstractNum w:abstractNumId="36">
    <w:nsid w:val="1381823A"/>
    <w:multiLevelType w:val="hybridMultilevel"/>
    <w:lvl w:ilvl="0">
      <w:lvlJc w:val="left"/>
      <w:lvlText w:val="(%1)"/>
      <w:numFmt w:val="lowerRoman"/>
      <w:start w:val="1"/>
    </w:lvl>
  </w:abstractNum>
  <w:abstractNum w:abstractNumId="37">
    <w:nsid w:val="5DB70AE5"/>
    <w:multiLevelType w:val="hybridMultilevel"/>
    <w:lvl w:ilvl="0">
      <w:lvlJc w:val="left"/>
      <w:lvlText w:val="(%1)"/>
      <w:numFmt w:val="lowerRoman"/>
      <w:start w:val="2"/>
    </w:lvl>
  </w:abstractNum>
  <w:abstractNum w:abstractNumId="38">
    <w:nsid w:val="100F8FCA"/>
    <w:multiLevelType w:val="hybridMultilevel"/>
    <w:lvl w:ilvl="0">
      <w:lvlJc w:val="left"/>
      <w:lvlText w:val="(%1)"/>
      <w:numFmt w:val="lowerRoman"/>
      <w:start w:val="1"/>
    </w:lvl>
  </w:abstractNum>
  <w:abstractNum w:abstractNumId="39">
    <w:nsid w:val="6590700B"/>
    <w:multiLevelType w:val="hybridMultilevel"/>
    <w:lvl w:ilvl="0">
      <w:lvlJc w:val="left"/>
      <w:lvlText w:val="(%1)"/>
      <w:numFmt w:val="lowerRoman"/>
      <w:start w:val="1"/>
    </w:lvl>
    <w:lvl w:ilvl="1">
      <w:lvlJc w:val="left"/>
      <w:lvlText w:val="%2."/>
      <w:numFmt w:val="lowerLetter"/>
      <w:start w:val="1"/>
    </w:lvl>
  </w:abstractNum>
  <w:abstractNum w:abstractNumId="40">
    <w:nsid w:val="15014ACB"/>
    <w:multiLevelType w:val="hybridMultilevel"/>
    <w:lvl w:ilvl="0">
      <w:lvlJc w:val="left"/>
      <w:lvlText w:val="(%1)"/>
      <w:numFmt w:val="lowerRoman"/>
      <w:start w:val="1"/>
    </w:lvl>
  </w:abstractNum>
  <w:abstractNum w:abstractNumId="41">
    <w:nsid w:val="5F5E7FD0"/>
    <w:multiLevelType w:val="hybridMultilevel"/>
    <w:lvl w:ilvl="0">
      <w:lvlJc w:val="left"/>
      <w:lvlText w:val="(%1)"/>
      <w:numFmt w:val="lowerRoman"/>
      <w:start w:val="1"/>
    </w:lvl>
  </w:abstractNum>
  <w:abstractNum w:abstractNumId="42">
    <w:nsid w:val="98A3148"/>
    <w:multiLevelType w:val="hybridMultilevel"/>
    <w:lvl w:ilvl="0">
      <w:lvlJc w:val="left"/>
      <w:lvlText w:val="(%1)"/>
      <w:numFmt w:val="lowerRoman"/>
      <w:start w:val="1"/>
    </w:lvl>
  </w:abstractNum>
  <w:abstractNum w:abstractNumId="43">
    <w:nsid w:val="799D0247"/>
    <w:multiLevelType w:val="hybridMultilevel"/>
    <w:lvl w:ilvl="0">
      <w:lvlJc w:val="left"/>
      <w:lvlText w:val="(%1)"/>
      <w:numFmt w:val="lowerRoman"/>
      <w:start w:val="2"/>
    </w:lvl>
  </w:abstractNum>
  <w:abstractNum w:abstractNumId="44">
    <w:nsid w:val="6B94764"/>
    <w:multiLevelType w:val="hybridMultilevel"/>
    <w:lvl w:ilvl="0">
      <w:lvlJc w:val="left"/>
      <w:lvlText w:val="(%1)"/>
      <w:numFmt w:val="decimal"/>
      <w:start w:val="1"/>
    </w:lvl>
  </w:abstractNum>
  <w:abstractNum w:abstractNumId="45">
    <w:nsid w:val="42C296BD"/>
    <w:multiLevelType w:val="hybridMultilevel"/>
    <w:lvl w:ilvl="0">
      <w:lvlJc w:val="left"/>
      <w:lvlText w:val="(%1)"/>
      <w:numFmt w:val="lowerRoman"/>
      <w:start w:val="1"/>
    </w:lvl>
    <w:lvl w:ilvl="1">
      <w:lvlJc w:val="left"/>
      <w:lvlText w:val="%2."/>
      <w:numFmt w:val="lowerLetter"/>
      <w:start w:val="1"/>
    </w:lvl>
  </w:abstractNum>
  <w:abstractNum w:abstractNumId="46">
    <w:nsid w:val="168E121F"/>
    <w:multiLevelType w:val="hybridMultilevel"/>
    <w:lvl w:ilvl="0">
      <w:lvlJc w:val="left"/>
      <w:lvlText w:val="(%1)"/>
      <w:numFmt w:val="decimal"/>
      <w:start w:val="1"/>
    </w:lvl>
  </w:abstractNum>
  <w:abstractNum w:abstractNumId="47">
    <w:nsid w:val="1EBA5D23"/>
    <w:multiLevelType w:val="hybridMultilevel"/>
    <w:lvl w:ilvl="0">
      <w:lvlJc w:val="left"/>
      <w:lvlText w:val="(%1)"/>
      <w:numFmt w:val="decimal"/>
      <w:start w:val="2"/>
    </w:lvl>
  </w:abstractNum>
  <w:abstractNum w:abstractNumId="48">
    <w:nsid w:val="661E3F1E"/>
    <w:multiLevelType w:val="hybridMultilevel"/>
    <w:lvl w:ilvl="0">
      <w:lvlJc w:val="left"/>
      <w:lvlText w:val="(%1)"/>
      <w:numFmt w:val="decimal"/>
      <w:start w:val="1"/>
    </w:lvl>
  </w:abstractNum>
  <w:abstractNum w:abstractNumId="49">
    <w:nsid w:val="5DC79EA8"/>
    <w:multiLevelType w:val="hybridMultilevel"/>
    <w:lvl w:ilvl="0">
      <w:lvlJc w:val="left"/>
      <w:lvlText w:val="%1."/>
      <w:numFmt w:val="decimal"/>
      <w:start w:val="5"/>
    </w:lvl>
  </w:abstractNum>
  <w:abstractNum w:abstractNumId="50">
    <w:nsid w:val="540A471C"/>
    <w:multiLevelType w:val="hybridMultilevel"/>
    <w:lvl w:ilvl="0">
      <w:lvlJc w:val="left"/>
      <w:lvlText w:val="(%1)"/>
      <w:numFmt w:val="decimal"/>
      <w:start w:val="1"/>
    </w:lvl>
  </w:abstractNum>
  <w:abstractNum w:abstractNumId="51">
    <w:nsid w:val="7BD3EE7B"/>
    <w:multiLevelType w:val="hybridMultilevel"/>
    <w:lvl w:ilvl="0">
      <w:lvlJc w:val="left"/>
      <w:lvlText w:val="(%1)"/>
      <w:numFmt w:val="lowerRoman"/>
      <w:start w:val="1"/>
    </w:lvl>
  </w:abstractNum>
  <w:abstractNum w:abstractNumId="52">
    <w:nsid w:val="51D9C564"/>
    <w:multiLevelType w:val="hybridMultilevel"/>
    <w:lvl w:ilvl="0">
      <w:lvlJc w:val="left"/>
      <w:lvlText w:val="(%1)"/>
      <w:numFmt w:val="lowerRoman"/>
      <w:start w:val="1"/>
    </w:lvl>
  </w:abstractNum>
  <w:abstractNum w:abstractNumId="53">
    <w:nsid w:val="613EFDC5"/>
    <w:multiLevelType w:val="hybridMultilevel"/>
    <w:lvl w:ilvl="0">
      <w:lvlJc w:val="left"/>
      <w:lvlText w:val="(%1)"/>
      <w:numFmt w:val="lowerRoman"/>
      <w:start w:val="2"/>
    </w:lvl>
  </w:abstractNum>
  <w:abstractNum w:abstractNumId="54">
    <w:nsid w:val="BF72B14"/>
    <w:multiLevelType w:val="hybridMultilevel"/>
    <w:lvl w:ilvl="0">
      <w:lvlJc w:val="left"/>
      <w:lvlText w:val="(%1)"/>
      <w:numFmt w:val="lowerRoman"/>
      <w:start w:val="1"/>
    </w:lvl>
  </w:abstractNum>
  <w:abstractNum w:abstractNumId="55">
    <w:nsid w:val="11447B73"/>
    <w:multiLevelType w:val="hybridMultilevel"/>
    <w:lvl w:ilvl="0">
      <w:lvlJc w:val="left"/>
      <w:lvlText w:val="(%1)"/>
      <w:numFmt w:val="lowerRoman"/>
      <w:start w:val="1"/>
    </w:lvl>
  </w:abstractNum>
  <w:abstractNum w:abstractNumId="56">
    <w:nsid w:val="42963E5A"/>
    <w:multiLevelType w:val="hybridMultilevel"/>
    <w:lvl w:ilvl="0">
      <w:lvlJc w:val="left"/>
      <w:lvlText w:val="(%1)"/>
      <w:numFmt w:val="lowerRoman"/>
      <w:start w:val="2"/>
    </w:lvl>
  </w:abstractNum>
  <w:abstractNum w:abstractNumId="57">
    <w:nsid w:val="A0382C5"/>
    <w:multiLevelType w:val="hybridMultilevel"/>
    <w:lvl w:ilvl="0">
      <w:lvlJc w:val="left"/>
      <w:lvlText w:val="(%1)"/>
      <w:numFmt w:val="decimal"/>
      <w:start w:val="1"/>
    </w:lvl>
  </w:abstractNum>
  <w:abstractNum w:abstractNumId="58">
    <w:nsid w:val="8F2B15E"/>
    <w:multiLevelType w:val="hybridMultilevel"/>
    <w:lvl w:ilvl="0">
      <w:lvlJc w:val="left"/>
      <w:lvlText w:val="(%1)"/>
      <w:numFmt w:val="lowerRoman"/>
      <w:start w:val="1"/>
    </w:lvl>
  </w:abstractNum>
  <w:abstractNum w:abstractNumId="59">
    <w:nsid w:val="1A32234B"/>
    <w:multiLevelType w:val="hybridMultilevel"/>
    <w:lvl w:ilvl="0">
      <w:lvlJc w:val="left"/>
      <w:lvlText w:val="(%1)"/>
      <w:numFmt w:val="decimal"/>
      <w:start w:val="1"/>
    </w:lvl>
  </w:abstractNum>
  <w:abstractNum w:abstractNumId="60">
    <w:nsid w:val="3B0FD379"/>
    <w:multiLevelType w:val="hybridMultilevel"/>
    <w:lvl w:ilvl="0">
      <w:lvlJc w:val="left"/>
      <w:lvlText w:val="(%1)"/>
      <w:numFmt w:val="lowerRoman"/>
      <w:start w:val="2"/>
    </w:lvl>
  </w:abstractNum>
  <w:abstractNum w:abstractNumId="61">
    <w:nsid w:val="68EB2F63"/>
    <w:multiLevelType w:val="hybridMultilevel"/>
    <w:lvl w:ilvl="0">
      <w:lvlJc w:val="left"/>
      <w:lvlText w:val="(%1)"/>
      <w:numFmt w:val="decimal"/>
      <w:start w:val="1"/>
    </w:lvl>
  </w:abstractNum>
  <w:abstractNum w:abstractNumId="62">
    <w:nsid w:val="4962813B"/>
    <w:multiLevelType w:val="hybridMultilevel"/>
    <w:lvl w:ilvl="0">
      <w:lvlJc w:val="left"/>
      <w:lvlText w:val="(%1)"/>
      <w:numFmt w:val="decimal"/>
      <w:start w:val="1"/>
    </w:lvl>
  </w:abstractNum>
  <w:abstractNum w:abstractNumId="63">
    <w:nsid w:val="60B6DF70"/>
    <w:multiLevelType w:val="hybridMultilevel"/>
    <w:lvl w:ilvl="0">
      <w:lvlJc w:val="left"/>
      <w:lvlText w:val="(%1)"/>
      <w:numFmt w:val="lowerRoman"/>
      <w:start w:val="1"/>
    </w:lvl>
  </w:abstractNum>
  <w:abstractNum w:abstractNumId="64">
    <w:nsid w:val="6A5EE64"/>
    <w:multiLevelType w:val="hybridMultilevel"/>
    <w:lvl w:ilvl="0">
      <w:lvlJc w:val="left"/>
      <w:lvlText w:val="(%1)"/>
      <w:numFmt w:val="lowerRoman"/>
      <w:start w:val="3"/>
    </w:lvl>
  </w:abstractNum>
  <w:abstractNum w:abstractNumId="65">
    <w:nsid w:val="14330624"/>
    <w:multiLevelType w:val="hybridMultilevel"/>
    <w:lvl w:ilvl="0">
      <w:lvlJc w:val="left"/>
      <w:lvlText w:val="(%1)"/>
      <w:numFmt w:val="decimal"/>
      <w:start w:val="1"/>
    </w:lvl>
  </w:abstractNum>
  <w:abstractNum w:abstractNumId="66">
    <w:nsid w:val="7FFFCA11"/>
    <w:multiLevelType w:val="hybridMultilevel"/>
    <w:lvl w:ilvl="0">
      <w:lvlJc w:val="left"/>
      <w:lvlText w:val="(%1)"/>
      <w:numFmt w:val="lowerRoman"/>
      <w:start w:val="1"/>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lowerRoman"/>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lowerRoman"/>
      <w:start w:val="1"/>
    </w:lvl>
  </w:abstractNum>
  <w:abstractNum w:abstractNumId="73">
    <w:nsid w:val="94211F2"/>
    <w:multiLevelType w:val="hybridMultilevel"/>
    <w:lvl w:ilvl="0">
      <w:lvlJc w:val="left"/>
      <w:lvlText w:val="(%1)"/>
      <w:numFmt w:val="decimal"/>
      <w:start w:val="1"/>
    </w:lvl>
  </w:abstractNum>
  <w:abstractNum w:abstractNumId="74">
    <w:nsid w:val="885E1B"/>
    <w:multiLevelType w:val="hybridMultilevel"/>
    <w:lvl w:ilvl="0">
      <w:lvlJc w:val="left"/>
      <w:lvlText w:val="(+)"/>
      <w:numFmt w:val="bullet"/>
      <w:start w:val="1"/>
    </w:lvl>
  </w:abstractNum>
  <w:abstractNum w:abstractNumId="75">
    <w:nsid w:val="76272110"/>
    <w:multiLevelType w:val="hybridMultilevel"/>
    <w:lvl w:ilvl="0">
      <w:lvlJc w:val="left"/>
      <w:lvlText w:val="(%1)"/>
      <w:numFmt w:val="decimal"/>
      <w:start w:val="1"/>
    </w:lvl>
  </w:abstractNum>
  <w:abstractNum w:abstractNumId="76">
    <w:nsid w:val="4C04A8AF"/>
    <w:multiLevelType w:val="hybridMultilevel"/>
    <w:lvl w:ilvl="0">
      <w:lvlJc w:val="left"/>
      <w:lvlText w:val="%1."/>
      <w:numFmt w:val="decimal"/>
      <w:start w:val="9"/>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lowerRoman"/>
      <w:start w:val="1"/>
    </w:lvl>
  </w:abstractNum>
  <w:abstractNum w:abstractNumId="79">
    <w:nsid w:val="3222E7CD"/>
    <w:multiLevelType w:val="hybridMultilevel"/>
    <w:lvl w:ilvl="0">
      <w:lvlJc w:val="left"/>
      <w:lvlText w:val="(%1)"/>
      <w:numFmt w:val="lowerRoman"/>
      <w:start w:val="1"/>
    </w:lvl>
  </w:abstractNum>
  <w:abstractNum w:abstractNumId="80">
    <w:nsid w:val="74DE0EE3"/>
    <w:multiLevelType w:val="hybridMultilevel"/>
    <w:lvl w:ilvl="0">
      <w:lvlJc w:val="left"/>
      <w:lvlText w:val="(%1)"/>
      <w:numFmt w:val="decimal"/>
      <w:start w:val="1"/>
    </w:lvl>
  </w:abstractNum>
  <w:abstractNum w:abstractNumId="81">
    <w:nsid w:val="68EBC550"/>
    <w:multiLevelType w:val="hybridMultilevel"/>
    <w:lvl w:ilvl="0">
      <w:lvlJc w:val="left"/>
      <w:lvlText w:val="(%1)"/>
      <w:numFmt w:val="decimal"/>
      <w:start w:val="1"/>
    </w:lvl>
  </w:abstractNum>
  <w:abstractNum w:abstractNumId="82">
    <w:nsid w:val="2DF6D648"/>
    <w:multiLevelType w:val="hybridMultilevel"/>
    <w:lvl w:ilvl="0">
      <w:lvlJc w:val="left"/>
      <w:lvlText w:val="%1."/>
      <w:numFmt w:val="decimal"/>
      <w:start w:val="11"/>
    </w:lvl>
  </w:abstractNum>
  <w:abstractNum w:abstractNumId="83">
    <w:nsid w:val="46B7D447"/>
    <w:multiLevelType w:val="hybridMultilevel"/>
    <w:lvl w:ilvl="0">
      <w:lvlJc w:val="left"/>
      <w:lvlText w:val="11.%1."/>
      <w:numFmt w:val="decimal"/>
      <w:start w:val="1"/>
    </w:lvl>
  </w:abstractNum>
  <w:abstractNum w:abstractNumId="84">
    <w:nsid w:val="4A2AC315"/>
    <w:multiLevelType w:val="hybridMultilevel"/>
    <w:lvl w:ilvl="0">
      <w:lvlJc w:val="left"/>
      <w:lvlText w:val="(%1)"/>
      <w:numFmt w:val="decimal"/>
      <w:start w:val="1"/>
    </w:lvl>
  </w:abstractNum>
  <w:abstractNum w:abstractNumId="85">
    <w:nsid w:val="39EE015C"/>
    <w:multiLevelType w:val="hybridMultilevel"/>
    <w:lvl w:ilvl="0">
      <w:lvlJc w:val="left"/>
      <w:lvlText w:val="(%1)"/>
      <w:numFmt w:val="decimal"/>
      <w:start w:val="5"/>
    </w:lvl>
  </w:abstractNum>
  <w:abstractNum w:abstractNumId="86">
    <w:nsid w:val="57FC4FBB"/>
    <w:multiLevelType w:val="hybridMultilevel"/>
    <w:lvl w:ilvl="0">
      <w:lvlJc w:val="left"/>
      <w:lvlText w:val="(%1)"/>
      <w:numFmt w:val="decimal"/>
      <w:start w:val="1"/>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1)"/>
      <w:numFmt w:val="decimal"/>
      <w:start w:val="1"/>
    </w:lvl>
  </w:abstractNum>
  <w:abstractNum w:abstractNumId="89">
    <w:nsid w:val="60EF0119"/>
    <w:multiLevelType w:val="hybridMultilevel"/>
    <w:lvl w:ilvl="0">
      <w:lvlJc w:val="left"/>
      <w:lvlText w:val="(%1)"/>
      <w:numFmt w:val="decimal"/>
      <w:start w:val="1"/>
    </w:lvl>
  </w:abstractNum>
  <w:abstractNum w:abstractNumId="90">
    <w:nsid w:val="26F324BA"/>
    <w:multiLevelType w:val="hybridMultilevel"/>
    <w:lvl w:ilvl="0">
      <w:lvlJc w:val="left"/>
      <w:lvlText w:val="(%1)"/>
      <w:numFmt w:val="decimal"/>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1)"/>
      <w:numFmt w:val="decimal"/>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1)"/>
      <w:numFmt w:val="lowerRoman"/>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2020-11-06T16:25:50Z</dcterms:created>
  <dcterms:modified xsi:type="dcterms:W3CDTF">2020-11-06T16:25:50Z</dcterms:modified>
</cp:coreProperties>
</file>