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January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450850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January 25</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 accordance with article 28 of the Capital Markets Law approved by Law N° 093-2002-EF and SMV Resolution for Material Events and Reserved Information and Other Communications N° 005-2014-SMV-01 (the </w:t>
      </w:r>
      <w:r>
        <w:rPr>
          <w:rFonts w:ascii="Arial" w:cs="Arial" w:eastAsia="Arial" w:hAnsi="Arial"/>
          <w:sz w:val="18"/>
          <w:szCs w:val="18"/>
          <w:u w:val="single" w:color="auto"/>
          <w:color w:val="auto"/>
        </w:rPr>
        <w:t>“Resolution”</w:t>
      </w:r>
      <w:r>
        <w:rPr>
          <w:rFonts w:ascii="Arial" w:cs="Arial" w:eastAsia="Arial" w:hAnsi="Arial"/>
          <w:sz w:val="18"/>
          <w:szCs w:val="18"/>
          <w:color w:val="auto"/>
        </w:rPr>
        <w:t>), Credicorp Ltd. complies with notifying you of the following Material Event:</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In its session held on January 25</w:t>
      </w:r>
      <w:r>
        <w:rPr>
          <w:rFonts w:ascii="Arial" w:cs="Arial" w:eastAsia="Arial" w:hAnsi="Arial"/>
          <w:sz w:val="30"/>
          <w:szCs w:val="30"/>
          <w:color w:val="auto"/>
          <w:vertAlign w:val="superscript"/>
        </w:rPr>
        <w:t>th</w:t>
      </w:r>
      <w:r>
        <w:rPr>
          <w:rFonts w:ascii="Arial" w:cs="Arial" w:eastAsia="Arial" w:hAnsi="Arial"/>
          <w:sz w:val="18"/>
          <w:szCs w:val="18"/>
          <w:color w:val="auto"/>
        </w:rPr>
        <w:t>, 2017, Credicorp’s Board of Directors agreed to accept –as of today- the irrevocable resignation presented by the director, Mr. Luis Enrique Yarur.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25</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4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/s/ Miriam Böttger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72"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2019-12-06T02:36:15Z</dcterms:created>
  <dcterms:modified xsi:type="dcterms:W3CDTF">2019-12-06T02:36:15Z</dcterms:modified>
</cp:coreProperties>
</file>