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66636_6k.htm"/>
      <w:bookmarkStart w:id="1" w:name="ksef20066636_6k"/>
      <w:bookmarkStart w:id="2" w:name="ef20066636_6k.htm"/>
      <w:bookmarkStart w:id="3" w:name="ksef2006663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February 2026</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 xml:space="preserve">Lima, Peru </w:t>
      </w: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center"/>
        <w:rPr>
          <w:color w:val="000000"/>
          <w:sz w:val="20"/>
        </w:rPr>
      </w:pPr>
      <w:r>
        <w:rPr>
          <w:color w:val="000000"/>
          <w:sz w:val="20"/>
        </w:rPr>
      </w:r>
    </w:p>
    <w:p>
      <w:pPr>
        <w:pStyle w:val="HorizontalLine"/>
        <w:bidi w:val="0"/>
        <w:jc w:val="center"/>
        <w:rPr/>
      </w:pPr>
      <w:r>
        <w:rPr/>
      </w:r>
    </w:p>
    <w:p>
      <w:pPr>
        <w:pStyle w:val="HorizontalLine"/>
        <w:pBdr>
          <w:bottom w:val="single" w:sz="12" w:space="0" w:color="808080"/>
        </w:pBdr>
        <w:bidi w:val="0"/>
        <w:spacing w:before="180" w:after="180"/>
        <w:jc w:val="left"/>
        <w:rPr/>
      </w:pPr>
      <w:r>
        <w:rPr/>
      </w:r>
    </w:p>
    <w:p>
      <w:pPr>
        <w:pStyle w:val="TextBody"/>
        <w:bidi w:val="0"/>
        <w:spacing w:before="0" w:after="0"/>
        <w:jc w:val="both"/>
        <w:rPr>
          <w:color w:val="000000"/>
        </w:rPr>
      </w:pPr>
      <w:r>
        <w:rPr>
          <w:color w:val="000000"/>
        </w:rPr>
        <w:drawing>
          <wp:inline distT="0" distB="0" distL="0" distR="0">
            <wp:extent cx="24384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295275"/>
                    </a:xfrm>
                    <a:prstGeom prst="rect">
                      <a:avLst/>
                    </a:prstGeom>
                  </pic:spPr>
                </pic:pic>
              </a:graphicData>
            </a:graphic>
          </wp:inline>
        </w:drawing>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February 26, 2026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 (‘Credicorp’) notifies you as a Material Event that, in its session held on February 26, 2026, Credicorp’s Board of Directors unanimously agreed on the following matters: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988d5cc4418343e4a7820c125e57fb7a"/>
      <w:bookmarkStart w:id="5" w:name="z988d5cc4418343e4a7820c125e57fb7a"/>
      <w:bookmarkEnd w:id="5"/>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1.</w:t>
            </w:r>
          </w:p>
        </w:tc>
        <w:tc>
          <w:tcPr>
            <w:tcW w:w="10046" w:type="dxa"/>
            <w:tcBorders/>
            <w:vAlign w:val="center"/>
          </w:tcPr>
          <w:p>
            <w:pPr>
              <w:pStyle w:val="TableContents"/>
              <w:bidi w:val="0"/>
              <w:spacing w:before="0" w:after="0"/>
              <w:jc w:val="both"/>
              <w:rPr>
                <w:sz w:val="20"/>
              </w:rPr>
            </w:pPr>
            <w:r>
              <w:rPr>
                <w:sz w:val="20"/>
              </w:rPr>
              <w:t>Approved the Annual and Sustainability Report of Credicorp for the financial year ended December 31, 2025, including its annexes, that the Chairman will present at the Annual General Meeting (the “AGM”) of Shareholders on March 31, 2026, at 3:00 p. m. (Peru time).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226fe8fbc9ce4704a6fc8b416a2cea70"/>
      <w:bookmarkStart w:id="7" w:name="z226fe8fbc9ce4704a6fc8b416a2cea70"/>
      <w:bookmarkEnd w:id="7"/>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sz w:val="20"/>
              </w:rPr>
            </w:pPr>
            <w:r>
              <w:rPr>
                <w:sz w:val="20"/>
              </w:rPr>
              <w:t>2.</w:t>
            </w:r>
          </w:p>
        </w:tc>
        <w:tc>
          <w:tcPr>
            <w:tcW w:w="10052" w:type="dxa"/>
            <w:tcBorders/>
            <w:vAlign w:val="center"/>
          </w:tcPr>
          <w:p>
            <w:pPr>
              <w:pStyle w:val="TableContents"/>
              <w:bidi w:val="0"/>
              <w:spacing w:before="0" w:after="0"/>
              <w:jc w:val="both"/>
              <w:rPr>
                <w:sz w:val="20"/>
              </w:rPr>
            </w:pPr>
            <w:r>
              <w:rPr>
                <w:sz w:val="20"/>
              </w:rPr>
              <w:t>Approved the audited individual (standalone) and consolidated financial statements of Credicorp and its subsidiaries for the financial year ended December 31, 2025, including the report of the external auditors Tanaka, Valdivia &amp; Asociados Sociedad Civil de Responsabilidad Limitada, representatives of EYG in Peru, that the Chairman will present at the AGM.</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318ecaec254e41e98524f8771386e23d"/>
      <w:bookmarkStart w:id="9" w:name="z318ecaec254e41e98524f8771386e23d"/>
      <w:bookmarkEnd w:id="9"/>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sz w:val="20"/>
              </w:rPr>
            </w:pPr>
            <w:r>
              <w:rPr>
                <w:sz w:val="20"/>
              </w:rPr>
              <w:t>3.</w:t>
            </w:r>
          </w:p>
        </w:tc>
        <w:tc>
          <w:tcPr>
            <w:tcW w:w="10026" w:type="dxa"/>
            <w:tcBorders/>
            <w:vAlign w:val="center"/>
          </w:tcPr>
          <w:p>
            <w:pPr>
              <w:pStyle w:val="TableContents"/>
              <w:bidi w:val="0"/>
              <w:spacing w:before="0" w:after="0"/>
              <w:jc w:val="both"/>
              <w:rPr>
                <w:sz w:val="20"/>
              </w:rPr>
            </w:pPr>
            <w:r>
              <w:rPr>
                <w:sz w:val="20"/>
              </w:rPr>
              <w:t>Approved to present for approval to the AGM the list of proposed candidates that will hold office for the period March 2026 - March 2029:</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bda5aaf3975d4bdb9cb80a826f60bb69"/>
      <w:bookmarkStart w:id="11" w:name="zbda5aaf3975d4bdb9cb80a826f60bb69"/>
      <w:bookmarkEnd w:id="11"/>
    </w:p>
    <w:tbl>
      <w:tblPr>
        <w:tblW w:w="1623" w:type="dxa"/>
        <w:jc w:val="left"/>
        <w:tblInd w:w="0" w:type="dxa"/>
        <w:tblLayout w:type="fixed"/>
        <w:tblCellMar>
          <w:top w:w="0" w:type="dxa"/>
          <w:left w:w="0" w:type="dxa"/>
          <w:bottom w:w="0" w:type="dxa"/>
          <w:right w:w="0" w:type="dxa"/>
        </w:tblCellMar>
      </w:tblPr>
      <w:tblGrid>
        <w:gridCol w:w="38"/>
        <w:gridCol w:w="110"/>
        <w:gridCol w:w="14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sz w:val="20"/>
              </w:rPr>
            </w:pPr>
            <w:r>
              <w:rPr>
                <w:sz w:val="20"/>
              </w:rPr>
              <w:t>Nuria Aliño Pérez</w:t>
            </w:r>
          </w:p>
        </w:tc>
      </w:tr>
    </w:tbl>
    <w:p>
      <w:pPr>
        <w:pStyle w:val="Normal"/>
        <w:bidi w:val="0"/>
        <w:spacing w:before="0" w:after="0"/>
        <w:jc w:val="left"/>
        <w:rPr>
          <w:sz w:val="4"/>
          <w:szCs w:val="4"/>
        </w:rPr>
      </w:pPr>
      <w:r>
        <w:rPr>
          <w:sz w:val="4"/>
          <w:szCs w:val="4"/>
        </w:rPr>
      </w:r>
      <w:bookmarkStart w:id="12" w:name="z2eb915dbb9e5441ebd946bfa751e37d3"/>
      <w:bookmarkStart w:id="13" w:name="z2eb915dbb9e5441ebd946bfa751e37d3"/>
      <w:bookmarkEnd w:id="13"/>
    </w:p>
    <w:tbl>
      <w:tblPr>
        <w:tblW w:w="2253" w:type="dxa"/>
        <w:jc w:val="left"/>
        <w:tblInd w:w="0" w:type="dxa"/>
        <w:tblLayout w:type="fixed"/>
        <w:tblCellMar>
          <w:top w:w="0" w:type="dxa"/>
          <w:left w:w="0" w:type="dxa"/>
          <w:bottom w:w="0" w:type="dxa"/>
          <w:right w:w="0" w:type="dxa"/>
        </w:tblCellMar>
      </w:tblPr>
      <w:tblGrid>
        <w:gridCol w:w="38"/>
        <w:gridCol w:w="110"/>
        <w:gridCol w:w="21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0"/>
              <w:jc w:val="left"/>
              <w:rPr>
                <w:sz w:val="20"/>
              </w:rPr>
            </w:pPr>
            <w:r>
              <w:rPr>
                <w:sz w:val="20"/>
              </w:rPr>
              <w:t>María Inés Álvarez Arnao</w:t>
            </w:r>
          </w:p>
        </w:tc>
      </w:tr>
    </w:tbl>
    <w:p>
      <w:pPr>
        <w:pStyle w:val="Normal"/>
        <w:bidi w:val="0"/>
        <w:spacing w:before="0" w:after="0"/>
        <w:jc w:val="left"/>
        <w:rPr>
          <w:sz w:val="4"/>
          <w:szCs w:val="4"/>
        </w:rPr>
      </w:pPr>
      <w:r>
        <w:rPr>
          <w:sz w:val="4"/>
          <w:szCs w:val="4"/>
        </w:rPr>
      </w:r>
      <w:bookmarkStart w:id="14" w:name="z2d9c9dbe1cfd455babfa655df2eed37b"/>
      <w:bookmarkStart w:id="15" w:name="z2d9c9dbe1cfd455babfa655df2eed37b"/>
      <w:bookmarkEnd w:id="15"/>
    </w:p>
    <w:tbl>
      <w:tblPr>
        <w:tblW w:w="2898" w:type="dxa"/>
        <w:jc w:val="left"/>
        <w:tblInd w:w="0" w:type="dxa"/>
        <w:tblLayout w:type="fixed"/>
        <w:tblCellMar>
          <w:top w:w="0" w:type="dxa"/>
          <w:left w:w="0" w:type="dxa"/>
          <w:bottom w:w="0" w:type="dxa"/>
          <w:right w:w="0" w:type="dxa"/>
        </w:tblCellMar>
      </w:tblPr>
      <w:tblGrid>
        <w:gridCol w:w="38"/>
        <w:gridCol w:w="110"/>
        <w:gridCol w:w="2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sz w:val="20"/>
              </w:rPr>
            </w:pPr>
            <w:r>
              <w:rPr>
                <w:sz w:val="20"/>
              </w:rPr>
              <w:t>María Teresa Aranzabal Harreguy</w:t>
            </w:r>
          </w:p>
        </w:tc>
      </w:tr>
    </w:tbl>
    <w:p>
      <w:pPr>
        <w:pStyle w:val="Normal"/>
        <w:bidi w:val="0"/>
        <w:spacing w:before="0" w:after="0"/>
        <w:jc w:val="left"/>
        <w:rPr>
          <w:sz w:val="4"/>
          <w:szCs w:val="4"/>
        </w:rPr>
      </w:pPr>
      <w:r>
        <w:rPr>
          <w:sz w:val="4"/>
          <w:szCs w:val="4"/>
        </w:rPr>
      </w:r>
      <w:bookmarkStart w:id="16" w:name="z509b92c09bdb427c863fd36aea8c8871"/>
      <w:bookmarkStart w:id="17" w:name="z509b92c09bdb427c863fd36aea8c8871"/>
      <w:bookmarkEnd w:id="17"/>
    </w:p>
    <w:tbl>
      <w:tblPr>
        <w:tblW w:w="2268" w:type="dxa"/>
        <w:jc w:val="left"/>
        <w:tblInd w:w="0" w:type="dxa"/>
        <w:tblLayout w:type="fixed"/>
        <w:tblCellMar>
          <w:top w:w="0" w:type="dxa"/>
          <w:left w:w="0" w:type="dxa"/>
          <w:bottom w:w="0" w:type="dxa"/>
          <w:right w:w="0" w:type="dxa"/>
        </w:tblCellMar>
      </w:tblPr>
      <w:tblGrid>
        <w:gridCol w:w="38"/>
        <w:gridCol w:w="110"/>
        <w:gridCol w:w="2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0"/>
              <w:jc w:val="left"/>
              <w:rPr>
                <w:sz w:val="20"/>
              </w:rPr>
            </w:pPr>
            <w:r>
              <w:rPr>
                <w:sz w:val="20"/>
              </w:rPr>
              <w:t>Raimundo Morales Dasso</w:t>
            </w:r>
          </w:p>
        </w:tc>
      </w:tr>
    </w:tbl>
    <w:p>
      <w:pPr>
        <w:pStyle w:val="Normal"/>
        <w:bidi w:val="0"/>
        <w:spacing w:before="0" w:after="0"/>
        <w:jc w:val="left"/>
        <w:rPr>
          <w:sz w:val="4"/>
          <w:szCs w:val="4"/>
        </w:rPr>
      </w:pPr>
      <w:r>
        <w:rPr>
          <w:sz w:val="4"/>
          <w:szCs w:val="4"/>
        </w:rPr>
      </w:r>
      <w:bookmarkStart w:id="18" w:name="za24aa367e382497fa74d6da6246262f3"/>
      <w:bookmarkStart w:id="19" w:name="za24aa367e382497fa74d6da6246262f3"/>
      <w:bookmarkEnd w:id="19"/>
    </w:p>
    <w:tbl>
      <w:tblPr>
        <w:tblW w:w="2058" w:type="dxa"/>
        <w:jc w:val="left"/>
        <w:tblInd w:w="0" w:type="dxa"/>
        <w:tblLayout w:type="fixed"/>
        <w:tblCellMar>
          <w:top w:w="0" w:type="dxa"/>
          <w:left w:w="0" w:type="dxa"/>
          <w:bottom w:w="0" w:type="dxa"/>
          <w:right w:w="0" w:type="dxa"/>
        </w:tblCellMar>
      </w:tblPr>
      <w:tblGrid>
        <w:gridCol w:w="38"/>
        <w:gridCol w:w="110"/>
        <w:gridCol w:w="19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0"/>
              <w:jc w:val="left"/>
              <w:rPr>
                <w:sz w:val="20"/>
              </w:rPr>
            </w:pPr>
            <w:r>
              <w:rPr>
                <w:sz w:val="20"/>
              </w:rPr>
              <w:t>Juan Paredes Manrique</w:t>
            </w:r>
          </w:p>
        </w:tc>
      </w:tr>
    </w:tbl>
    <w:p>
      <w:pPr>
        <w:pStyle w:val="Normal"/>
        <w:bidi w:val="0"/>
        <w:spacing w:before="0" w:after="0"/>
        <w:jc w:val="left"/>
        <w:rPr>
          <w:sz w:val="4"/>
          <w:szCs w:val="4"/>
        </w:rPr>
      </w:pPr>
      <w:r>
        <w:rPr>
          <w:sz w:val="4"/>
          <w:szCs w:val="4"/>
        </w:rPr>
      </w:r>
      <w:bookmarkStart w:id="20" w:name="zde026916671d4b43a7a207407a01523a"/>
      <w:bookmarkStart w:id="21" w:name="zde026916671d4b43a7a207407a01523a"/>
      <w:bookmarkEnd w:id="21"/>
    </w:p>
    <w:tbl>
      <w:tblPr>
        <w:tblW w:w="2388" w:type="dxa"/>
        <w:jc w:val="left"/>
        <w:tblInd w:w="0" w:type="dxa"/>
        <w:tblLayout w:type="fixed"/>
        <w:tblCellMar>
          <w:top w:w="0" w:type="dxa"/>
          <w:left w:w="0" w:type="dxa"/>
          <w:bottom w:w="0" w:type="dxa"/>
          <w:right w:w="0" w:type="dxa"/>
        </w:tblCellMar>
      </w:tblPr>
      <w:tblGrid>
        <w:gridCol w:w="38"/>
        <w:gridCol w:w="110"/>
        <w:gridCol w:w="22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0"/>
              <w:jc w:val="left"/>
              <w:rPr>
                <w:sz w:val="20"/>
              </w:rPr>
            </w:pPr>
            <w:r>
              <w:rPr>
                <w:sz w:val="20"/>
              </w:rPr>
              <w:t>Leslie Pierce Diez-Canseco</w:t>
            </w:r>
          </w:p>
        </w:tc>
      </w:tr>
    </w:tbl>
    <w:p>
      <w:pPr>
        <w:pStyle w:val="Normal"/>
        <w:bidi w:val="0"/>
        <w:spacing w:before="0" w:after="0"/>
        <w:jc w:val="left"/>
        <w:rPr>
          <w:sz w:val="4"/>
          <w:szCs w:val="4"/>
        </w:rPr>
      </w:pPr>
      <w:r>
        <w:rPr>
          <w:sz w:val="4"/>
          <w:szCs w:val="4"/>
        </w:rPr>
      </w:r>
      <w:bookmarkStart w:id="22" w:name="z028dfdce62a2447eb39e4366a2325892"/>
      <w:bookmarkStart w:id="23" w:name="z028dfdce62a2447eb39e4366a2325892"/>
      <w:bookmarkEnd w:id="23"/>
    </w:p>
    <w:tbl>
      <w:tblPr>
        <w:tblW w:w="2133" w:type="dxa"/>
        <w:jc w:val="left"/>
        <w:tblInd w:w="0" w:type="dxa"/>
        <w:tblLayout w:type="fixed"/>
        <w:tblCellMar>
          <w:top w:w="0" w:type="dxa"/>
          <w:left w:w="0" w:type="dxa"/>
          <w:bottom w:w="0" w:type="dxa"/>
          <w:right w:w="0" w:type="dxa"/>
        </w:tblCellMar>
      </w:tblPr>
      <w:tblGrid>
        <w:gridCol w:w="38"/>
        <w:gridCol w:w="110"/>
        <w:gridCol w:w="19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0"/>
              <w:jc w:val="left"/>
              <w:rPr>
                <w:sz w:val="20"/>
              </w:rPr>
            </w:pPr>
            <w:r>
              <w:rPr>
                <w:sz w:val="20"/>
              </w:rPr>
              <w:t>Luis Romero Belismelis</w:t>
            </w:r>
          </w:p>
        </w:tc>
      </w:tr>
    </w:tbl>
    <w:p>
      <w:pPr>
        <w:pStyle w:val="Normal"/>
        <w:bidi w:val="0"/>
        <w:spacing w:before="0" w:after="0"/>
        <w:jc w:val="left"/>
        <w:rPr>
          <w:sz w:val="4"/>
          <w:szCs w:val="4"/>
        </w:rPr>
      </w:pPr>
      <w:r>
        <w:rPr>
          <w:sz w:val="4"/>
          <w:szCs w:val="4"/>
        </w:rPr>
      </w:r>
      <w:bookmarkStart w:id="24" w:name="z44f17dcb03314e46baa2cc80979378be"/>
      <w:bookmarkStart w:id="25" w:name="z44f17dcb03314e46baa2cc80979378be"/>
      <w:bookmarkEnd w:id="25"/>
    </w:p>
    <w:tbl>
      <w:tblPr>
        <w:tblW w:w="2118" w:type="dxa"/>
        <w:jc w:val="left"/>
        <w:tblInd w:w="0" w:type="dxa"/>
        <w:tblLayout w:type="fixed"/>
        <w:tblCellMar>
          <w:top w:w="0" w:type="dxa"/>
          <w:left w:w="0" w:type="dxa"/>
          <w:bottom w:w="0" w:type="dxa"/>
          <w:right w:w="0" w:type="dxa"/>
        </w:tblCellMar>
      </w:tblPr>
      <w:tblGrid>
        <w:gridCol w:w="38"/>
        <w:gridCol w:w="110"/>
        <w:gridCol w:w="1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0"/>
              <w:jc w:val="left"/>
              <w:rPr>
                <w:sz w:val="20"/>
              </w:rPr>
            </w:pPr>
            <w:r>
              <w:rPr>
                <w:sz w:val="20"/>
              </w:rPr>
              <w:t>Manuel Romero Valdez</w:t>
            </w:r>
          </w:p>
        </w:tc>
      </w:tr>
    </w:tbl>
    <w:p>
      <w:pPr>
        <w:pStyle w:val="Normal"/>
        <w:bidi w:val="0"/>
        <w:spacing w:before="0" w:after="0"/>
        <w:jc w:val="left"/>
        <w:rPr>
          <w:sz w:val="4"/>
          <w:szCs w:val="4"/>
        </w:rPr>
      </w:pPr>
      <w:r>
        <w:rPr>
          <w:sz w:val="4"/>
          <w:szCs w:val="4"/>
        </w:rPr>
      </w:r>
      <w:bookmarkStart w:id="26" w:name="z2555480d092643588a3e405b693ad062"/>
      <w:bookmarkStart w:id="27" w:name="z2555480d092643588a3e405b693ad062"/>
      <w:bookmarkEnd w:id="27"/>
    </w:p>
    <w:tbl>
      <w:tblPr>
        <w:tblW w:w="1773" w:type="dxa"/>
        <w:jc w:val="left"/>
        <w:tblInd w:w="0" w:type="dxa"/>
        <w:tblLayout w:type="fixed"/>
        <w:tblCellMar>
          <w:top w:w="0" w:type="dxa"/>
          <w:left w:w="0" w:type="dxa"/>
          <w:bottom w:w="0" w:type="dxa"/>
          <w:right w:w="0" w:type="dxa"/>
        </w:tblCellMar>
      </w:tblPr>
      <w:tblGrid>
        <w:gridCol w:w="38"/>
        <w:gridCol w:w="110"/>
        <w:gridCol w:w="16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sz w:val="20"/>
              </w:rPr>
            </w:pPr>
            <w:r>
              <w:rPr>
                <w:sz w:val="20"/>
              </w:rPr>
              <w:t>Pedro Rubio Feijóo</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342cf7d048f34f36bb0c90d645ca0997"/>
      <w:bookmarkStart w:id="29" w:name="z342cf7d048f34f36bb0c90d645ca0997"/>
      <w:bookmarkEnd w:id="29"/>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sz w:val="20"/>
              </w:rPr>
            </w:pPr>
            <w:r>
              <w:rPr>
                <w:sz w:val="20"/>
              </w:rPr>
              <w:t>4.</w:t>
            </w:r>
          </w:p>
        </w:tc>
        <w:tc>
          <w:tcPr>
            <w:tcW w:w="10029" w:type="dxa"/>
            <w:tcBorders/>
            <w:vAlign w:val="center"/>
          </w:tcPr>
          <w:p>
            <w:pPr>
              <w:pStyle w:val="TableContents"/>
              <w:bidi w:val="0"/>
              <w:spacing w:before="0" w:after="0"/>
              <w:jc w:val="both"/>
              <w:rPr>
                <w:sz w:val="20"/>
              </w:rPr>
            </w:pPr>
            <w:r>
              <w:rPr>
                <w:sz w:val="20"/>
              </w:rPr>
              <w:t>Approved to present for approval to the AGM the remuneration of the Board of Directors and its committees for the period March 2026 - March 2027.</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0" w:name="ze4007f59885340d48f721ce28af7c8eb"/>
      <w:bookmarkStart w:id="31" w:name="ze4007f59885340d48f721ce28af7c8eb"/>
      <w:bookmarkEnd w:id="31"/>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sz w:val="20"/>
              </w:rPr>
            </w:pPr>
            <w:r>
              <w:rPr>
                <w:sz w:val="20"/>
              </w:rPr>
              <w:t>5.</w:t>
            </w:r>
          </w:p>
        </w:tc>
        <w:tc>
          <w:tcPr>
            <w:tcW w:w="10054" w:type="dxa"/>
            <w:tcBorders/>
            <w:vAlign w:val="center"/>
          </w:tcPr>
          <w:p>
            <w:pPr>
              <w:pStyle w:val="TableContents"/>
              <w:bidi w:val="0"/>
              <w:spacing w:before="0" w:after="0"/>
              <w:jc w:val="both"/>
              <w:rPr>
                <w:sz w:val="20"/>
              </w:rPr>
            </w:pPr>
            <w:r>
              <w:rPr>
                <w:sz w:val="20"/>
              </w:rPr>
              <w:t>Agreed to recommend for consideration of the AGM (i) the appointment of Tanaka, Valdivia &amp; Asociados Sociedad Civil de Responsabilidad Limitada, representatives of EYG in Peru, as the external auditors of Credicorp and its subsidiaries for the financial year 2026; and (ii) the delegation of the power to set and approve fees for such audit services to the Board of Directors (for further delegation to the Audit Committee thereof).</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Documents mentioned above are available through the following hyperlink: </w:t>
      </w:r>
      <w:r>
        <w:rPr>
          <w:rFonts w:ascii="Times New Roman" w:hAnsi="Times New Roman"/>
          <w:color w:val="000000"/>
          <w:sz w:val="20"/>
          <w:u w:val="single"/>
        </w:rPr>
        <w:t>https://credicorp.gcs-web.com/annual-materials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Furthermore, the Board of Directors also agreed unanimously the following:</w:t>
      </w:r>
    </w:p>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To constitute voluntary reserves considering the net income attained in the financial year 2025, as well as the accumulated results, in accordance with the authority conferred by Credicorp's Bye-Laws.</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 this regard, the Board of Directors approved to increase the special reserves by S/6,885,724,133.16 and the accumulated results by S/39,652,754.26, based on the total 2025 net income of S/6,925,376,887.42.</w:t>
      </w:r>
    </w:p>
    <w:p>
      <w:pPr>
        <w:pStyle w:val="TextBody"/>
        <w:bidi w:val="0"/>
        <w:spacing w:before="0" w:after="0"/>
        <w:jc w:val="left"/>
        <w:rPr>
          <w:sz w:val="20"/>
        </w:rPr>
      </w:pPr>
      <w:r>
        <w:rPr>
          <w:sz w:val="20"/>
        </w:rPr>
      </w:r>
    </w:p>
    <w:p>
      <w:pPr>
        <w:pStyle w:val="TextBody"/>
        <w:bidi w:val="0"/>
        <w:spacing w:before="0" w:after="0"/>
        <w:ind w:left="708" w:right="0" w:hanging="0"/>
        <w:jc w:val="both"/>
        <w:rPr>
          <w:rFonts w:ascii="Times New Roman" w:hAnsi="Times New Roman"/>
          <w:color w:val="000000"/>
          <w:sz w:val="20"/>
        </w:rPr>
      </w:pPr>
      <w:r>
        <w:rPr>
          <w:rFonts w:ascii="Times New Roman" w:hAnsi="Times New Roman"/>
          <w:color w:val="000000"/>
          <w:sz w:val="20"/>
        </w:rPr>
        <w:t>Notwithstanding, Credicorp’s Board will assess the regular dividend distribution related to 2025 earnings in its usual April meeting. For this purpose, the corresponding accounts may be used without affecting Credicorp’s Dividend Policy.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both"/>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February 26,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2" w:name="z2a339a05d9554278852deaf12e379a89"/>
      <w:bookmarkStart w:id="33" w:name="z2a339a05d9554278852deaf12e379a89"/>
      <w:bookmarkEnd w:id="33"/>
    </w:p>
    <w:tbl>
      <w:tblPr>
        <w:tblW w:w="2710" w:type="dxa"/>
        <w:jc w:val="left"/>
        <w:tblInd w:w="0" w:type="dxa"/>
        <w:tblLayout w:type="fixed"/>
        <w:tblCellMar>
          <w:top w:w="0" w:type="dxa"/>
          <w:left w:w="0" w:type="dxa"/>
          <w:bottom w:w="0" w:type="dxa"/>
          <w:right w:w="0" w:type="dxa"/>
        </w:tblCellMar>
      </w:tblPr>
      <w:tblGrid>
        <w:gridCol w:w="60"/>
        <w:gridCol w:w="320"/>
        <w:gridCol w:w="2270"/>
        <w:gridCol w:w="60"/>
      </w:tblGrid>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617</Words>
  <Characters>3412</Characters>
  <CharactersWithSpaces>3974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