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For the month of November 2015</w:t>
      </w:r>
    </w:p>
    <w:p>
      <w:pPr>
        <w:spacing w:after="0" w:line="229"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jc w:val="center"/>
        <w:ind w:right="-379"/>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ind w:left="6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ind w:left="6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445" w:right="599" w:bottom="1440" w:gutter="0" w:footer="0" w:header="0"/>
        </w:sectPr>
      </w:pPr>
    </w:p>
    <w:bookmarkStart w:id="1" w:name="page2"/>
    <w:bookmarkEnd w:id="1"/>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4170680</wp:posOffset>
            </wp:positionH>
            <wp:positionV relativeFrom="page">
              <wp:posOffset>586105</wp:posOffset>
            </wp:positionV>
            <wp:extent cx="1431925" cy="274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31925" cy="274320"/>
                    </a:xfrm>
                    <a:prstGeom prst="rect">
                      <a:avLst/>
                    </a:prstGeom>
                    <a:noFill/>
                  </pic:spPr>
                </pic:pic>
              </a:graphicData>
            </a:graphic>
          </wp:anchor>
        </w:drawing>
      </w:r>
    </w:p>
    <w:p>
      <w:pPr>
        <w:jc w:val="both"/>
        <w:ind w:left="2340"/>
        <w:spacing w:after="0" w:line="282" w:lineRule="auto"/>
        <w:rPr>
          <w:sz w:val="20"/>
          <w:szCs w:val="20"/>
          <w:color w:val="auto"/>
        </w:rPr>
      </w:pPr>
      <w:r>
        <w:rPr>
          <w:rFonts w:ascii="Arial" w:cs="Arial" w:eastAsia="Arial" w:hAnsi="Arial"/>
          <w:sz w:val="18"/>
          <w:szCs w:val="18"/>
          <w:b w:val="1"/>
          <w:bCs w:val="1"/>
          <w:color w:val="auto"/>
        </w:rPr>
        <w:t xml:space="preserve">Lima, Perú, November 5, 2015 </w:t>
      </w:r>
      <w:r>
        <w:rPr>
          <w:rFonts w:ascii="Arial" w:cs="Arial" w:eastAsia="Arial" w:hAnsi="Arial"/>
          <w:sz w:val="18"/>
          <w:szCs w:val="18"/>
          <w:color w:val="auto"/>
        </w:rPr>
        <w:t>– Credicorp (NYSE:BAP) announced its unaudited results for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2015. These results are consolidated according to IFRS and are in Nuevos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-296545</wp:posOffset>
            </wp:positionV>
            <wp:extent cx="1792605" cy="7838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2605" cy="7838440"/>
                    </a:xfrm>
                    <a:prstGeom prst="rect">
                      <a:avLst/>
                    </a:prstGeom>
                    <a:noFill/>
                  </pic:spPr>
                </pic:pic>
              </a:graphicData>
            </a:graphic>
          </wp:anchor>
        </w:drawing>
      </w:r>
    </w:p>
    <w:p>
      <w:pPr>
        <w:spacing w:after="0" w:line="142" w:lineRule="exact"/>
        <w:rPr>
          <w:sz w:val="20"/>
          <w:szCs w:val="20"/>
          <w:color w:val="auto"/>
        </w:rPr>
      </w:pPr>
    </w:p>
    <w:p>
      <w:pPr>
        <w:jc w:val="center"/>
        <w:ind w:left="3540"/>
        <w:spacing w:after="0"/>
        <w:rPr>
          <w:sz w:val="20"/>
          <w:szCs w:val="20"/>
          <w:color w:val="auto"/>
        </w:rPr>
      </w:pPr>
      <w:r>
        <w:rPr>
          <w:rFonts w:ascii="Arial" w:cs="Arial" w:eastAsia="Arial" w:hAnsi="Arial"/>
          <w:sz w:val="18"/>
          <w:szCs w:val="18"/>
          <w:b w:val="1"/>
          <w:bCs w:val="1"/>
          <w:color w:val="auto"/>
        </w:rPr>
        <w:t>Third Quarter Results 2015</w:t>
      </w:r>
    </w:p>
    <w:p>
      <w:pPr>
        <w:spacing w:after="0" w:line="229" w:lineRule="exact"/>
        <w:rPr>
          <w:sz w:val="20"/>
          <w:szCs w:val="20"/>
          <w:color w:val="auto"/>
        </w:rPr>
      </w:pPr>
    </w:p>
    <w:p>
      <w:pPr>
        <w:jc w:val="both"/>
        <w:ind w:left="2340"/>
        <w:spacing w:after="0" w:line="259" w:lineRule="auto"/>
        <w:rPr>
          <w:sz w:val="20"/>
          <w:szCs w:val="20"/>
          <w:color w:val="auto"/>
        </w:rPr>
      </w:pPr>
      <w:r>
        <w:rPr>
          <w:rFonts w:ascii="Arial" w:cs="Arial" w:eastAsia="Arial" w:hAnsi="Arial"/>
          <w:sz w:val="18"/>
          <w:szCs w:val="18"/>
          <w:color w:val="auto"/>
        </w:rPr>
        <w:t>Credicorp reported net income of S/.807.1 million in 3Q15, which represented an ROAE and ROAA of 21.6% and 2.2%, respectively. Despite the macroeconomic scenario and market volatility, recurring net income totaled S/.746.0 million, which indicated a slight increase of +0.5% QoQ and +7.1% YoY, and good profitability with recurrent ROAE of 20.1% and ROAA of 2.0%.</w:t>
      </w:r>
    </w:p>
    <w:p>
      <w:pPr>
        <w:spacing w:after="0" w:line="18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The main factors behind Credicorp’s results were:</w:t>
      </w:r>
    </w:p>
    <w:p>
      <w:pPr>
        <w:spacing w:after="0" w:line="225" w:lineRule="exact"/>
        <w:rPr>
          <w:sz w:val="20"/>
          <w:szCs w:val="20"/>
          <w:color w:val="auto"/>
        </w:rPr>
      </w:pPr>
    </w:p>
    <w:p>
      <w:pPr>
        <w:jc w:val="both"/>
        <w:ind w:left="2340" w:firstLine="6"/>
        <w:spacing w:after="0" w:line="259" w:lineRule="auto"/>
        <w:tabs>
          <w:tab w:leader="none" w:pos="2623" w:val="left"/>
        </w:tabs>
        <w:numPr>
          <w:ilvl w:val="0"/>
          <w:numId w:val="1"/>
        </w:numPr>
        <w:rPr>
          <w:rFonts w:ascii="Arial" w:cs="Arial" w:eastAsia="Arial" w:hAnsi="Arial"/>
          <w:sz w:val="18"/>
          <w:szCs w:val="18"/>
          <w:color w:val="auto"/>
        </w:rPr>
      </w:pPr>
      <w:r>
        <w:rPr>
          <w:rFonts w:ascii="Arial" w:cs="Arial" w:eastAsia="Arial" w:hAnsi="Arial"/>
          <w:sz w:val="18"/>
          <w:szCs w:val="18"/>
          <w:color w:val="auto"/>
        </w:rPr>
        <w:t>Loan expansion of +5.2% QoQ and +16.1% YoY in quarter-end balances that represented real growth of +4.6% QoQ and +11.4% YoY, which were slightly higher than those posted in 2Q. Wholesale Banking continued to drive this growth followed by Retail Banking. The latter recorded better pace of growth than that of 2Q15. Furthermore, Mibanco started showing loan growth.</w:t>
      </w:r>
    </w:p>
    <w:p>
      <w:pPr>
        <w:spacing w:after="0" w:line="186" w:lineRule="exact"/>
        <w:rPr>
          <w:rFonts w:ascii="Arial" w:cs="Arial" w:eastAsia="Arial" w:hAnsi="Arial"/>
          <w:sz w:val="18"/>
          <w:szCs w:val="18"/>
          <w:color w:val="auto"/>
        </w:rPr>
      </w:pPr>
    </w:p>
    <w:p>
      <w:pPr>
        <w:jc w:val="both"/>
        <w:ind w:left="2340" w:right="20" w:firstLine="6"/>
        <w:spacing w:after="0" w:line="264" w:lineRule="auto"/>
        <w:tabs>
          <w:tab w:leader="none" w:pos="2704"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Growth of +1.6% QoQ and +10.7% YoY in net interest income, which was primarily attributable to expansion in interest income on loans and income from derivatives, all of which offset the increase in interest expenses.</w:t>
      </w:r>
    </w:p>
    <w:p>
      <w:pPr>
        <w:spacing w:after="0" w:line="181" w:lineRule="exact"/>
        <w:rPr>
          <w:rFonts w:ascii="Arial" w:cs="Arial" w:eastAsia="Arial" w:hAnsi="Arial"/>
          <w:sz w:val="18"/>
          <w:szCs w:val="18"/>
          <w:color w:val="auto"/>
        </w:rPr>
      </w:pPr>
    </w:p>
    <w:p>
      <w:pPr>
        <w:jc w:val="both"/>
        <w:ind w:left="2340" w:firstLine="6"/>
        <w:spacing w:after="0" w:line="272" w:lineRule="auto"/>
        <w:tabs>
          <w:tab w:leader="none" w:pos="2718" w:val="left"/>
        </w:tabs>
        <w:numPr>
          <w:ilvl w:val="0"/>
          <w:numId w:val="1"/>
        </w:numPr>
        <w:rPr>
          <w:rFonts w:ascii="Arial" w:cs="Arial" w:eastAsia="Arial" w:hAnsi="Arial"/>
          <w:sz w:val="17"/>
          <w:szCs w:val="17"/>
          <w:color w:val="auto"/>
        </w:rPr>
      </w:pPr>
      <w:r>
        <w:rPr>
          <w:rFonts w:ascii="Arial" w:cs="Arial" w:eastAsia="Arial" w:hAnsi="Arial"/>
          <w:sz w:val="17"/>
          <w:szCs w:val="17"/>
          <w:color w:val="auto"/>
        </w:rPr>
        <w:t>Net interest margin (NIM), decreased 21 bps to reach 5.49%, which is below the 5.70% reported in 2Q15, and the 5.75% registered in 3Q14. The drop was due to: (i) more use of BCRP instruments, which inflated interest-earning-assets (IEA) because of the restricted-deposits that are required; (ii) higher loan disbursements towards the end of the quarter that resulted in higher growth in average IEA (the average of period-beginning and period-end balances is used in the NIM calculation) than in average daily balances of the IEA (which are related to NII generation); (iii) the expansion of total loans, led by low-margin business segments; and (iv) the slight increase in funding cost.</w:t>
      </w:r>
    </w:p>
    <w:p>
      <w:pPr>
        <w:spacing w:after="0" w:line="177" w:lineRule="exact"/>
        <w:rPr>
          <w:rFonts w:ascii="Arial" w:cs="Arial" w:eastAsia="Arial" w:hAnsi="Arial"/>
          <w:sz w:val="17"/>
          <w:szCs w:val="17"/>
          <w:color w:val="auto"/>
        </w:rPr>
      </w:pPr>
    </w:p>
    <w:p>
      <w:pPr>
        <w:jc w:val="both"/>
        <w:ind w:left="2340" w:firstLine="6"/>
        <w:spacing w:after="0" w:line="257" w:lineRule="auto"/>
        <w:tabs>
          <w:tab w:leader="none" w:pos="263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slight increase of +2.9% QoQ and +2.6% YoY in provisions for loan losses, which grew at a much slower pace than that of loans, pushed down the cost of risk from 2.07% in 2Q15 and 2.29% in 3Q14 to 2.02% in 3Q15. This level was below expectations and reflects the good risk profile of new vintages despite low economic growth in the country. Thus, a slight increase in provisions attenuated the contraction of NIM after provisions (-14 bps QoQ and -5 bps YoY).</w:t>
      </w:r>
    </w:p>
    <w:p>
      <w:pPr>
        <w:spacing w:after="0" w:line="188" w:lineRule="exact"/>
        <w:rPr>
          <w:rFonts w:ascii="Arial" w:cs="Arial" w:eastAsia="Arial" w:hAnsi="Arial"/>
          <w:sz w:val="18"/>
          <w:szCs w:val="18"/>
          <w:color w:val="auto"/>
        </w:rPr>
      </w:pPr>
    </w:p>
    <w:p>
      <w:pPr>
        <w:ind w:left="2340" w:firstLine="6"/>
        <w:spacing w:after="0" w:line="308" w:lineRule="auto"/>
        <w:tabs>
          <w:tab w:leader="none" w:pos="2785" w:val="left"/>
        </w:tabs>
        <w:numPr>
          <w:ilvl w:val="0"/>
          <w:numId w:val="1"/>
        </w:numPr>
        <w:rPr>
          <w:rFonts w:ascii="Arial" w:cs="Arial" w:eastAsia="Arial" w:hAnsi="Arial"/>
          <w:sz w:val="17"/>
          <w:szCs w:val="17"/>
          <w:color w:val="auto"/>
        </w:rPr>
      </w:pPr>
      <w:r>
        <w:rPr>
          <w:rFonts w:ascii="Arial" w:cs="Arial" w:eastAsia="Arial" w:hAnsi="Arial"/>
          <w:sz w:val="17"/>
          <w:szCs w:val="17"/>
          <w:color w:val="auto"/>
        </w:rPr>
        <w:t>Good growth in gains on foreign exchange transactions (+17.6% QoQ and +20.6% YoY) due to exchange rate volatility in 3Q15, which helped offset the slight contraction in fee income (-2.0% QoQ).</w:t>
      </w:r>
    </w:p>
    <w:p>
      <w:pPr>
        <w:spacing w:after="0" w:line="146" w:lineRule="exact"/>
        <w:rPr>
          <w:rFonts w:ascii="Arial" w:cs="Arial" w:eastAsia="Arial" w:hAnsi="Arial"/>
          <w:sz w:val="17"/>
          <w:szCs w:val="17"/>
          <w:color w:val="auto"/>
        </w:rPr>
      </w:pPr>
    </w:p>
    <w:p>
      <w:pPr>
        <w:ind w:left="2340" w:firstLine="6"/>
        <w:spacing w:after="0" w:line="342" w:lineRule="auto"/>
        <w:tabs>
          <w:tab w:leader="none" w:pos="2772" w:val="left"/>
        </w:tabs>
        <w:numPr>
          <w:ilvl w:val="0"/>
          <w:numId w:val="1"/>
        </w:numPr>
        <w:rPr>
          <w:rFonts w:ascii="Arial" w:cs="Arial" w:eastAsia="Arial" w:hAnsi="Arial"/>
          <w:sz w:val="16"/>
          <w:szCs w:val="16"/>
          <w:color w:val="auto"/>
        </w:rPr>
      </w:pPr>
      <w:r>
        <w:rPr>
          <w:rFonts w:ascii="Arial" w:cs="Arial" w:eastAsia="Arial" w:hAnsi="Arial"/>
          <w:sz w:val="16"/>
          <w:szCs w:val="16"/>
          <w:color w:val="auto"/>
        </w:rPr>
        <w:t>Better performance in the insurance business, which registered a +4.1% improvement QoQ of its underwriting result due to a decrease in the acquisition cost and an increase in the net earned premiums.</w:t>
      </w:r>
    </w:p>
    <w:p>
      <w:pPr>
        <w:spacing w:after="0" w:line="123" w:lineRule="exact"/>
        <w:rPr>
          <w:rFonts w:ascii="Arial" w:cs="Arial" w:eastAsia="Arial" w:hAnsi="Arial"/>
          <w:sz w:val="16"/>
          <w:szCs w:val="16"/>
          <w:color w:val="auto"/>
        </w:rPr>
      </w:pPr>
    </w:p>
    <w:p>
      <w:pPr>
        <w:jc w:val="both"/>
        <w:ind w:left="2340" w:firstLine="6"/>
        <w:spacing w:after="0" w:line="264" w:lineRule="auto"/>
        <w:tabs>
          <w:tab w:leader="none" w:pos="2731"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Income expansion and lower operating expenses (-2.1% QoQ) were reflected in an improvement in operating efficiency. In this context, the efficiency ratio was situated at 41.7%, which represented a contraction of -60 bps QoQ.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0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80" w:type="dxa"/>
            <w:vAlign w:val="bottom"/>
            <w:gridSpan w:val="5"/>
          </w:tcPr>
          <w:p>
            <w:pPr>
              <w:spacing w:after="0"/>
              <w:rPr>
                <w:sz w:val="20"/>
                <w:szCs w:val="20"/>
                <w:color w:val="auto"/>
              </w:rPr>
            </w:pPr>
            <w:r>
              <w:rPr>
                <w:rFonts w:ascii="Arial" w:cs="Arial" w:eastAsia="Arial" w:hAnsi="Arial"/>
                <w:sz w:val="18"/>
                <w:szCs w:val="18"/>
                <w:b w:val="1"/>
                <w:bCs w:val="1"/>
                <w:color w:val="auto"/>
                <w:w w:val="89"/>
              </w:rPr>
              <w:t>Table of Contents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60" w:type="dxa"/>
            <w:vAlign w:val="bottom"/>
            <w:tcBorders>
              <w:bottom w:val="single" w:sz="8" w:color="0000EE"/>
            </w:tcBorders>
            <w:gridSpan w:val="45"/>
            <w:shd w:val="clear" w:color="auto" w:fill="CCEEFF"/>
          </w:tcPr>
          <w:p>
            <w:pPr>
              <w:spacing w:after="0" w:line="17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Credicorp (NYSE: BAP): Third Quarter Results 2015</w:t>
              </w:r>
            </w:hyperlink>
          </w:p>
        </w:tc>
        <w:tc>
          <w:tcPr>
            <w:tcW w:w="4360" w:type="dxa"/>
            <w:vAlign w:val="bottom"/>
            <w:tcBorders>
              <w:bottom w:val="single" w:sz="8" w:color="CCEEFF"/>
            </w:tcBorders>
            <w:gridSpan w:val="4"/>
            <w:shd w:val="clear" w:color="auto" w:fill="CCEEFF"/>
          </w:tcPr>
          <w:p>
            <w:pPr>
              <w:spacing w:after="0"/>
              <w:rPr>
                <w:sz w:val="17"/>
                <w:szCs w:val="17"/>
                <w:color w:val="auto"/>
              </w:rPr>
            </w:pPr>
          </w:p>
        </w:tc>
        <w:tc>
          <w:tcPr>
            <w:tcW w:w="31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60" w:type="dxa"/>
            <w:vAlign w:val="bottom"/>
            <w:gridSpan w:val="48"/>
          </w:tcPr>
          <w:p>
            <w:pPr>
              <w:spacing w:after="0" w:line="176" w:lineRule="exact"/>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Executive Summary</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60" w:type="dxa"/>
            <w:vAlign w:val="bottom"/>
            <w:gridSpan w:val="48"/>
            <w:shd w:val="clear" w:color="auto" w:fill="CCEEFF"/>
          </w:tcPr>
          <w:p>
            <w:pPr>
              <w:spacing w:after="0" w:line="17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Credicorp and subsidiaries</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1.</w:t>
            </w:r>
          </w:p>
        </w:tc>
        <w:tc>
          <w:tcPr>
            <w:tcW w:w="520" w:type="dxa"/>
            <w:vAlign w:val="bottom"/>
            <w:shd w:val="clear" w:color="auto" w:fill="CCEEFF"/>
          </w:tcPr>
          <w:p>
            <w:pPr>
              <w:spacing w:after="0"/>
              <w:rPr>
                <w:sz w:val="17"/>
                <w:szCs w:val="17"/>
                <w:color w:val="auto"/>
              </w:rPr>
            </w:pPr>
          </w:p>
        </w:tc>
        <w:tc>
          <w:tcPr>
            <w:tcW w:w="7540" w:type="dxa"/>
            <w:vAlign w:val="bottom"/>
            <w:gridSpan w:val="47"/>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Interest-earning assets (IEA)</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1.1</w:t>
            </w:r>
          </w:p>
        </w:tc>
        <w:tc>
          <w:tcPr>
            <w:tcW w:w="2060" w:type="dxa"/>
            <w:vAlign w:val="bottom"/>
            <w:tcBorders>
              <w:top w:val="single" w:sz="8" w:color="0000EE"/>
            </w:tcBorders>
            <w:gridSpan w:val="31"/>
          </w:tcPr>
          <w:p>
            <w:pPr>
              <w:ind w:left="16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Evolution of IEA</w:t>
              </w:r>
            </w:hyperlink>
          </w:p>
        </w:tc>
        <w:tc>
          <w:tcPr>
            <w:tcW w:w="5480" w:type="dxa"/>
            <w:vAlign w:val="bottom"/>
            <w:tcBorders>
              <w:top w:val="single" w:sz="8" w:color="CCEEFF"/>
            </w:tcBorders>
            <w:gridSpan w:val="16"/>
          </w:tcPr>
          <w:p>
            <w:pPr>
              <w:spacing w:after="0"/>
              <w:rPr>
                <w:sz w:val="15"/>
                <w:szCs w:val="15"/>
                <w:color w:val="auto"/>
              </w:rPr>
            </w:pPr>
          </w:p>
        </w:tc>
        <w:tc>
          <w:tcPr>
            <w:tcW w:w="31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c>
          <w:tcPr>
            <w:tcW w:w="7540" w:type="dxa"/>
            <w:vAlign w:val="bottom"/>
            <w:gridSpan w:val="47"/>
            <w:shd w:val="clear" w:color="auto" w:fill="CCEEFF"/>
          </w:tcPr>
          <w:p>
            <w:pPr>
              <w:ind w:left="16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Loan Portfolio of Credicorp</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gridSpan w:val="2"/>
          </w:tcPr>
          <w:p>
            <w:pPr>
              <w:spacing w:after="0" w:line="176" w:lineRule="exact"/>
              <w:rPr>
                <w:sz w:val="20"/>
                <w:szCs w:val="20"/>
                <w:color w:val="auto"/>
              </w:rPr>
            </w:pPr>
            <w:r>
              <w:rPr>
                <w:rFonts w:ascii="Arial" w:cs="Arial" w:eastAsia="Arial" w:hAnsi="Arial"/>
                <w:sz w:val="18"/>
                <w:szCs w:val="18"/>
                <w:i w:val="1"/>
                <w:iCs w:val="1"/>
                <w:color w:val="auto"/>
              </w:rPr>
              <w:t>1.2.1</w:t>
            </w:r>
          </w:p>
        </w:tc>
        <w:tc>
          <w:tcPr>
            <w:tcW w:w="6860" w:type="dxa"/>
            <w:vAlign w:val="bottom"/>
            <w:gridSpan w:val="45"/>
          </w:tcPr>
          <w:p>
            <w:pPr>
              <w:spacing w:after="0" w:line="176" w:lineRule="exact"/>
              <w:rPr>
                <w:rFonts w:ascii="Arial" w:cs="Arial" w:eastAsia="Arial" w:hAnsi="Arial"/>
                <w:sz w:val="18"/>
                <w:szCs w:val="18"/>
                <w:i w:val="1"/>
                <w:iCs w:val="1"/>
                <w:color w:val="0000EE"/>
              </w:rPr>
            </w:pPr>
            <w:hyperlink w:anchor="page10">
              <w:r>
                <w:rPr>
                  <w:rFonts w:ascii="Arial" w:cs="Arial" w:eastAsia="Arial" w:hAnsi="Arial"/>
                  <w:sz w:val="18"/>
                  <w:szCs w:val="18"/>
                  <w:i w:val="1"/>
                  <w:iCs w:val="1"/>
                  <w:color w:val="0000EE"/>
                </w:rPr>
                <w:t>Loan evolution by segment</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1.2.2</w:t>
            </w:r>
          </w:p>
        </w:tc>
        <w:tc>
          <w:tcPr>
            <w:tcW w:w="6860" w:type="dxa"/>
            <w:vAlign w:val="bottom"/>
            <w:gridSpan w:val="45"/>
            <w:shd w:val="clear" w:color="auto" w:fill="CCEEFF"/>
          </w:tcPr>
          <w:p>
            <w:pPr>
              <w:spacing w:after="0" w:line="176" w:lineRule="exact"/>
              <w:rPr>
                <w:rFonts w:ascii="Arial" w:cs="Arial" w:eastAsia="Arial" w:hAnsi="Arial"/>
                <w:sz w:val="18"/>
                <w:szCs w:val="18"/>
                <w:i w:val="1"/>
                <w:iCs w:val="1"/>
                <w:color w:val="0000EE"/>
              </w:rPr>
            </w:pPr>
            <w:hyperlink w:anchor="page12">
              <w:r>
                <w:rPr>
                  <w:rFonts w:ascii="Arial" w:cs="Arial" w:eastAsia="Arial" w:hAnsi="Arial"/>
                  <w:sz w:val="18"/>
                  <w:szCs w:val="18"/>
                  <w:i w:val="1"/>
                  <w:iCs w:val="1"/>
                  <w:color w:val="0000EE"/>
                </w:rPr>
                <w:t>Loan evolution by currency</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gridSpan w:val="2"/>
          </w:tcPr>
          <w:p>
            <w:pPr>
              <w:spacing w:after="0" w:line="176" w:lineRule="exact"/>
              <w:rPr>
                <w:sz w:val="20"/>
                <w:szCs w:val="20"/>
                <w:color w:val="auto"/>
              </w:rPr>
            </w:pPr>
            <w:r>
              <w:rPr>
                <w:rFonts w:ascii="Arial" w:cs="Arial" w:eastAsia="Arial" w:hAnsi="Arial"/>
                <w:sz w:val="18"/>
                <w:szCs w:val="18"/>
                <w:i w:val="1"/>
                <w:iCs w:val="1"/>
                <w:color w:val="auto"/>
              </w:rPr>
              <w:t>1.2.3</w:t>
            </w:r>
          </w:p>
        </w:tc>
        <w:tc>
          <w:tcPr>
            <w:tcW w:w="6860" w:type="dxa"/>
            <w:vAlign w:val="bottom"/>
            <w:gridSpan w:val="45"/>
          </w:tcPr>
          <w:p>
            <w:pPr>
              <w:spacing w:after="0" w:line="176" w:lineRule="exact"/>
              <w:rPr>
                <w:rFonts w:ascii="Arial" w:cs="Arial" w:eastAsia="Arial" w:hAnsi="Arial"/>
                <w:sz w:val="18"/>
                <w:szCs w:val="18"/>
                <w:i w:val="1"/>
                <w:iCs w:val="1"/>
                <w:color w:val="0000EE"/>
              </w:rPr>
            </w:pPr>
            <w:hyperlink w:anchor="page13">
              <w:r>
                <w:rPr>
                  <w:rFonts w:ascii="Arial" w:cs="Arial" w:eastAsia="Arial" w:hAnsi="Arial"/>
                  <w:sz w:val="18"/>
                  <w:szCs w:val="18"/>
                  <w:i w:val="1"/>
                  <w:iCs w:val="1"/>
                  <w:color w:val="0000EE"/>
                </w:rPr>
                <w:t>BCRP loan de-dollarization plan at BCP Stand-alone</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1.2.4</w:t>
            </w:r>
          </w:p>
        </w:tc>
        <w:tc>
          <w:tcPr>
            <w:tcW w:w="6860" w:type="dxa"/>
            <w:vAlign w:val="bottom"/>
            <w:gridSpan w:val="45"/>
            <w:shd w:val="clear" w:color="auto" w:fill="CCEEFF"/>
          </w:tcPr>
          <w:p>
            <w:pPr>
              <w:spacing w:after="0" w:line="176" w:lineRule="exact"/>
              <w:rPr>
                <w:rFonts w:ascii="Arial" w:cs="Arial" w:eastAsia="Arial" w:hAnsi="Arial"/>
                <w:sz w:val="18"/>
                <w:szCs w:val="18"/>
                <w:i w:val="1"/>
                <w:iCs w:val="1"/>
                <w:color w:val="0000EE"/>
              </w:rPr>
            </w:pPr>
            <w:hyperlink w:anchor="page14">
              <w:r>
                <w:rPr>
                  <w:rFonts w:ascii="Arial" w:cs="Arial" w:eastAsia="Arial" w:hAnsi="Arial"/>
                  <w:sz w:val="18"/>
                  <w:szCs w:val="18"/>
                  <w:i w:val="1"/>
                  <w:iCs w:val="1"/>
                  <w:color w:val="0000EE"/>
                </w:rPr>
                <w:t>Market share in loans</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2"/>
              </w:rPr>
              <w:t>2.</w:t>
            </w:r>
          </w:p>
        </w:tc>
        <w:tc>
          <w:tcPr>
            <w:tcW w:w="5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Funding Sources</w:t>
              </w:r>
            </w:hyperlink>
          </w:p>
        </w:tc>
        <w:tc>
          <w:tcPr>
            <w:tcW w:w="6320" w:type="dxa"/>
            <w:vAlign w:val="bottom"/>
            <w:tcBorders>
              <w:bottom w:val="single" w:sz="8" w:color="CCEEFF"/>
            </w:tcBorders>
            <w:gridSpan w:val="35"/>
            <w:shd w:val="clear" w:color="auto" w:fill="CCEEFF"/>
          </w:tcPr>
          <w:p>
            <w:pPr>
              <w:spacing w:after="0"/>
              <w:rPr>
                <w:sz w:val="17"/>
                <w:szCs w:val="17"/>
                <w:color w:val="auto"/>
              </w:rPr>
            </w:pPr>
          </w:p>
        </w:tc>
        <w:tc>
          <w:tcPr>
            <w:tcW w:w="31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2.1</w:t>
            </w:r>
          </w:p>
        </w:tc>
        <w:tc>
          <w:tcPr>
            <w:tcW w:w="7540" w:type="dxa"/>
            <w:vAlign w:val="bottom"/>
            <w:gridSpan w:val="47"/>
          </w:tcPr>
          <w:p>
            <w:pPr>
              <w:ind w:left="16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Funding Structure</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7540" w:type="dxa"/>
            <w:vAlign w:val="bottom"/>
            <w:gridSpan w:val="47"/>
            <w:shd w:val="clear" w:color="auto" w:fill="CCEEFF"/>
          </w:tcPr>
          <w:p>
            <w:pPr>
              <w:ind w:left="16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Deposits</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gridSpan w:val="2"/>
          </w:tcPr>
          <w:p>
            <w:pPr>
              <w:spacing w:after="0" w:line="176" w:lineRule="exact"/>
              <w:rPr>
                <w:sz w:val="20"/>
                <w:szCs w:val="20"/>
                <w:color w:val="auto"/>
              </w:rPr>
            </w:pPr>
            <w:r>
              <w:rPr>
                <w:rFonts w:ascii="Arial" w:cs="Arial" w:eastAsia="Arial" w:hAnsi="Arial"/>
                <w:sz w:val="18"/>
                <w:szCs w:val="18"/>
                <w:i w:val="1"/>
                <w:iCs w:val="1"/>
                <w:color w:val="auto"/>
              </w:rPr>
              <w:t>2.2.1</w:t>
            </w:r>
          </w:p>
        </w:tc>
        <w:tc>
          <w:tcPr>
            <w:tcW w:w="6860" w:type="dxa"/>
            <w:vAlign w:val="bottom"/>
            <w:gridSpan w:val="45"/>
          </w:tcPr>
          <w:p>
            <w:pPr>
              <w:spacing w:after="0" w:line="176" w:lineRule="exact"/>
              <w:rPr>
                <w:rFonts w:ascii="Arial" w:cs="Arial" w:eastAsia="Arial" w:hAnsi="Arial"/>
                <w:sz w:val="18"/>
                <w:szCs w:val="18"/>
                <w:i w:val="1"/>
                <w:iCs w:val="1"/>
                <w:color w:val="0000EE"/>
              </w:rPr>
            </w:pPr>
            <w:hyperlink w:anchor="page17">
              <w:r>
                <w:rPr>
                  <w:rFonts w:ascii="Arial" w:cs="Arial" w:eastAsia="Arial" w:hAnsi="Arial"/>
                  <w:sz w:val="18"/>
                  <w:szCs w:val="18"/>
                  <w:i w:val="1"/>
                  <w:iCs w:val="1"/>
                  <w:color w:val="0000EE"/>
                </w:rPr>
                <w:t>Deposit dollarization</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2.2.2</w:t>
            </w:r>
          </w:p>
        </w:tc>
        <w:tc>
          <w:tcPr>
            <w:tcW w:w="6860" w:type="dxa"/>
            <w:vAlign w:val="bottom"/>
            <w:gridSpan w:val="45"/>
            <w:shd w:val="clear" w:color="auto" w:fill="CCEEFF"/>
          </w:tcPr>
          <w:p>
            <w:pPr>
              <w:spacing w:after="0" w:line="176" w:lineRule="exact"/>
              <w:rPr>
                <w:rFonts w:ascii="Arial" w:cs="Arial" w:eastAsia="Arial" w:hAnsi="Arial"/>
                <w:sz w:val="18"/>
                <w:szCs w:val="18"/>
                <w:i w:val="1"/>
                <w:iCs w:val="1"/>
                <w:color w:val="0000EE"/>
              </w:rPr>
            </w:pPr>
            <w:hyperlink w:anchor="page18">
              <w:r>
                <w:rPr>
                  <w:rFonts w:ascii="Arial" w:cs="Arial" w:eastAsia="Arial" w:hAnsi="Arial"/>
                  <w:sz w:val="18"/>
                  <w:szCs w:val="18"/>
                  <w:i w:val="1"/>
                  <w:iCs w:val="1"/>
                  <w:color w:val="0000EE"/>
                </w:rPr>
                <w:t>Market share in deposits</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2.3</w:t>
            </w:r>
          </w:p>
        </w:tc>
        <w:tc>
          <w:tcPr>
            <w:tcW w:w="7540" w:type="dxa"/>
            <w:vAlign w:val="bottom"/>
            <w:gridSpan w:val="47"/>
          </w:tcPr>
          <w:p>
            <w:pPr>
              <w:ind w:left="16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Other funding sources</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7540" w:type="dxa"/>
            <w:vAlign w:val="bottom"/>
            <w:gridSpan w:val="47"/>
            <w:shd w:val="clear" w:color="auto" w:fill="CCEEFF"/>
          </w:tcPr>
          <w:p>
            <w:pPr>
              <w:ind w:left="16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Loan/Deposits (L/D)</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2.5</w:t>
            </w:r>
          </w:p>
        </w:tc>
        <w:tc>
          <w:tcPr>
            <w:tcW w:w="7540" w:type="dxa"/>
            <w:vAlign w:val="bottom"/>
            <w:gridSpan w:val="47"/>
          </w:tcPr>
          <w:p>
            <w:pPr>
              <w:ind w:left="16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Funding Cost</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7540" w:type="dxa"/>
            <w:vAlign w:val="bottom"/>
            <w:gridSpan w:val="47"/>
            <w:shd w:val="clear" w:color="auto" w:fill="CCEEFF"/>
          </w:tcPr>
          <w:p>
            <w:pPr>
              <w:ind w:left="16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Mutual Funds</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2"/>
              </w:rPr>
              <w:t>3.</w:t>
            </w:r>
          </w:p>
        </w:tc>
        <w:tc>
          <w:tcPr>
            <w:tcW w:w="520" w:type="dxa"/>
            <w:vAlign w:val="bottom"/>
            <w:tcBorders>
              <w:bottom w:val="single" w:sz="8" w:color="CCEEFF"/>
            </w:tcBorders>
            <w:shd w:val="clear" w:color="auto" w:fill="CCEEFF"/>
          </w:tcPr>
          <w:p>
            <w:pPr>
              <w:spacing w:after="0"/>
              <w:rPr>
                <w:sz w:val="17"/>
                <w:szCs w:val="17"/>
                <w:color w:val="auto"/>
              </w:rPr>
            </w:pPr>
          </w:p>
        </w:tc>
        <w:tc>
          <w:tcPr>
            <w:tcW w:w="3380" w:type="dxa"/>
            <w:vAlign w:val="bottom"/>
            <w:tcBorders>
              <w:bottom w:val="single" w:sz="8" w:color="0000EE"/>
            </w:tcBorders>
            <w:gridSpan w:val="44"/>
            <w:shd w:val="clear" w:color="auto" w:fill="CCEEFF"/>
          </w:tcPr>
          <w:p>
            <w:pPr>
              <w:spacing w:after="0" w:line="17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Portfolio quality and Provisions for loan losses</w:t>
              </w:r>
            </w:hyperlink>
          </w:p>
        </w:tc>
        <w:tc>
          <w:tcPr>
            <w:tcW w:w="4160" w:type="dxa"/>
            <w:vAlign w:val="bottom"/>
            <w:tcBorders>
              <w:bottom w:val="single" w:sz="8" w:color="CCEEFF"/>
            </w:tcBorders>
            <w:gridSpan w:val="3"/>
            <w:shd w:val="clear" w:color="auto" w:fill="CCEEFF"/>
          </w:tcPr>
          <w:p>
            <w:pPr>
              <w:spacing w:after="0"/>
              <w:rPr>
                <w:sz w:val="17"/>
                <w:szCs w:val="17"/>
                <w:color w:val="auto"/>
              </w:rPr>
            </w:pPr>
          </w:p>
        </w:tc>
        <w:tc>
          <w:tcPr>
            <w:tcW w:w="31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3.1</w:t>
            </w:r>
          </w:p>
        </w:tc>
        <w:tc>
          <w:tcPr>
            <w:tcW w:w="7540" w:type="dxa"/>
            <w:vAlign w:val="bottom"/>
            <w:gridSpan w:val="47"/>
          </w:tcPr>
          <w:p>
            <w:pPr>
              <w:ind w:left="16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Provisions for loan losses</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7540" w:type="dxa"/>
            <w:vAlign w:val="bottom"/>
            <w:gridSpan w:val="47"/>
            <w:shd w:val="clear" w:color="auto" w:fill="CCEEFF"/>
          </w:tcPr>
          <w:p>
            <w:pPr>
              <w:ind w:left="16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Portfolio Quality</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gridSpan w:val="2"/>
          </w:tcPr>
          <w:p>
            <w:pPr>
              <w:spacing w:after="0" w:line="176" w:lineRule="exact"/>
              <w:rPr>
                <w:sz w:val="20"/>
                <w:szCs w:val="20"/>
                <w:color w:val="auto"/>
              </w:rPr>
            </w:pPr>
            <w:r>
              <w:rPr>
                <w:rFonts w:ascii="Arial" w:cs="Arial" w:eastAsia="Arial" w:hAnsi="Arial"/>
                <w:sz w:val="18"/>
                <w:szCs w:val="18"/>
                <w:i w:val="1"/>
                <w:iCs w:val="1"/>
                <w:color w:val="auto"/>
              </w:rPr>
              <w:t>3.2.1</w:t>
            </w:r>
          </w:p>
        </w:tc>
        <w:tc>
          <w:tcPr>
            <w:tcW w:w="6860" w:type="dxa"/>
            <w:vAlign w:val="bottom"/>
            <w:gridSpan w:val="45"/>
          </w:tcPr>
          <w:p>
            <w:pPr>
              <w:spacing w:after="0" w:line="176" w:lineRule="exact"/>
              <w:rPr>
                <w:rFonts w:ascii="Arial" w:cs="Arial" w:eastAsia="Arial" w:hAnsi="Arial"/>
                <w:sz w:val="18"/>
                <w:szCs w:val="18"/>
                <w:i w:val="1"/>
                <w:iCs w:val="1"/>
                <w:color w:val="0000EE"/>
              </w:rPr>
            </w:pPr>
            <w:hyperlink w:anchor="page25">
              <w:r>
                <w:rPr>
                  <w:rFonts w:ascii="Arial" w:cs="Arial" w:eastAsia="Arial" w:hAnsi="Arial"/>
                  <w:sz w:val="18"/>
                  <w:szCs w:val="18"/>
                  <w:i w:val="1"/>
                  <w:iCs w:val="1"/>
                  <w:color w:val="0000EE"/>
                </w:rPr>
                <w:t>Delinquency ratios by business</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 w:type="dxa"/>
            <w:vAlign w:val="bottom"/>
          </w:tcPr>
          <w:p>
            <w:pPr>
              <w:spacing w:after="0" w:line="176" w:lineRule="exact"/>
              <w:rPr>
                <w:sz w:val="20"/>
                <w:szCs w:val="20"/>
                <w:color w:val="auto"/>
              </w:rPr>
            </w:pPr>
            <w:r>
              <w:rPr>
                <w:rFonts w:ascii="Arial" w:cs="Arial" w:eastAsia="Arial" w:hAnsi="Arial"/>
                <w:sz w:val="18"/>
                <w:szCs w:val="18"/>
                <w:color w:val="auto"/>
                <w:w w:val="92"/>
              </w:rPr>
              <w:t>4.</w:t>
            </w:r>
          </w:p>
        </w:tc>
        <w:tc>
          <w:tcPr>
            <w:tcW w:w="520" w:type="dxa"/>
            <w:vAlign w:val="bottom"/>
          </w:tcPr>
          <w:p>
            <w:pPr>
              <w:spacing w:after="0"/>
              <w:rPr>
                <w:sz w:val="15"/>
                <w:szCs w:val="15"/>
                <w:color w:val="auto"/>
              </w:rPr>
            </w:pPr>
          </w:p>
        </w:tc>
        <w:tc>
          <w:tcPr>
            <w:tcW w:w="7540" w:type="dxa"/>
            <w:vAlign w:val="bottom"/>
            <w:gridSpan w:val="47"/>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Net Interest Income (NII)</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7540" w:type="dxa"/>
            <w:vAlign w:val="bottom"/>
            <w:gridSpan w:val="47"/>
            <w:shd w:val="clear" w:color="auto" w:fill="CCEEFF"/>
          </w:tcPr>
          <w:p>
            <w:pPr>
              <w:ind w:left="16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Interest Income</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4.2</w:t>
            </w:r>
          </w:p>
        </w:tc>
        <w:tc>
          <w:tcPr>
            <w:tcW w:w="7540" w:type="dxa"/>
            <w:vAlign w:val="bottom"/>
            <w:gridSpan w:val="47"/>
          </w:tcPr>
          <w:p>
            <w:pPr>
              <w:ind w:left="16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Interest Expenses</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7540" w:type="dxa"/>
            <w:vAlign w:val="bottom"/>
            <w:gridSpan w:val="47"/>
            <w:shd w:val="clear" w:color="auto" w:fill="CCEEFF"/>
          </w:tcPr>
          <w:p>
            <w:pPr>
              <w:ind w:left="16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Net Interest Margin (NIM)</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5.</w:t>
            </w:r>
          </w:p>
        </w:tc>
        <w:tc>
          <w:tcPr>
            <w:tcW w:w="520" w:type="dxa"/>
            <w:vAlign w:val="bottom"/>
            <w:shd w:val="clear" w:color="auto" w:fill="CCEEFF"/>
          </w:tcPr>
          <w:p>
            <w:pPr>
              <w:spacing w:after="0"/>
              <w:rPr>
                <w:sz w:val="17"/>
                <w:szCs w:val="17"/>
                <w:color w:val="auto"/>
              </w:rPr>
            </w:pPr>
          </w:p>
        </w:tc>
        <w:tc>
          <w:tcPr>
            <w:tcW w:w="7540" w:type="dxa"/>
            <w:vAlign w:val="bottom"/>
            <w:gridSpan w:val="47"/>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Non-Financial Income</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2"/>
              </w:rPr>
              <w:t>6.</w:t>
            </w:r>
          </w:p>
        </w:tc>
        <w:tc>
          <w:tcPr>
            <w:tcW w:w="5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0000EE"/>
            </w:tcBorders>
            <w:gridSpan w:val="33"/>
            <w:shd w:val="clear" w:color="auto" w:fill="CCEEFF"/>
          </w:tcPr>
          <w:p>
            <w:pPr>
              <w:spacing w:after="0" w:line="17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Insurance underwriting result</w:t>
              </w:r>
            </w:hyperlink>
          </w:p>
        </w:tc>
        <w:tc>
          <w:tcPr>
            <w:tcW w:w="5420" w:type="dxa"/>
            <w:vAlign w:val="bottom"/>
            <w:tcBorders>
              <w:bottom w:val="single" w:sz="8" w:color="CCEEFF"/>
            </w:tcBorders>
            <w:gridSpan w:val="14"/>
            <w:shd w:val="clear" w:color="auto" w:fill="CCEEFF"/>
          </w:tcPr>
          <w:p>
            <w:pPr>
              <w:spacing w:after="0"/>
              <w:rPr>
                <w:sz w:val="17"/>
                <w:szCs w:val="17"/>
                <w:color w:val="auto"/>
              </w:rPr>
            </w:pPr>
          </w:p>
        </w:tc>
        <w:tc>
          <w:tcPr>
            <w:tcW w:w="31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6.1</w:t>
            </w:r>
          </w:p>
        </w:tc>
        <w:tc>
          <w:tcPr>
            <w:tcW w:w="7540" w:type="dxa"/>
            <w:vAlign w:val="bottom"/>
            <w:gridSpan w:val="47"/>
          </w:tcPr>
          <w:p>
            <w:pPr>
              <w:ind w:left="16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Net earned premiums</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7540" w:type="dxa"/>
            <w:vAlign w:val="bottom"/>
            <w:gridSpan w:val="47"/>
            <w:shd w:val="clear" w:color="auto" w:fill="CCEEFF"/>
          </w:tcPr>
          <w:p>
            <w:pPr>
              <w:ind w:left="16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Net claims</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6.3</w:t>
            </w:r>
          </w:p>
        </w:tc>
        <w:tc>
          <w:tcPr>
            <w:tcW w:w="7540" w:type="dxa"/>
            <w:vAlign w:val="bottom"/>
            <w:gridSpan w:val="47"/>
          </w:tcPr>
          <w:p>
            <w:pPr>
              <w:ind w:left="16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Acquisition cost</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 w:type="dxa"/>
            <w:vAlign w:val="bottom"/>
          </w:tcPr>
          <w:p>
            <w:pPr>
              <w:spacing w:after="0" w:line="176" w:lineRule="exact"/>
              <w:rPr>
                <w:sz w:val="20"/>
                <w:szCs w:val="20"/>
                <w:color w:val="auto"/>
              </w:rPr>
            </w:pPr>
            <w:r>
              <w:rPr>
                <w:rFonts w:ascii="Arial" w:cs="Arial" w:eastAsia="Arial" w:hAnsi="Arial"/>
                <w:sz w:val="18"/>
                <w:szCs w:val="18"/>
                <w:color w:val="auto"/>
                <w:w w:val="92"/>
              </w:rPr>
              <w:t>7.</w:t>
            </w:r>
          </w:p>
        </w:tc>
        <w:tc>
          <w:tcPr>
            <w:tcW w:w="520" w:type="dxa"/>
            <w:vAlign w:val="bottom"/>
          </w:tcPr>
          <w:p>
            <w:pPr>
              <w:spacing w:after="0"/>
              <w:rPr>
                <w:sz w:val="15"/>
                <w:szCs w:val="15"/>
                <w:color w:val="auto"/>
              </w:rPr>
            </w:pPr>
          </w:p>
        </w:tc>
        <w:tc>
          <w:tcPr>
            <w:tcW w:w="7540" w:type="dxa"/>
            <w:vAlign w:val="bottom"/>
            <w:gridSpan w:val="47"/>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Operating expenses and efficiency</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 w:type="dxa"/>
            <w:vAlign w:val="bottom"/>
          </w:tcPr>
          <w:p>
            <w:pPr>
              <w:spacing w:after="0" w:line="176" w:lineRule="exact"/>
              <w:rPr>
                <w:sz w:val="20"/>
                <w:szCs w:val="20"/>
                <w:color w:val="auto"/>
              </w:rPr>
            </w:pPr>
            <w:r>
              <w:rPr>
                <w:rFonts w:ascii="Arial" w:cs="Arial" w:eastAsia="Arial" w:hAnsi="Arial"/>
                <w:sz w:val="18"/>
                <w:szCs w:val="18"/>
                <w:color w:val="auto"/>
                <w:w w:val="92"/>
              </w:rPr>
              <w:t>8.</w:t>
            </w:r>
          </w:p>
        </w:tc>
        <w:tc>
          <w:tcPr>
            <w:tcW w:w="520" w:type="dxa"/>
            <w:vAlign w:val="bottom"/>
          </w:tcPr>
          <w:p>
            <w:pPr>
              <w:spacing w:after="0"/>
              <w:rPr>
                <w:sz w:val="15"/>
                <w:szCs w:val="15"/>
                <w:color w:val="auto"/>
              </w:rPr>
            </w:pPr>
          </w:p>
        </w:tc>
        <w:tc>
          <w:tcPr>
            <w:tcW w:w="7540" w:type="dxa"/>
            <w:vAlign w:val="bottom"/>
            <w:gridSpan w:val="47"/>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Regulatory Capital</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7540" w:type="dxa"/>
            <w:vAlign w:val="bottom"/>
            <w:gridSpan w:val="47"/>
            <w:shd w:val="clear" w:color="auto" w:fill="CCEEFF"/>
          </w:tcPr>
          <w:p>
            <w:pPr>
              <w:ind w:left="16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Regulatory Capital –BAP</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8.2</w:t>
            </w:r>
          </w:p>
        </w:tc>
        <w:tc>
          <w:tcPr>
            <w:tcW w:w="7540" w:type="dxa"/>
            <w:vAlign w:val="bottom"/>
            <w:gridSpan w:val="47"/>
          </w:tcPr>
          <w:p>
            <w:pPr>
              <w:ind w:left="16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Regulatory Capital –BCP Stand-alone based on Peru GAAP</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 w:type="dxa"/>
            <w:vAlign w:val="bottom"/>
          </w:tcPr>
          <w:p>
            <w:pPr>
              <w:spacing w:after="0" w:line="176" w:lineRule="exact"/>
              <w:rPr>
                <w:sz w:val="20"/>
                <w:szCs w:val="20"/>
                <w:color w:val="auto"/>
              </w:rPr>
            </w:pPr>
            <w:r>
              <w:rPr>
                <w:rFonts w:ascii="Arial" w:cs="Arial" w:eastAsia="Arial" w:hAnsi="Arial"/>
                <w:sz w:val="18"/>
                <w:szCs w:val="18"/>
                <w:color w:val="auto"/>
                <w:w w:val="92"/>
              </w:rPr>
              <w:t>9.</w:t>
            </w:r>
          </w:p>
        </w:tc>
        <w:tc>
          <w:tcPr>
            <w:tcW w:w="520" w:type="dxa"/>
            <w:vAlign w:val="bottom"/>
          </w:tcPr>
          <w:p>
            <w:pPr>
              <w:spacing w:after="0"/>
              <w:rPr>
                <w:sz w:val="15"/>
                <w:szCs w:val="15"/>
                <w:color w:val="auto"/>
              </w:rPr>
            </w:pPr>
          </w:p>
        </w:tc>
        <w:tc>
          <w:tcPr>
            <w:tcW w:w="7540" w:type="dxa"/>
            <w:vAlign w:val="bottom"/>
            <w:gridSpan w:val="47"/>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Distribution channels</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spacing w:after="0" w:line="176" w:lineRule="exact"/>
              <w:rPr>
                <w:sz w:val="20"/>
                <w:szCs w:val="20"/>
                <w:color w:val="auto"/>
              </w:rPr>
            </w:pPr>
            <w:r>
              <w:rPr>
                <w:rFonts w:ascii="Arial" w:cs="Arial" w:eastAsia="Arial" w:hAnsi="Arial"/>
                <w:sz w:val="18"/>
                <w:szCs w:val="18"/>
                <w:color w:val="auto"/>
              </w:rPr>
              <w:t>10.</w:t>
            </w:r>
          </w:p>
        </w:tc>
        <w:tc>
          <w:tcPr>
            <w:tcW w:w="7540" w:type="dxa"/>
            <w:vAlign w:val="bottom"/>
            <w:gridSpan w:val="47"/>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Economic outlook</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spacing w:after="0" w:line="176" w:lineRule="exact"/>
              <w:rPr>
                <w:sz w:val="20"/>
                <w:szCs w:val="20"/>
                <w:color w:val="auto"/>
              </w:rPr>
            </w:pPr>
            <w:r>
              <w:rPr>
                <w:rFonts w:ascii="Arial" w:cs="Arial" w:eastAsia="Arial" w:hAnsi="Arial"/>
                <w:sz w:val="18"/>
                <w:szCs w:val="18"/>
                <w:color w:val="auto"/>
              </w:rPr>
              <w:t>11.</w:t>
            </w:r>
          </w:p>
        </w:tc>
        <w:tc>
          <w:tcPr>
            <w:tcW w:w="7540" w:type="dxa"/>
            <w:vAlign w:val="bottom"/>
            <w:gridSpan w:val="47"/>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Appendix</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11.1</w:t>
            </w:r>
          </w:p>
        </w:tc>
        <w:tc>
          <w:tcPr>
            <w:tcW w:w="7540" w:type="dxa"/>
            <w:vAlign w:val="bottom"/>
            <w:gridSpan w:val="47"/>
            <w:shd w:val="clear" w:color="auto" w:fill="CCEEFF"/>
          </w:tcPr>
          <w:p>
            <w:pPr>
              <w:ind w:left="16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BCP Consolidated financial statements</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11.2</w:t>
            </w:r>
          </w:p>
        </w:tc>
        <w:tc>
          <w:tcPr>
            <w:tcW w:w="7540" w:type="dxa"/>
            <w:vAlign w:val="bottom"/>
            <w:gridSpan w:val="47"/>
          </w:tcPr>
          <w:p>
            <w:pPr>
              <w:ind w:left="16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Mibanco</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11.3</w:t>
            </w:r>
          </w:p>
        </w:tc>
        <w:tc>
          <w:tcPr>
            <w:tcW w:w="7540" w:type="dxa"/>
            <w:vAlign w:val="bottom"/>
            <w:gridSpan w:val="47"/>
            <w:shd w:val="clear" w:color="auto" w:fill="CCEEFF"/>
          </w:tcPr>
          <w:p>
            <w:pPr>
              <w:ind w:left="16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BCP Bolivia</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11.4</w:t>
            </w:r>
          </w:p>
        </w:tc>
        <w:tc>
          <w:tcPr>
            <w:tcW w:w="7540" w:type="dxa"/>
            <w:vAlign w:val="bottom"/>
            <w:gridSpan w:val="47"/>
          </w:tcPr>
          <w:p>
            <w:pPr>
              <w:ind w:left="16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Credicorp Capital</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11.5</w:t>
            </w:r>
          </w:p>
        </w:tc>
        <w:tc>
          <w:tcPr>
            <w:tcW w:w="7540" w:type="dxa"/>
            <w:vAlign w:val="bottom"/>
            <w:gridSpan w:val="47"/>
            <w:shd w:val="clear" w:color="auto" w:fill="CCEEFF"/>
          </w:tcPr>
          <w:p>
            <w:pPr>
              <w:ind w:left="16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Atlantic Security Bank</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11.6</w:t>
            </w:r>
          </w:p>
        </w:tc>
        <w:tc>
          <w:tcPr>
            <w:tcW w:w="7540" w:type="dxa"/>
            <w:vAlign w:val="bottom"/>
            <w:gridSpan w:val="47"/>
          </w:tcPr>
          <w:p>
            <w:pPr>
              <w:ind w:left="16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Grupo Pacifico</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11.7</w:t>
            </w:r>
          </w:p>
        </w:tc>
        <w:tc>
          <w:tcPr>
            <w:tcW w:w="7540" w:type="dxa"/>
            <w:vAlign w:val="bottom"/>
            <w:gridSpan w:val="47"/>
            <w:shd w:val="clear" w:color="auto" w:fill="CCEEFF"/>
          </w:tcPr>
          <w:p>
            <w:pPr>
              <w:ind w:left="16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Prima AFP</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11.8</w:t>
            </w:r>
          </w:p>
        </w:tc>
        <w:tc>
          <w:tcPr>
            <w:tcW w:w="7540" w:type="dxa"/>
            <w:vAlign w:val="bottom"/>
            <w:gridSpan w:val="47"/>
          </w:tcPr>
          <w:p>
            <w:pPr>
              <w:ind w:left="16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EEFF Credicorp</w:t>
              </w:r>
            </w:hyperlink>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11.9</w:t>
            </w:r>
          </w:p>
        </w:tc>
        <w:tc>
          <w:tcPr>
            <w:tcW w:w="7540" w:type="dxa"/>
            <w:vAlign w:val="bottom"/>
            <w:gridSpan w:val="47"/>
            <w:shd w:val="clear" w:color="auto" w:fill="CCEEFF"/>
          </w:tcPr>
          <w:p>
            <w:pPr>
              <w:ind w:left="16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Table of calculations</w:t>
              </w:r>
            </w:hyperlink>
          </w:p>
        </w:tc>
        <w:tc>
          <w:tcPr>
            <w:tcW w:w="3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980" w:type="dxa"/>
            <w:vAlign w:val="bottom"/>
            <w:tcBorders>
              <w:top w:val="single" w:sz="8" w:color="CCEEFF"/>
              <w:bottom w:val="single" w:sz="8" w:color="auto"/>
            </w:tcBorders>
          </w:tcPr>
          <w:p>
            <w:pPr>
              <w:spacing w:after="0"/>
              <w:rPr>
                <w:sz w:val="24"/>
                <w:szCs w:val="24"/>
                <w:color w:val="auto"/>
              </w:rPr>
            </w:pPr>
          </w:p>
        </w:tc>
        <w:tc>
          <w:tcPr>
            <w:tcW w:w="31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22"/>
                <w:szCs w:val="22"/>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Credicorp (NYSE: BAP): Third Quarter Results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1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ind w:left="720"/>
              <w:spacing w:after="0"/>
              <w:rPr>
                <w:sz w:val="20"/>
                <w:szCs w:val="20"/>
                <w:color w:val="auto"/>
              </w:rPr>
            </w:pPr>
            <w:r>
              <w:rPr>
                <w:rFonts w:ascii="Arial" w:cs="Arial" w:eastAsia="Arial" w:hAnsi="Arial"/>
                <w:sz w:val="14"/>
                <w:szCs w:val="14"/>
                <w:b w:val="1"/>
                <w:bCs w:val="1"/>
                <w:color w:val="auto"/>
              </w:rPr>
              <w:t>YTD</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20"/>
                <w:szCs w:val="20"/>
                <w:color w:val="auto"/>
              </w:rPr>
            </w:pPr>
            <w:r>
              <w:rPr>
                <w:rFonts w:ascii="Arial" w:cs="Arial" w:eastAsia="Arial" w:hAnsi="Arial"/>
                <w:sz w:val="14"/>
                <w:szCs w:val="14"/>
                <w:color w:val="auto"/>
              </w:rPr>
              <w:t>S/. 000</w:t>
            </w:r>
          </w:p>
        </w:tc>
        <w:tc>
          <w:tcPr>
            <w:tcW w:w="12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rPr>
              <w:t>3Q14</w:t>
            </w:r>
          </w:p>
        </w:tc>
        <w:tc>
          <w:tcPr>
            <w:tcW w:w="22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rPr>
              <w:t>2Q15</w:t>
            </w:r>
          </w:p>
        </w:tc>
        <w:tc>
          <w:tcPr>
            <w:tcW w:w="2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3Q15</w:t>
            </w:r>
          </w:p>
        </w:tc>
        <w:tc>
          <w:tcPr>
            <w:tcW w:w="2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68"/>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Sep 14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Sep 15</w:t>
            </w:r>
          </w:p>
        </w:tc>
        <w:tc>
          <w:tcPr>
            <w:tcW w:w="2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Sep 15 / Sep 14</w:t>
            </w:r>
          </w:p>
        </w:tc>
        <w:tc>
          <w:tcPr>
            <w:tcW w:w="0" w:type="dxa"/>
            <w:vAlign w:val="bottom"/>
          </w:tcPr>
          <w:p>
            <w:pPr>
              <w:spacing w:after="0"/>
              <w:rPr>
                <w:sz w:val="1"/>
                <w:szCs w:val="1"/>
                <w:color w:val="auto"/>
              </w:rPr>
            </w:pPr>
          </w:p>
        </w:tc>
      </w:tr>
      <w:tr>
        <w:trPr>
          <w:trHeight w:val="20"/>
        </w:trPr>
        <w:tc>
          <w:tcPr>
            <w:tcW w:w="28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120" w:type="dxa"/>
            <w:vAlign w:val="bottom"/>
            <w:vMerge w:val="continue"/>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1,686,184</w:t>
            </w:r>
          </w:p>
        </w:tc>
        <w:tc>
          <w:tcPr>
            <w:tcW w:w="220" w:type="dxa"/>
            <w:vAlign w:val="bottom"/>
            <w:vMerge w:val="continue"/>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1,837,200</w:t>
            </w:r>
          </w:p>
        </w:tc>
        <w:tc>
          <w:tcPr>
            <w:tcW w:w="220" w:type="dxa"/>
            <w:vAlign w:val="bottom"/>
            <w:vMerge w:val="continue"/>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1,866,893</w:t>
            </w:r>
          </w:p>
        </w:tc>
        <w:tc>
          <w:tcPr>
            <w:tcW w:w="240" w:type="dxa"/>
            <w:vAlign w:val="bottom"/>
            <w:vMerge w:val="continue"/>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10.7%</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4,698,407</w:t>
            </w:r>
          </w:p>
        </w:tc>
        <w:tc>
          <w:tcPr>
            <w:tcW w:w="2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5,489,455</w:t>
            </w:r>
          </w:p>
        </w:tc>
        <w:tc>
          <w:tcPr>
            <w:tcW w:w="24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Provision for loan losses, net of recoveries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(433,219)</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(431,763)</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(444,425)</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1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(1,278,551)</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(1,378,324)</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 after provisions</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1,252,965</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1,405,437</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1,422,468</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1.2%</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13.5%</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3,419,857</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4,111,131</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20.2%</w:t>
            </w:r>
          </w:p>
        </w:tc>
        <w:tc>
          <w:tcPr>
            <w:tcW w:w="0" w:type="dxa"/>
            <w:vAlign w:val="bottom"/>
          </w:tcPr>
          <w:p>
            <w:pPr>
              <w:spacing w:after="0"/>
              <w:rPr>
                <w:sz w:val="1"/>
                <w:szCs w:val="1"/>
                <w:color w:val="auto"/>
              </w:rPr>
            </w:pPr>
          </w:p>
        </w:tc>
      </w:tr>
      <w:tr>
        <w:trPr>
          <w:trHeight w:val="189"/>
        </w:trPr>
        <w:tc>
          <w:tcPr>
            <w:tcW w:w="2940" w:type="dxa"/>
            <w:vAlign w:val="bottom"/>
            <w:gridSpan w:val="2"/>
          </w:tcPr>
          <w:p>
            <w:pPr>
              <w:spacing w:after="0" w:line="189" w:lineRule="exact"/>
              <w:rPr>
                <w:sz w:val="20"/>
                <w:szCs w:val="20"/>
                <w:color w:val="auto"/>
              </w:rPr>
            </w:pPr>
            <w:r>
              <w:rPr>
                <w:rFonts w:ascii="Arial" w:cs="Arial" w:eastAsia="Arial" w:hAnsi="Arial"/>
                <w:sz w:val="13"/>
                <w:szCs w:val="13"/>
                <w:color w:val="auto"/>
              </w:rPr>
              <w:t>Non-financial income</w:t>
            </w:r>
            <w:r>
              <w:rPr>
                <w:rFonts w:ascii="Arial" w:cs="Arial" w:eastAsia="Arial" w:hAnsi="Arial"/>
                <w:sz w:val="21"/>
                <w:szCs w:val="21"/>
                <w:color w:val="auto"/>
                <w:vertAlign w:val="superscript"/>
              </w:rPr>
              <w:t>(1)</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881,287</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889,730</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916,081</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3.0%</w:t>
            </w: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3.9%</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2,639,290</w:t>
            </w:r>
          </w:p>
        </w:tc>
        <w:tc>
          <w:tcPr>
            <w:tcW w:w="8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2,863,239</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9"/>
        </w:trPr>
        <w:tc>
          <w:tcPr>
            <w:tcW w:w="29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Insurance services underwriting result</w:t>
            </w:r>
            <w:r>
              <w:rPr>
                <w:rFonts w:ascii="Arial" w:cs="Arial" w:eastAsia="Arial" w:hAnsi="Arial"/>
                <w:sz w:val="21"/>
                <w:szCs w:val="21"/>
                <w:color w:val="auto"/>
                <w:vertAlign w:val="superscript"/>
              </w:rPr>
              <w:t>(1)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117,638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120,348</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125,245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318,905</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341,843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Medical services gross margin</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28,813</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N/A</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N/A</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74,765</w:t>
            </w:r>
          </w:p>
        </w:tc>
        <w:tc>
          <w:tcPr>
            <w:tcW w:w="8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(1,349,566)</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(1,366,178)</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(1,337,802)</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-0.9%</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(3,806,544)</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(3,999,850)</w:t>
            </w: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931,137</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1,049,336</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1,125,992</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7.3%</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20.9%</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2,646,273</w:t>
            </w:r>
          </w:p>
        </w:tc>
        <w:tc>
          <w:tcPr>
            <w:tcW w:w="8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3,316,363</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25.3%</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Translation results</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2,603</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9,324</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2,940</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-68.5%</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2,182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13,830</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Income taxes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(275,364)</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(289,389)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(300,989)</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w:t>
            </w:r>
          </w:p>
        </w:tc>
        <w:tc>
          <w:tcPr>
            <w:tcW w:w="1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(711,113)</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(899,809)</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658,376</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769,271</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827,943</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7.6%</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25.8%</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1,937,342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2,430,384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25.4%</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12,941</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19,976</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20,798</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w:t>
            </w:r>
          </w:p>
        </w:tc>
        <w:tc>
          <w:tcPr>
            <w:tcW w:w="1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60.7%</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45,097</w:t>
            </w:r>
          </w:p>
        </w:tc>
        <w:tc>
          <w:tcPr>
            <w:tcW w:w="8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69,210</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645,435</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749,295</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807,145</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7.7%</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25.1%</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1,892,245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2,361,174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24.8%</w:t>
            </w:r>
          </w:p>
        </w:tc>
        <w:tc>
          <w:tcPr>
            <w:tcW w:w="0" w:type="dxa"/>
            <w:vAlign w:val="bottom"/>
          </w:tcPr>
          <w:p>
            <w:pPr>
              <w:spacing w:after="0"/>
              <w:rPr>
                <w:sz w:val="1"/>
                <w:szCs w:val="1"/>
                <w:color w:val="auto"/>
              </w:rPr>
            </w:pPr>
          </w:p>
        </w:tc>
      </w:tr>
      <w:tr>
        <w:trPr>
          <w:trHeight w:val="189"/>
        </w:trPr>
        <w:tc>
          <w:tcPr>
            <w:tcW w:w="2940" w:type="dxa"/>
            <w:vAlign w:val="bottom"/>
            <w:gridSpan w:val="2"/>
          </w:tcPr>
          <w:p>
            <w:pPr>
              <w:ind w:left="160"/>
              <w:spacing w:after="0" w:line="189" w:lineRule="exact"/>
              <w:rPr>
                <w:sz w:val="20"/>
                <w:szCs w:val="20"/>
                <w:color w:val="auto"/>
              </w:rPr>
            </w:pPr>
            <w:r>
              <w:rPr>
                <w:rFonts w:ascii="Arial" w:cs="Arial" w:eastAsia="Arial" w:hAnsi="Arial"/>
                <w:sz w:val="13"/>
                <w:szCs w:val="13"/>
                <w:color w:val="auto"/>
              </w:rPr>
              <w:t>Non-recurring income (expense)</w:t>
            </w:r>
            <w:r>
              <w:rPr>
                <w:rFonts w:ascii="Arial" w:cs="Arial" w:eastAsia="Arial" w:hAnsi="Arial"/>
                <w:sz w:val="21"/>
                <w:szCs w:val="21"/>
                <w:color w:val="auto"/>
                <w:vertAlign w:val="superscript"/>
              </w:rPr>
              <w:t>(2)</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(51,327)</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6,753</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61,117</w:t>
            </w:r>
          </w:p>
        </w:tc>
        <w:tc>
          <w:tcPr>
            <w:tcW w:w="1180" w:type="dxa"/>
            <w:vAlign w:val="bottom"/>
            <w:gridSpan w:val="3"/>
          </w:tcPr>
          <w:p>
            <w:pPr>
              <w:jc w:val="right"/>
              <w:ind w:right="420"/>
              <w:spacing w:after="0"/>
              <w:rPr>
                <w:sz w:val="20"/>
                <w:szCs w:val="20"/>
                <w:color w:val="auto"/>
              </w:rPr>
            </w:pPr>
            <w:r>
              <w:rPr>
                <w:rFonts w:ascii="Arial" w:cs="Arial" w:eastAsia="Arial" w:hAnsi="Arial"/>
                <w:sz w:val="14"/>
                <w:szCs w:val="14"/>
                <w:color w:val="auto"/>
              </w:rPr>
              <w:t>N/A</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-219.1%</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52,448</w:t>
            </w:r>
          </w:p>
        </w:tc>
        <w:tc>
          <w:tcPr>
            <w:tcW w:w="8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176,011</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235.6%</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Recurring net income</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696,763</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742,542</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746,028</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0.5%</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7.1%</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1,839,797</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2,185,163</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18.8%</w:t>
            </w: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Net income/share (S/.)</w:t>
            </w:r>
          </w:p>
        </w:tc>
        <w:tc>
          <w:tcPr>
            <w:tcW w:w="760" w:type="dxa"/>
            <w:vAlign w:val="bottom"/>
          </w:tcPr>
          <w:p>
            <w:pPr>
              <w:jc w:val="right"/>
              <w:spacing w:after="0"/>
              <w:rPr>
                <w:sz w:val="20"/>
                <w:szCs w:val="20"/>
                <w:color w:val="auto"/>
              </w:rPr>
            </w:pPr>
            <w:r>
              <w:rPr>
                <w:rFonts w:ascii="Arial" w:cs="Arial" w:eastAsia="Arial" w:hAnsi="Arial"/>
                <w:sz w:val="14"/>
                <w:szCs w:val="14"/>
                <w:color w:val="auto"/>
              </w:rPr>
              <w:t>8.09</w:t>
            </w:r>
          </w:p>
        </w:tc>
        <w:tc>
          <w:tcPr>
            <w:tcW w:w="2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9.39</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10.12</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7.7%</w:t>
            </w: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25.1%</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23.72</w:t>
            </w:r>
          </w:p>
        </w:tc>
        <w:tc>
          <w:tcPr>
            <w:tcW w:w="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29.60</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0"/>
        </w:trPr>
        <w:tc>
          <w:tcPr>
            <w:tcW w:w="29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Total loans</w:t>
            </w: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gridSpan w:val="2"/>
            <w:vMerge w:val="continue"/>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75,680,558</w:t>
            </w:r>
          </w:p>
        </w:tc>
        <w:tc>
          <w:tcPr>
            <w:tcW w:w="220" w:type="dxa"/>
            <w:vAlign w:val="bottom"/>
            <w:vMerge w:val="continue"/>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83,503,212</w:t>
            </w:r>
          </w:p>
        </w:tc>
        <w:tc>
          <w:tcPr>
            <w:tcW w:w="220" w:type="dxa"/>
            <w:vAlign w:val="bottom"/>
            <w:vMerge w:val="continue"/>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87,842,690</w:t>
            </w:r>
          </w:p>
        </w:tc>
        <w:tc>
          <w:tcPr>
            <w:tcW w:w="240" w:type="dxa"/>
            <w:vAlign w:val="bottom"/>
            <w:vMerge w:val="continue"/>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5.2%</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16.1%</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75,680,558</w:t>
            </w:r>
          </w:p>
        </w:tc>
        <w:tc>
          <w:tcPr>
            <w:tcW w:w="2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87,842,690</w:t>
            </w:r>
          </w:p>
        </w:tc>
        <w:tc>
          <w:tcPr>
            <w:tcW w:w="24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Deposits and obligations</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74,863,232</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80,910,623</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86,426,707</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1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15.4%</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74,863,232</w:t>
            </w:r>
          </w:p>
        </w:tc>
        <w:tc>
          <w:tcPr>
            <w:tcW w:w="8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86,426,707</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shareholders' equity</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13,414,052</w:t>
            </w: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14,803,711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15,153,252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13,414,052</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4"/>
              </w:rPr>
              <w:t>15,153,252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4"/>
                <w:szCs w:val="14"/>
                <w:color w:val="auto"/>
              </w:rPr>
              <w:t>Net interest margin</w:t>
            </w: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gridSpan w:val="2"/>
            <w:vMerge w:val="continue"/>
          </w:tcPr>
          <w:p>
            <w:pPr>
              <w:spacing w:after="0"/>
              <w:rPr>
                <w:sz w:val="12"/>
                <w:szCs w:val="12"/>
                <w:color w:val="auto"/>
              </w:rPr>
            </w:pPr>
          </w:p>
        </w:tc>
        <w:tc>
          <w:tcPr>
            <w:tcW w:w="9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5.75%</w:t>
            </w:r>
          </w:p>
        </w:tc>
        <w:tc>
          <w:tcPr>
            <w:tcW w:w="9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5.70%</w:t>
            </w:r>
          </w:p>
        </w:tc>
        <w:tc>
          <w:tcPr>
            <w:tcW w:w="10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5.49%</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-21 bps</w:t>
            </w:r>
          </w:p>
        </w:tc>
        <w:tc>
          <w:tcPr>
            <w:tcW w:w="2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-26 bps</w:t>
            </w:r>
          </w:p>
        </w:tc>
        <w:tc>
          <w:tcPr>
            <w:tcW w:w="260" w:type="dxa"/>
            <w:vAlign w:val="bottom"/>
            <w:vMerge w:val="continue"/>
          </w:tcPr>
          <w:p>
            <w:pPr>
              <w:spacing w:after="0"/>
              <w:rPr>
                <w:sz w:val="12"/>
                <w:szCs w:val="12"/>
                <w:color w:val="auto"/>
              </w:rPr>
            </w:pPr>
          </w:p>
        </w:tc>
        <w:tc>
          <w:tcPr>
            <w:tcW w:w="9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5.61%</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5.56%</w:t>
            </w: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-5 bps</w:t>
            </w: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Funding cost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1.94%</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1.97%</w:t>
            </w:r>
          </w:p>
        </w:tc>
        <w:tc>
          <w:tcPr>
            <w:tcW w:w="118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 bps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 bps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1.93%</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ROAE</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19.7%</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20.7%</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21.6%</w:t>
            </w:r>
          </w:p>
        </w:tc>
        <w:tc>
          <w:tcPr>
            <w:tcW w:w="118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90 bps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190 bps</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21.6%</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160 bps</w:t>
            </w:r>
          </w:p>
        </w:tc>
        <w:tc>
          <w:tcPr>
            <w:tcW w:w="0" w:type="dxa"/>
            <w:vAlign w:val="bottom"/>
          </w:tcPr>
          <w:p>
            <w:pPr>
              <w:spacing w:after="0"/>
              <w:rPr>
                <w:sz w:val="1"/>
                <w:szCs w:val="1"/>
                <w:color w:val="auto"/>
              </w:rPr>
            </w:pPr>
          </w:p>
        </w:tc>
      </w:tr>
      <w:tr>
        <w:trPr>
          <w:trHeight w:val="189"/>
        </w:trPr>
        <w:tc>
          <w:tcPr>
            <w:tcW w:w="29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Recurring ROAE </w:t>
            </w:r>
            <w:r>
              <w:rPr>
                <w:rFonts w:ascii="Arial" w:cs="Arial" w:eastAsia="Arial" w:hAnsi="Arial"/>
                <w:sz w:val="21"/>
                <w:szCs w:val="21"/>
                <w:color w:val="auto"/>
                <w:vertAlign w:val="superscript"/>
              </w:rPr>
              <w:t>(3)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20.1%</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-50 bps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-130 bps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19.4%</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70 bps</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ROAA</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118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10 bps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 bps</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 bps</w:t>
            </w:r>
          </w:p>
        </w:tc>
        <w:tc>
          <w:tcPr>
            <w:tcW w:w="0" w:type="dxa"/>
            <w:vAlign w:val="bottom"/>
          </w:tcPr>
          <w:p>
            <w:pPr>
              <w:spacing w:after="0"/>
              <w:rPr>
                <w:sz w:val="1"/>
                <w:szCs w:val="1"/>
                <w:color w:val="auto"/>
              </w:rPr>
            </w:pPr>
          </w:p>
        </w:tc>
      </w:tr>
      <w:tr>
        <w:trPr>
          <w:trHeight w:val="189"/>
        </w:trPr>
        <w:tc>
          <w:tcPr>
            <w:tcW w:w="29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Recurring ROAA </w:t>
            </w:r>
            <w:r>
              <w:rPr>
                <w:rFonts w:ascii="Arial" w:cs="Arial" w:eastAsia="Arial" w:hAnsi="Arial"/>
                <w:sz w:val="21"/>
                <w:szCs w:val="21"/>
                <w:color w:val="auto"/>
                <w:vertAlign w:val="superscript"/>
              </w:rPr>
              <w:t>(4)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-10 bps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 bps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94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PDL ratio </w:t>
            </w:r>
            <w:r>
              <w:rPr>
                <w:rFonts w:ascii="Arial" w:cs="Arial" w:eastAsia="Arial" w:hAnsi="Arial"/>
                <w:sz w:val="21"/>
                <w:szCs w:val="21"/>
                <w:color w:val="auto"/>
                <w:vertAlign w:val="superscript"/>
              </w:rPr>
              <w:t>(5)</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1.83%</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1.96%</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1.88%</w:t>
            </w:r>
          </w:p>
        </w:tc>
        <w:tc>
          <w:tcPr>
            <w:tcW w:w="1180" w:type="dxa"/>
            <w:vAlign w:val="bottom"/>
            <w:gridSpan w:val="3"/>
          </w:tcPr>
          <w:p>
            <w:pPr>
              <w:jc w:val="right"/>
              <w:ind w:right="420"/>
              <w:spacing w:after="0"/>
              <w:rPr>
                <w:sz w:val="20"/>
                <w:szCs w:val="20"/>
                <w:color w:val="auto"/>
              </w:rPr>
            </w:pPr>
            <w:r>
              <w:rPr>
                <w:rFonts w:ascii="Arial" w:cs="Arial" w:eastAsia="Arial" w:hAnsi="Arial"/>
                <w:sz w:val="14"/>
                <w:szCs w:val="14"/>
                <w:color w:val="auto"/>
              </w:rPr>
              <w:t>-8 bps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5 bps</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1.83%</w:t>
            </w:r>
          </w:p>
        </w:tc>
        <w:tc>
          <w:tcPr>
            <w:tcW w:w="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1.88%</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5 bps</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PDL over 90 days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2.59%</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2.72%</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2.57%</w:t>
            </w:r>
          </w:p>
        </w:tc>
        <w:tc>
          <w:tcPr>
            <w:tcW w:w="118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-15 bps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 bps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2.59%</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2.57%</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 bps</w:t>
            </w:r>
          </w:p>
        </w:tc>
        <w:tc>
          <w:tcPr>
            <w:tcW w:w="0" w:type="dxa"/>
            <w:vAlign w:val="bottom"/>
          </w:tcPr>
          <w:p>
            <w:pPr>
              <w:spacing w:after="0"/>
              <w:rPr>
                <w:sz w:val="1"/>
                <w:szCs w:val="1"/>
                <w:color w:val="auto"/>
              </w:rPr>
            </w:pPr>
          </w:p>
        </w:tc>
      </w:tr>
      <w:tr>
        <w:trPr>
          <w:trHeight w:val="189"/>
        </w:trPr>
        <w:tc>
          <w:tcPr>
            <w:tcW w:w="294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NPL ratio </w:t>
            </w:r>
            <w:r>
              <w:rPr>
                <w:rFonts w:ascii="Arial" w:cs="Arial" w:eastAsia="Arial" w:hAnsi="Arial"/>
                <w:sz w:val="21"/>
                <w:szCs w:val="21"/>
                <w:color w:val="auto"/>
                <w:vertAlign w:val="superscript"/>
              </w:rPr>
              <w:t>(6)</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3.26%</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3.56%</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3.40%</w:t>
            </w:r>
          </w:p>
        </w:tc>
        <w:tc>
          <w:tcPr>
            <w:tcW w:w="1180" w:type="dxa"/>
            <w:vAlign w:val="bottom"/>
            <w:gridSpan w:val="3"/>
          </w:tcPr>
          <w:p>
            <w:pPr>
              <w:jc w:val="right"/>
              <w:ind w:right="420"/>
              <w:spacing w:after="0"/>
              <w:rPr>
                <w:sz w:val="20"/>
                <w:szCs w:val="20"/>
                <w:color w:val="auto"/>
              </w:rPr>
            </w:pPr>
            <w:r>
              <w:rPr>
                <w:rFonts w:ascii="Arial" w:cs="Arial" w:eastAsia="Arial" w:hAnsi="Arial"/>
                <w:sz w:val="14"/>
                <w:szCs w:val="14"/>
                <w:color w:val="auto"/>
              </w:rPr>
              <w:t>-16 bps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14 bps</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3.26%</w:t>
            </w:r>
          </w:p>
        </w:tc>
        <w:tc>
          <w:tcPr>
            <w:tcW w:w="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3.40%</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14 bps</w:t>
            </w:r>
          </w:p>
        </w:tc>
        <w:tc>
          <w:tcPr>
            <w:tcW w:w="0" w:type="dxa"/>
            <w:vAlign w:val="bottom"/>
          </w:tcPr>
          <w:p>
            <w:pPr>
              <w:spacing w:after="0"/>
              <w:rPr>
                <w:sz w:val="1"/>
                <w:szCs w:val="1"/>
                <w:color w:val="auto"/>
              </w:rPr>
            </w:pPr>
          </w:p>
        </w:tc>
      </w:tr>
      <w:tr>
        <w:trPr>
          <w:trHeight w:val="189"/>
        </w:trPr>
        <w:tc>
          <w:tcPr>
            <w:tcW w:w="29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2.07%</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2.02%</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-5 bps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-27 bps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2.25%</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 bps</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Coverage of PDLs</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161.5%</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159.2%</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162.8%</w:t>
            </w:r>
          </w:p>
        </w:tc>
        <w:tc>
          <w:tcPr>
            <w:tcW w:w="118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360 bps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130 bps</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161.5%</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162.8%</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130 bps</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Coverage of NPLs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128.3%</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121.9%</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123.2%</w:t>
            </w:r>
          </w:p>
        </w:tc>
        <w:tc>
          <w:tcPr>
            <w:tcW w:w="118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130 bps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-510 bps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128.3%</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123.2%</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-510 bps</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Efficiency ratio</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41.5%</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42.3%</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41.7%</w:t>
            </w:r>
          </w:p>
        </w:tc>
        <w:tc>
          <w:tcPr>
            <w:tcW w:w="118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-60 bps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 bps</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42.1%</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41.8%</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 bps</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expenses / Total assets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118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-20 bps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 bps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 bps</w:t>
            </w:r>
          </w:p>
        </w:tc>
        <w:tc>
          <w:tcPr>
            <w:tcW w:w="0" w:type="dxa"/>
            <w:vAlign w:val="bottom"/>
          </w:tcPr>
          <w:p>
            <w:pPr>
              <w:spacing w:after="0"/>
              <w:rPr>
                <w:sz w:val="1"/>
                <w:szCs w:val="1"/>
                <w:color w:val="auto"/>
              </w:rPr>
            </w:pPr>
          </w:p>
        </w:tc>
      </w:tr>
      <w:tr>
        <w:trPr>
          <w:trHeight w:val="189"/>
        </w:trPr>
        <w:tc>
          <w:tcPr>
            <w:tcW w:w="294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Combined ratio of P&amp;C </w:t>
            </w:r>
            <w:r>
              <w:rPr>
                <w:rFonts w:ascii="Arial" w:cs="Arial" w:eastAsia="Arial" w:hAnsi="Arial"/>
                <w:sz w:val="21"/>
                <w:szCs w:val="21"/>
                <w:color w:val="auto"/>
                <w:vertAlign w:val="superscript"/>
              </w:rPr>
              <w:t>(8)(9)</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91.6%</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90.6%</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92.2%</w:t>
            </w:r>
          </w:p>
        </w:tc>
        <w:tc>
          <w:tcPr>
            <w:tcW w:w="1180" w:type="dxa"/>
            <w:vAlign w:val="bottom"/>
            <w:gridSpan w:val="3"/>
          </w:tcPr>
          <w:p>
            <w:pPr>
              <w:jc w:val="right"/>
              <w:ind w:right="420"/>
              <w:spacing w:after="0"/>
              <w:rPr>
                <w:sz w:val="20"/>
                <w:szCs w:val="20"/>
                <w:color w:val="auto"/>
              </w:rPr>
            </w:pPr>
            <w:r>
              <w:rPr>
                <w:rFonts w:ascii="Arial" w:cs="Arial" w:eastAsia="Arial" w:hAnsi="Arial"/>
                <w:sz w:val="14"/>
                <w:szCs w:val="14"/>
                <w:color w:val="auto"/>
              </w:rPr>
              <w:t>160 bps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60 bps</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97.7%</w:t>
            </w:r>
          </w:p>
        </w:tc>
        <w:tc>
          <w:tcPr>
            <w:tcW w:w="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91.9%</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-580 bps</w:t>
            </w:r>
          </w:p>
        </w:tc>
        <w:tc>
          <w:tcPr>
            <w:tcW w:w="0" w:type="dxa"/>
            <w:vAlign w:val="bottom"/>
          </w:tcPr>
          <w:p>
            <w:pPr>
              <w:spacing w:after="0"/>
              <w:rPr>
                <w:sz w:val="1"/>
                <w:szCs w:val="1"/>
                <w:color w:val="auto"/>
              </w:rPr>
            </w:pPr>
          </w:p>
        </w:tc>
      </w:tr>
      <w:tr>
        <w:trPr>
          <w:trHeight w:val="189"/>
        </w:trPr>
        <w:tc>
          <w:tcPr>
            <w:tcW w:w="29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60.4%</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160 bps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-210 bps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63.3%</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-460 bps</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Underwriting result / net earned premiums</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16.9%</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14.9%</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12.9%</w:t>
            </w:r>
          </w:p>
        </w:tc>
        <w:tc>
          <w:tcPr>
            <w:tcW w:w="118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-200 bps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-400 bps</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14.7%</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14.3%</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 bps</w:t>
            </w: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Employees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32,162</w:t>
            </w: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32,828</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33,426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32,162</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33,426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Figures differ from previously reported, consider figures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non-recurring income / (expense) and translation results (net of taxes).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Recurring ROAE: Net recurring income is used for calculations. In the equity side, adjustments are made to exclude non-recurring income (expense).</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Recurring ROAA: Net recurring income is used for calculations.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PDL ratio = Past-due loan ratio. Past-due loans include overdue loans and loans under legal collection.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NPLs: Non-performing loans = Past-due loans + Refinanced loans. NPL ratio: NPLs / Total loans.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Annualized provision for loan losses / Total loans.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Combined ratio= (Net claims + General expenses + Fees + Underwriting expenses) / Net earned premiums. Do not include insurance Life business.</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Considers Grupo Pacifico's figures before eliminations for consolidation to Credicorp.</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Credicorp reported </w:t>
      </w:r>
      <w:r>
        <w:rPr>
          <w:rFonts w:ascii="Arial" w:cs="Arial" w:eastAsia="Arial" w:hAnsi="Arial"/>
          <w:sz w:val="18"/>
          <w:szCs w:val="18"/>
          <w:b w:val="1"/>
          <w:bCs w:val="1"/>
          <w:color w:val="auto"/>
        </w:rPr>
        <w:t>net income</w:t>
      </w:r>
      <w:r>
        <w:rPr>
          <w:rFonts w:ascii="Arial" w:cs="Arial" w:eastAsia="Arial" w:hAnsi="Arial"/>
          <w:sz w:val="18"/>
          <w:szCs w:val="18"/>
          <w:color w:val="auto"/>
        </w:rPr>
        <w:t xml:space="preserve"> of S/.807.1 million, a ROAE of 21.6% and a ROAA of 2.2% in 3Q15. These figures represent a solid result for the third consecutive quarter, especially considering the macroeconomic environment and market volatility. It is important to note that recurring net income was S/. 746.0 million (+0.5% QoQ and +7.1% YoY), which led to a recurring ROAE and ROAA of 20.1% and 2.0%, respectively.</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Credicorp’s </w:t>
      </w:r>
      <w:r>
        <w:rPr>
          <w:rFonts w:ascii="Arial" w:cs="Arial" w:eastAsia="Arial" w:hAnsi="Arial"/>
          <w:sz w:val="18"/>
          <w:szCs w:val="18"/>
          <w:b w:val="1"/>
          <w:bCs w:val="1"/>
          <w:color w:val="auto"/>
        </w:rPr>
        <w:t>NII</w:t>
      </w:r>
      <w:r>
        <w:rPr>
          <w:rFonts w:ascii="Arial" w:cs="Arial" w:eastAsia="Arial" w:hAnsi="Arial"/>
          <w:sz w:val="18"/>
          <w:szCs w:val="18"/>
          <w:color w:val="auto"/>
        </w:rPr>
        <w:t xml:space="preserve"> increased +1.6% QoQ and +10.7% YoY, mainly due to growth in interest income, as a result of higher interest income on loans and income from derivatives. The higher interest income generation offset the increase in interest expenses associated with higher level of BCRP instruments, and the effect of the appreciation of the US dollar in interest expenses on bonds and subordinated notes.</w:t>
      </w:r>
    </w:p>
    <w:p>
      <w:pPr>
        <w:spacing w:after="0" w:line="389"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both"/>
        <w:spacing w:after="0" w:line="266" w:lineRule="auto"/>
        <w:rPr>
          <w:sz w:val="20"/>
          <w:szCs w:val="20"/>
          <w:color w:val="auto"/>
        </w:rPr>
      </w:pPr>
      <w:r>
        <w:rPr>
          <w:rFonts w:ascii="Arial" w:cs="Arial" w:eastAsia="Arial" w:hAnsi="Arial"/>
          <w:sz w:val="18"/>
          <w:szCs w:val="18"/>
          <w:color w:val="auto"/>
        </w:rPr>
        <w:t xml:space="preserve">All of the aforementioned translated into a reduction of 21bps QoQ in </w:t>
      </w:r>
      <w:r>
        <w:rPr>
          <w:rFonts w:ascii="Arial" w:cs="Arial" w:eastAsia="Arial" w:hAnsi="Arial"/>
          <w:sz w:val="18"/>
          <w:szCs w:val="18"/>
          <w:b w:val="1"/>
          <w:bCs w:val="1"/>
          <w:color w:val="auto"/>
        </w:rPr>
        <w:t>NIM</w:t>
      </w:r>
      <w:r>
        <w:rPr>
          <w:rFonts w:ascii="Arial" w:cs="Arial" w:eastAsia="Arial" w:hAnsi="Arial"/>
          <w:sz w:val="18"/>
          <w:szCs w:val="18"/>
          <w:color w:val="auto"/>
        </w:rPr>
        <w:t xml:space="preserve"> (5.70% in 2Q15 vs. 5.49% in 3Q15) that was mainly due to four drivers: (i) more use of BCRP instruments; (ii) higher loan disbursements towards the end of the quarter; (iii) expansion of total loans led by low-margin business segments; and (iv) slight increase in funding cost; as we will explain later.</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Total loans </w:t>
      </w:r>
      <w:r>
        <w:rPr>
          <w:rFonts w:ascii="Arial" w:cs="Arial" w:eastAsia="Arial" w:hAnsi="Arial"/>
          <w:sz w:val="18"/>
          <w:szCs w:val="18"/>
          <w:color w:val="auto"/>
        </w:rPr>
        <w:t>at Credicorp grew +5.2% QoQ in quarter-end balances, and +3.3% QoQ in average daily balances, the difference between the two was</w:t>
      </w:r>
      <w:r>
        <w:rPr>
          <w:rFonts w:ascii="Arial" w:cs="Arial" w:eastAsia="Arial" w:hAnsi="Arial"/>
          <w:sz w:val="18"/>
          <w:szCs w:val="18"/>
          <w:b w:val="1"/>
          <w:bCs w:val="1"/>
          <w:color w:val="auto"/>
        </w:rPr>
        <w:t xml:space="preserve"> </w:t>
      </w:r>
      <w:r>
        <w:rPr>
          <w:rFonts w:ascii="Arial" w:cs="Arial" w:eastAsia="Arial" w:hAnsi="Arial"/>
          <w:sz w:val="18"/>
          <w:szCs w:val="18"/>
          <w:color w:val="auto"/>
        </w:rPr>
        <w:t>attributable to loan disbursements towards the end of the quarter, which had a less significant impact on average daily balances in 3Q15. Loan growth was driven by Wholesale Banking and Retail Banking. In terms of real growth, loans expanded +4.6% QoQ in quarter-end balances and +2.6% QoQ in average daily balances.</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terms of business segments, Wholesale Banking continued to lead loan expansion (+3.5% QoQ and +20.5% YoY). This was due mainly to the increase in working capital, and medium &amp; long term financing, primarily in local currency (LC). In Retail Banking (+2.9% QoQ and +13.2% YoY), loan growth was associated to the better dynamism in the SME-Business, SME-Pyme, Mortgage, and Credit card segments. It is important to note that for Retail Banking, the second half of each year tends to be more dynamic in terms of loan expansion because of the year-end financing campaigns. Mibanco’s loan expansion shows the initial recovery in loan origination after the acquisition and the clean-up process that was put in place.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analysis of loan book by currency shows that LC loan book continued expanding (+8.1% QoQ), and FC loans contracted (-4.6% QoQ), mainly at BCP Stand-alone. In this context, LC loans’ share of total loans at Credicorp rose from 55.4% in 2Q15 to 58.0% at the end of 3Q15. BCP Stand-alone, where the de-dollarization plan is carried out, posted a high level of compliance. As such, total FC loan portfolio subject to the plan contracted 25% by the end of September (vs. the reduction target of 10% by December 2015), and the FC Mortgage and Car loans reduced 26% (vs. the reduction target of 15% by December 2015).</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funding cost</w:t>
      </w:r>
      <w:r>
        <w:rPr>
          <w:rFonts w:ascii="Arial" w:cs="Arial" w:eastAsia="Arial" w:hAnsi="Arial"/>
          <w:sz w:val="18"/>
          <w:szCs w:val="18"/>
          <w:color w:val="auto"/>
        </w:rPr>
        <w:t xml:space="preserve"> at Credicorp and at BCP stand-alone increased slightly QoQ (+2 bps and +3 bps, respectively). This was due primarily to the increase in the cost of BCRP instruments, which was attributable to an increase in the reference rate in August, and to the increase in the tenure of those instruments (up to 5 years).</w:t>
      </w:r>
    </w:p>
    <w:p>
      <w:pPr>
        <w:spacing w:after="0" w:line="176"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L/D ratio</w:t>
      </w:r>
      <w:r>
        <w:rPr>
          <w:rFonts w:ascii="Arial" w:cs="Arial" w:eastAsia="Arial" w:hAnsi="Arial"/>
          <w:sz w:val="16"/>
          <w:szCs w:val="16"/>
          <w:color w:val="auto"/>
        </w:rPr>
        <w:t xml:space="preserve"> fell QoQ, which was due mainly to an atypical increase in time deposits, and in a lesser extent the savings deposits. In BCP Stand-alone’s case, the LC L/D ratio was situated at 152.5%, and the FC L/D ratio was situated at 69.7%. The evolution of the LC ratio does not represent a risky situation but reflects the improvement in the composition of funding after increasing the share of more stable and long-term funds, such as BCRP instruments.</w:t>
      </w:r>
    </w:p>
    <w:p>
      <w:pPr>
        <w:spacing w:after="0" w:line="14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In terms of portfolio quality, the </w:t>
      </w:r>
      <w:r>
        <w:rPr>
          <w:rFonts w:ascii="Arial" w:cs="Arial" w:eastAsia="Arial" w:hAnsi="Arial"/>
          <w:sz w:val="17"/>
          <w:szCs w:val="17"/>
          <w:b w:val="1"/>
          <w:bCs w:val="1"/>
          <w:color w:val="auto"/>
        </w:rPr>
        <w:t>PDL ratio</w:t>
      </w:r>
      <w:r>
        <w:rPr>
          <w:rFonts w:ascii="Arial" w:cs="Arial" w:eastAsia="Arial" w:hAnsi="Arial"/>
          <w:sz w:val="17"/>
          <w:szCs w:val="17"/>
          <w:color w:val="auto"/>
        </w:rPr>
        <w:t xml:space="preserve"> fell -15 bps QoQ, which was in line with: (1) an improvement in the risk quality of new vintages at BCP Stand-alone and Mibanco; (2) an increase in charge-offs, mainly at Mibanco; and (3) solid growth in loans. The </w:t>
      </w:r>
      <w:r>
        <w:rPr>
          <w:rFonts w:ascii="Arial" w:cs="Arial" w:eastAsia="Arial" w:hAnsi="Arial"/>
          <w:sz w:val="17"/>
          <w:szCs w:val="17"/>
          <w:b w:val="1"/>
          <w:bCs w:val="1"/>
          <w:color w:val="auto"/>
        </w:rPr>
        <w:t>NPL ratio</w:t>
      </w:r>
      <w:r>
        <w:rPr>
          <w:rFonts w:ascii="Arial" w:cs="Arial" w:eastAsia="Arial" w:hAnsi="Arial"/>
          <w:sz w:val="17"/>
          <w:szCs w:val="17"/>
          <w:color w:val="auto"/>
        </w:rPr>
        <w:t xml:space="preserve"> fell -16 bps QoQ due to loan growth and a decrease in the pace of growth of NPLs. The </w:t>
      </w:r>
      <w:r>
        <w:rPr>
          <w:rFonts w:ascii="Arial" w:cs="Arial" w:eastAsia="Arial" w:hAnsi="Arial"/>
          <w:sz w:val="17"/>
          <w:szCs w:val="17"/>
          <w:b w:val="1"/>
          <w:bCs w:val="1"/>
          <w:color w:val="auto"/>
        </w:rPr>
        <w:t>cost of risk</w:t>
      </w:r>
      <w:r>
        <w:rPr>
          <w:rFonts w:ascii="Arial" w:cs="Arial" w:eastAsia="Arial" w:hAnsi="Arial"/>
          <w:sz w:val="17"/>
          <w:szCs w:val="17"/>
          <w:color w:val="auto"/>
        </w:rPr>
        <w:t xml:space="preserve"> registered its lowest level in two years and situated at 2.02% at the end of 3Q15.</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Non-financial income </w:t>
      </w:r>
      <w:r>
        <w:rPr>
          <w:rFonts w:ascii="Arial" w:cs="Arial" w:eastAsia="Arial" w:hAnsi="Arial"/>
          <w:sz w:val="17"/>
          <w:szCs w:val="17"/>
          <w:color w:val="auto"/>
        </w:rPr>
        <w:t>increased +3.0% QoQ, this was basically due to the higher gain on foreign exchange transactions (+17.6% QoQ), followed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growth of Net gain from subsidiaries, the latter explains the result of the joint venture between the Grupo Pacífico and Banmédica in the health business. The YoY evolution of this income shows an increase of +3.9%, due to an increase in Fee income, which is the main source of non-financial income, and the growth of Net gain on foreign exchange transactions, in line with the appreciation of the US Dollar.</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insurance underwriting result</w:t>
      </w:r>
      <w:r>
        <w:rPr>
          <w:rFonts w:ascii="Arial" w:cs="Arial" w:eastAsia="Arial" w:hAnsi="Arial"/>
          <w:sz w:val="18"/>
          <w:szCs w:val="18"/>
          <w:color w:val="auto"/>
        </w:rPr>
        <w:t xml:space="preserve"> increased +4.1% QoQ mainly due to a decrease in the acquisition cost in Property &amp; Casualty, and an increase in net earned premiums in life insurance business. This effect offset a higher level of claims in P&amp;C QoQ.</w:t>
      </w:r>
    </w:p>
    <w:p>
      <w:pPr>
        <w:spacing w:after="0" w:line="162"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color w:val="auto"/>
        </w:rPr>
        <w:t xml:space="preserve">In terms of operating efficiency, the </w:t>
      </w:r>
      <w:r>
        <w:rPr>
          <w:rFonts w:ascii="Arial" w:cs="Arial" w:eastAsia="Arial" w:hAnsi="Arial"/>
          <w:sz w:val="17"/>
          <w:szCs w:val="17"/>
          <w:b w:val="1"/>
          <w:bCs w:val="1"/>
          <w:color w:val="auto"/>
        </w:rPr>
        <w:t>efficiency ratio</w:t>
      </w:r>
      <w:r>
        <w:rPr>
          <w:rFonts w:ascii="Arial" w:cs="Arial" w:eastAsia="Arial" w:hAnsi="Arial"/>
          <w:sz w:val="17"/>
          <w:szCs w:val="17"/>
          <w:color w:val="auto"/>
        </w:rPr>
        <w:t xml:space="preserve"> dropped -60 bps QoQ. The aforementioned was attributable to lower expenses in Salaries and employees benefits and the increase in operating income. The latter was mainly associated to the major dynamism of the second half of the year.</w:t>
      </w:r>
    </w:p>
    <w:p>
      <w:pPr>
        <w:spacing w:after="0" w:line="351"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both"/>
        <w:spacing w:after="0" w:line="289" w:lineRule="auto"/>
        <w:rPr>
          <w:sz w:val="20"/>
          <w:szCs w:val="20"/>
          <w:color w:val="auto"/>
        </w:rPr>
      </w:pPr>
      <w:r>
        <w:rPr>
          <w:rFonts w:ascii="Arial" w:cs="Arial" w:eastAsia="Arial" w:hAnsi="Arial"/>
          <w:sz w:val="17"/>
          <w:szCs w:val="17"/>
          <w:color w:val="auto"/>
        </w:rPr>
        <w:t xml:space="preserve">Finally, with regard to </w:t>
      </w:r>
      <w:r>
        <w:rPr>
          <w:rFonts w:ascii="Arial" w:cs="Arial" w:eastAsia="Arial" w:hAnsi="Arial"/>
          <w:sz w:val="17"/>
          <w:szCs w:val="17"/>
          <w:b w:val="1"/>
          <w:bCs w:val="1"/>
          <w:color w:val="auto"/>
        </w:rPr>
        <w:t>capital</w:t>
      </w:r>
      <w:r>
        <w:rPr>
          <w:rFonts w:ascii="Arial" w:cs="Arial" w:eastAsia="Arial" w:hAnsi="Arial"/>
          <w:sz w:val="17"/>
          <w:szCs w:val="17"/>
          <w:color w:val="auto"/>
        </w:rPr>
        <w:t>, Credicorp maintained a comfortable level of capitalization that at the end of 3Q15 represented 1.15 times the capital required by the Peruvian regulator. At BCP Stand-alone (in Peru GAAP), the ratios continued to be highly adequate and were above the regulatory limit with a BIS ratio of 13.89%, Tier 1 of 9.24%, and, perhaps most noteworthy, a Tier 1 common equity increased to 9.00% vs. 8.38% in 2Q15.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Credicorp and subsidiaries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Earnings contribution</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ind w:left="720"/>
              <w:spacing w:after="0"/>
              <w:rPr>
                <w:sz w:val="20"/>
                <w:szCs w:val="20"/>
                <w:color w:val="auto"/>
              </w:rPr>
            </w:pPr>
            <w:r>
              <w:rPr>
                <w:rFonts w:ascii="Arial" w:cs="Arial" w:eastAsia="Arial" w:hAnsi="Arial"/>
                <w:sz w:val="14"/>
                <w:szCs w:val="14"/>
                <w:b w:val="1"/>
                <w:bCs w:val="1"/>
                <w:color w:val="auto"/>
              </w:rPr>
              <w:t>% change</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ind w:left="860"/>
              <w:spacing w:after="0"/>
              <w:rPr>
                <w:sz w:val="20"/>
                <w:szCs w:val="20"/>
                <w:color w:val="auto"/>
              </w:rPr>
            </w:pPr>
            <w:r>
              <w:rPr>
                <w:rFonts w:ascii="Arial" w:cs="Arial" w:eastAsia="Arial" w:hAnsi="Arial"/>
                <w:sz w:val="14"/>
                <w:szCs w:val="14"/>
                <w:b w:val="1"/>
                <w:bCs w:val="1"/>
                <w:color w:val="auto"/>
              </w:rPr>
              <w:t>YTD</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000</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3Q14</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2Q15</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3Q15</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Sep 14</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Sep 15</w:t>
            </w: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Sep 15/Sep 14</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Banco de Crédito BCP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572,056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605,642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659,756</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8.9%</w:t>
            </w: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1,461,935</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1,844,533</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89"/>
        </w:trPr>
        <w:tc>
          <w:tcPr>
            <w:tcW w:w="242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 xml:space="preserve">M ibanco </w:t>
            </w:r>
            <w:r>
              <w:rPr>
                <w:rFonts w:ascii="Arial" w:cs="Arial" w:eastAsia="Arial" w:hAnsi="Arial"/>
                <w:sz w:val="21"/>
                <w:szCs w:val="21"/>
                <w:color w:val="auto"/>
                <w:vertAlign w:val="superscript"/>
              </w:rPr>
              <w:t>(2)</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19,643</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47,077</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70,938</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50.9%</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261.1%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79,249</w:t>
            </w:r>
          </w:p>
        </w:tc>
        <w:tc>
          <w:tcPr>
            <w:tcW w:w="1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158,514</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3"/>
                <w:szCs w:val="13"/>
                <w:color w:val="auto"/>
              </w:rPr>
              <w:t xml:space="preserve">BCB </w:t>
            </w:r>
            <w:r>
              <w:rPr>
                <w:rFonts w:ascii="Arial" w:cs="Arial" w:eastAsia="Arial" w:hAnsi="Arial"/>
                <w:sz w:val="21"/>
                <w:szCs w:val="21"/>
                <w:color w:val="auto"/>
                <w:vertAlign w:val="superscript"/>
              </w:rPr>
              <w:t>(3)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17,418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11,167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15,960</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42.9%</w:t>
            </w: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51,915</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41,453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89"/>
        </w:trPr>
        <w:tc>
          <w:tcPr>
            <w:tcW w:w="242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Grupo Pacífico </w:t>
            </w:r>
            <w:r>
              <w:rPr>
                <w:rFonts w:ascii="Arial" w:cs="Arial" w:eastAsia="Arial" w:hAnsi="Arial"/>
                <w:sz w:val="21"/>
                <w:szCs w:val="21"/>
                <w:color w:val="auto"/>
                <w:vertAlign w:val="superscript"/>
              </w:rPr>
              <w:t>(4)</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60,031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66,053</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48,498</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-26.6%</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-19.2%</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144,380</w:t>
            </w:r>
          </w:p>
        </w:tc>
        <w:tc>
          <w:tcPr>
            <w:tcW w:w="1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282,599</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95.7%</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Atlantic Security Bank</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28,112</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30,445</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67,792</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122.7%</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141.1%</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109,713</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134,081</w:t>
            </w: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color w:val="auto"/>
              </w:rPr>
              <w:t>Prima</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37,363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43,338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40,074</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116,277</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123,699</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Credicorp Capital </w:t>
            </w:r>
            <w:r>
              <w:rPr>
                <w:rFonts w:ascii="Arial" w:cs="Arial" w:eastAsia="Arial" w:hAnsi="Arial"/>
                <w:sz w:val="21"/>
                <w:szCs w:val="21"/>
                <w:color w:val="auto"/>
                <w:vertAlign w:val="superscript"/>
              </w:rPr>
              <w:t>(5)</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11,308</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16,692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10,759</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-35.5%</w:t>
            </w: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39,736</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44,853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4"/>
                <w:szCs w:val="14"/>
                <w:color w:val="auto"/>
              </w:rPr>
              <w:t xml:space="preserve">Others </w:t>
            </w:r>
            <w:r>
              <w:rPr>
                <w:rFonts w:ascii="Arial" w:cs="Arial" w:eastAsia="Arial" w:hAnsi="Arial"/>
                <w:sz w:val="23"/>
                <w:szCs w:val="23"/>
                <w:color w:val="auto"/>
                <w:vertAlign w:val="superscript"/>
              </w:rPr>
              <w:t>(6)</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(63,436)</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(12,874)</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(19,734)</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53.3%</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-68.9%</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20,204</w:t>
            </w: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(68,591)</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24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Net income Credicorp</w:t>
            </w: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20" w:type="dxa"/>
            <w:vAlign w:val="bottom"/>
            <w:gridSpan w:val="2"/>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645,435</w:t>
            </w:r>
          </w:p>
        </w:tc>
        <w:tc>
          <w:tcPr>
            <w:tcW w:w="22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749,295</w:t>
            </w:r>
          </w:p>
        </w:tc>
        <w:tc>
          <w:tcPr>
            <w:tcW w:w="22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807,145</w:t>
            </w:r>
          </w:p>
        </w:tc>
        <w:tc>
          <w:tcPr>
            <w:tcW w:w="220" w:type="dxa"/>
            <w:vAlign w:val="bottom"/>
            <w:vMerge w:val="continue"/>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7.7%</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25.1%</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1,892,245</w:t>
            </w:r>
          </w:p>
        </w:tc>
        <w:tc>
          <w:tcPr>
            <w:tcW w:w="22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2,361,174</w:t>
            </w:r>
          </w:p>
        </w:tc>
        <w:tc>
          <w:tcPr>
            <w:tcW w:w="20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24.8%</w:t>
            </w:r>
          </w:p>
        </w:tc>
        <w:tc>
          <w:tcPr>
            <w:tcW w:w="0" w:type="dxa"/>
            <w:vAlign w:val="bottom"/>
          </w:tcPr>
          <w:p>
            <w:pPr>
              <w:spacing w:after="0"/>
              <w:rPr>
                <w:sz w:val="1"/>
                <w:szCs w:val="1"/>
                <w:color w:val="auto"/>
              </w:rPr>
            </w:pPr>
          </w:p>
        </w:tc>
      </w:tr>
      <w:tr>
        <w:trPr>
          <w:trHeight w:val="218"/>
        </w:trPr>
        <w:tc>
          <w:tcPr>
            <w:tcW w:w="2420" w:type="dxa"/>
            <w:vAlign w:val="bottom"/>
            <w:gridSpan w:val="2"/>
          </w:tcPr>
          <w:p>
            <w:pPr>
              <w:spacing w:after="0" w:line="218" w:lineRule="exact"/>
              <w:rPr>
                <w:sz w:val="20"/>
                <w:szCs w:val="20"/>
                <w:color w:val="auto"/>
              </w:rPr>
            </w:pPr>
            <w:r>
              <w:rPr>
                <w:rFonts w:ascii="Arial" w:cs="Arial" w:eastAsia="Arial" w:hAnsi="Arial"/>
                <w:sz w:val="14"/>
                <w:szCs w:val="14"/>
                <w:b w:val="1"/>
                <w:bCs w:val="1"/>
                <w:color w:val="auto"/>
              </w:rPr>
              <w:t xml:space="preserve">Recurring net income Credicorp </w:t>
            </w:r>
            <w:r>
              <w:rPr>
                <w:rFonts w:ascii="Arial" w:cs="Arial" w:eastAsia="Arial" w:hAnsi="Arial"/>
                <w:sz w:val="23"/>
                <w:szCs w:val="23"/>
                <w:b w:val="1"/>
                <w:bCs w:val="1"/>
                <w:color w:val="auto"/>
                <w:vertAlign w:val="superscript"/>
              </w:rPr>
              <w:t>(7)</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696,763</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742,542</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746,028</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0.5%</w:t>
            </w:r>
          </w:p>
        </w:tc>
        <w:tc>
          <w:tcPr>
            <w:tcW w:w="2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7.1%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1,839,797</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2,185,163</w:t>
            </w: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18.8%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-8890</wp:posOffset>
            </wp:positionV>
            <wp:extent cx="56172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17210" cy="8890"/>
                    </a:xfrm>
                    <a:prstGeom prst="rect">
                      <a:avLst/>
                    </a:prstGeom>
                    <a:noFill/>
                  </pic:spPr>
                </pic:pic>
              </a:graphicData>
            </a:graphic>
          </wp:anchor>
        </w:drawing>
      </w:r>
    </w:p>
    <w:p>
      <w:pPr>
        <w:ind w:firstLine="8"/>
        <w:spacing w:after="0" w:line="249" w:lineRule="auto"/>
        <w:tabs>
          <w:tab w:leader="none" w:pos="27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Banco de Crédito de Bolivia and Mibanco. September 2015 figure does not include the gain on sale of BCI shares, as it is eliminated in the consolidation.</w:t>
      </w:r>
    </w:p>
    <w:p>
      <w:pPr>
        <w:ind w:firstLine="8"/>
        <w:spacing w:after="0" w:line="250" w:lineRule="auto"/>
        <w:tabs>
          <w:tab w:leader="none" w:pos="25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figure is lower than the net income of Mibanco because Credicorp owns 95.4% of Mibanco (directly and indirectly). Consolidated results of Mibanco and Edyficar.</w:t>
      </w: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figure is lower than the net income of BCB because Credicorp owns 97.7% of BCB (directly and indirectly).</w:t>
      </w:r>
    </w:p>
    <w:p>
      <w:pPr>
        <w:spacing w:after="0" w:line="9" w:lineRule="exact"/>
        <w:rPr>
          <w:rFonts w:ascii="Arial" w:cs="Arial" w:eastAsia="Arial" w:hAnsi="Arial"/>
          <w:sz w:val="18"/>
          <w:szCs w:val="18"/>
          <w:color w:val="auto"/>
        </w:rPr>
      </w:pPr>
    </w:p>
    <w:p>
      <w:pPr>
        <w:ind w:firstLine="8"/>
        <w:spacing w:after="0" w:line="250" w:lineRule="auto"/>
        <w:tabs>
          <w:tab w:leader="none" w:pos="28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figure is lower than the net income before minority interest of Grupo Pacifico because Credicorp owns 98.5% of Grupo Pacifico (directly and indirectly).</w:t>
      </w: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Credicorp Capital Limited and Credicorp Capital Perú.</w:t>
      </w:r>
    </w:p>
    <w:p>
      <w:pPr>
        <w:spacing w:after="0" w:line="9" w:lineRule="exact"/>
        <w:rPr>
          <w:rFonts w:ascii="Arial" w:cs="Arial" w:eastAsia="Arial" w:hAnsi="Arial"/>
          <w:sz w:val="18"/>
          <w:szCs w:val="18"/>
          <w:color w:val="auto"/>
        </w:rPr>
      </w:pPr>
    </w:p>
    <w:p>
      <w:pPr>
        <w:ind w:right="20" w:firstLine="8"/>
        <w:spacing w:after="0" w:line="250" w:lineRule="auto"/>
        <w:tabs>
          <w:tab w:leader="none" w:pos="25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Grupo Crédito excluding Prima (Servicorp and Emisiones BCP Latam), others of Atlantic Security Holding Corporation and others of Credicorp Ltd.</w:t>
      </w: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Excludes non-recurring income / (expense) and translation results (net of taxes).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3"/>
          </w:tcPr>
          <w:p>
            <w:pPr>
              <w:ind w:left="720"/>
              <w:spacing w:after="0"/>
              <w:rPr>
                <w:sz w:val="20"/>
                <w:szCs w:val="20"/>
                <w:color w:val="auto"/>
              </w:rPr>
            </w:pPr>
            <w:r>
              <w:rPr>
                <w:rFonts w:ascii="Arial" w:cs="Arial" w:eastAsia="Arial" w:hAnsi="Arial"/>
                <w:sz w:val="18"/>
                <w:szCs w:val="18"/>
                <w:b w:val="1"/>
                <w:bCs w:val="1"/>
                <w:color w:val="auto"/>
              </w:rPr>
              <w:t>YTD</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ROAE</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3Q14</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2Q15</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3Q15</w:t>
            </w:r>
          </w:p>
        </w:tc>
        <w:tc>
          <w:tcPr>
            <w:tcW w:w="1160" w:type="dxa"/>
            <w:vAlign w:val="bottom"/>
            <w:gridSpan w:val="3"/>
          </w:tcPr>
          <w:p>
            <w:pPr>
              <w:ind w:left="140"/>
              <w:spacing w:after="0"/>
              <w:rPr>
                <w:sz w:val="20"/>
                <w:szCs w:val="20"/>
                <w:color w:val="auto"/>
              </w:rPr>
            </w:pPr>
            <w:r>
              <w:rPr>
                <w:rFonts w:ascii="Arial" w:cs="Arial" w:eastAsia="Arial" w:hAnsi="Arial"/>
                <w:sz w:val="18"/>
                <w:szCs w:val="18"/>
                <w:b w:val="1"/>
                <w:bCs w:val="1"/>
                <w:color w:val="auto"/>
              </w:rPr>
              <w:t>Sep 14</w:t>
            </w: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 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Banco de Crédito BCP</w:t>
            </w:r>
            <w:r>
              <w:rPr>
                <w:rFonts w:ascii="Arial" w:cs="Arial" w:eastAsia="Arial" w:hAnsi="Arial"/>
                <w:sz w:val="29"/>
                <w:szCs w:val="29"/>
                <w:color w:val="auto"/>
                <w:vertAlign w:val="superscript"/>
              </w:rPr>
              <w:t>(1)</w:t>
            </w:r>
          </w:p>
        </w:tc>
        <w:tc>
          <w:tcPr>
            <w:tcW w:w="80" w:type="dxa"/>
            <w:vAlign w:val="bottom"/>
            <w:vMerge w:val="continue"/>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24.0%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2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 xml:space="preserve">M ibanco </w:t>
            </w:r>
            <w:r>
              <w:rPr>
                <w:rFonts w:ascii="Arial" w:cs="Arial" w:eastAsia="Arial" w:hAnsi="Arial"/>
                <w:sz w:val="29"/>
                <w:szCs w:val="29"/>
                <w:color w:val="auto"/>
                <w:vertAlign w:val="superscript"/>
              </w:rPr>
              <w:t>(2)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23.7%</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2"/>
                <w:szCs w:val="22"/>
                <w:color w:val="auto"/>
              </w:rPr>
            </w:pPr>
          </w:p>
        </w:tc>
        <w:tc>
          <w:tcPr>
            <w:tcW w:w="880" w:type="dxa"/>
            <w:vAlign w:val="bottom"/>
            <w:gridSpan w:val="2"/>
          </w:tcPr>
          <w:p>
            <w:pPr>
              <w:ind w:left="380"/>
              <w:spacing w:after="0"/>
              <w:rPr>
                <w:sz w:val="20"/>
                <w:szCs w:val="20"/>
                <w:color w:val="auto"/>
              </w:rPr>
            </w:pPr>
            <w:r>
              <w:rPr>
                <w:rFonts w:ascii="Arial" w:cs="Arial" w:eastAsia="Arial" w:hAnsi="Arial"/>
                <w:sz w:val="18"/>
                <w:szCs w:val="18"/>
                <w:color w:val="auto"/>
                <w:w w:val="93"/>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BCB</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11.0%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Grupo Pacífico </w:t>
            </w:r>
            <w:r>
              <w:rPr>
                <w:rFonts w:ascii="Arial" w:cs="Arial" w:eastAsia="Arial" w:hAnsi="Arial"/>
                <w:sz w:val="29"/>
                <w:szCs w:val="29"/>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2"/>
                <w:szCs w:val="22"/>
                <w:color w:val="auto"/>
              </w:rPr>
            </w:pPr>
          </w:p>
        </w:tc>
        <w:tc>
          <w:tcPr>
            <w:tcW w:w="880" w:type="dxa"/>
            <w:vAlign w:val="bottom"/>
            <w:gridSpan w:val="2"/>
          </w:tcPr>
          <w:p>
            <w:pPr>
              <w:ind w:left="380"/>
              <w:spacing w:after="0"/>
              <w:rPr>
                <w:sz w:val="20"/>
                <w:szCs w:val="20"/>
                <w:color w:val="auto"/>
              </w:rPr>
            </w:pPr>
            <w:r>
              <w:rPr>
                <w:rFonts w:ascii="Arial" w:cs="Arial" w:eastAsia="Arial" w:hAnsi="Arial"/>
                <w:sz w:val="18"/>
                <w:szCs w:val="18"/>
                <w:color w:val="auto"/>
                <w:w w:val="93"/>
              </w:rPr>
              <w:t>21.5%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Atlantic Security Bank </w:t>
            </w:r>
            <w:r>
              <w:rPr>
                <w:rFonts w:ascii="Arial" w:cs="Arial" w:eastAsia="Arial" w:hAnsi="Arial"/>
                <w:sz w:val="29"/>
                <w:szCs w:val="29"/>
                <w:color w:val="auto"/>
                <w:vertAlign w:val="superscript"/>
              </w:rPr>
              <w:t>(4)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Prima</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35.7%</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30.8%</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880" w:type="dxa"/>
            <w:vAlign w:val="bottom"/>
            <w:gridSpan w:val="2"/>
          </w:tcPr>
          <w:p>
            <w:pPr>
              <w:ind w:left="380"/>
              <w:spacing w:after="0"/>
              <w:rPr>
                <w:sz w:val="20"/>
                <w:szCs w:val="20"/>
                <w:color w:val="auto"/>
              </w:rPr>
            </w:pPr>
            <w:r>
              <w:rPr>
                <w:rFonts w:ascii="Arial" w:cs="Arial" w:eastAsia="Arial" w:hAnsi="Arial"/>
                <w:sz w:val="18"/>
                <w:szCs w:val="18"/>
                <w:color w:val="auto"/>
                <w:w w:val="93"/>
              </w:rPr>
              <w:t>29.2%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Credicorp Capital</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Credicorp</w:t>
            </w: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gridSpan w:val="2"/>
            <w:vMerge w:val="continue"/>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18"/>
                <w:szCs w:val="18"/>
                <w:color w:val="auto"/>
              </w:rPr>
            </w:pPr>
          </w:p>
        </w:tc>
        <w:tc>
          <w:tcPr>
            <w:tcW w:w="880" w:type="dxa"/>
            <w:vAlign w:val="bottom"/>
            <w:gridSpan w:val="2"/>
          </w:tcPr>
          <w:p>
            <w:pPr>
              <w:ind w:left="380"/>
              <w:spacing w:after="0"/>
              <w:rPr>
                <w:sz w:val="20"/>
                <w:szCs w:val="20"/>
                <w:color w:val="auto"/>
              </w:rPr>
            </w:pPr>
            <w:r>
              <w:rPr>
                <w:rFonts w:ascii="Arial" w:cs="Arial" w:eastAsia="Arial" w:hAnsi="Arial"/>
                <w:sz w:val="18"/>
                <w:szCs w:val="18"/>
                <w:b w:val="1"/>
                <w:bCs w:val="1"/>
                <w:color w:val="auto"/>
                <w:w w:val="93"/>
              </w:rPr>
              <w:t>21.6%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Recurring net income</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19.4%</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93"/>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8" w:lineRule="auto"/>
        <w:tabs>
          <w:tab w:leader="none" w:pos="257" w:val="left"/>
        </w:tabs>
        <w:numPr>
          <w:ilvl w:val="0"/>
          <w:numId w:val="4"/>
        </w:numPr>
        <w:rPr>
          <w:rFonts w:ascii="Arial" w:cs="Arial" w:eastAsia="Arial" w:hAnsi="Arial"/>
          <w:sz w:val="18"/>
          <w:szCs w:val="18"/>
          <w:color w:val="auto"/>
        </w:rPr>
      </w:pPr>
      <w:r>
        <w:rPr>
          <w:rFonts w:ascii="Arial" w:cs="Arial" w:eastAsia="Arial" w:hAnsi="Arial"/>
          <w:sz w:val="18"/>
          <w:szCs w:val="18"/>
          <w:color w:val="auto"/>
        </w:rPr>
        <w:t>September 2015 figure does not include the gain on sale of BCI shares, as it is eliminated in the consolidation to Credicorp. The ROAE including the gain on sale of BCI shares is 27.0% as of September 2015.</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ROAE for 3Q14 and September 2014 do not consider Edyficar´s goodwill (US$50.7 Million). Calculations based on proforma figures.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ROAE without including the income for the JV with Banmédica is 13.3% as of September 2015.</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ROAE without including the non-recurring income is 5.8% for 3T15 and 13.3% as of September 2015.</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quarter, BCP Consolidated contributed S/.659.8 million to Credicorp, which represented an increase of +8.9% QoQ and +15.3% YoY. The aforementioned led to an ROAE of 25%, which was slightly higher than the level posted in 2Q15. The improvement in this quarter’s performance was due primarily to: (i) NII growth, in line with loan expansion and higher income from derivatives; (ii) the increase in fee income and in net gain on FX transactions, which outpaced the result of 2Q15; and (iii) the decrease in operating expenses, due to lower employee salaries and benefits expenses. The aforementioned largely offset the loss on sale of securities, in line with adverse market conditions, and the slight increase in net provisions for loan losses. The decrease in operating expenses led to a 120 bps improvement in the efficiency ratio, which went from 43% in 2Q15 to 41.8% in 3Q15. In accumulated terms, at the end of September 2015, BCP Consolidated reported a contribution of S/. 1,845 million (+26.2% YoY), which led to an ROAE of 24%. The last does not include the income that this subsidiary generated after the transfer of BCI shares to Credicorp.</w:t>
      </w:r>
    </w:p>
    <w:p>
      <w:pPr>
        <w:spacing w:after="0" w:line="388"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both"/>
        <w:ind w:left="640"/>
        <w:spacing w:after="0" w:line="291" w:lineRule="auto"/>
        <w:rPr>
          <w:sz w:val="20"/>
          <w:szCs w:val="20"/>
          <w:color w:val="auto"/>
        </w:rPr>
      </w:pPr>
      <w:r>
        <w:rPr>
          <w:rFonts w:ascii="Arial" w:cs="Arial" w:eastAsia="Arial" w:hAnsi="Arial"/>
          <w:sz w:val="16"/>
          <w:szCs w:val="16"/>
          <w:b w:val="1"/>
          <w:bCs w:val="1"/>
          <w:i w:val="1"/>
          <w:iCs w:val="1"/>
          <w:color w:val="auto"/>
        </w:rPr>
        <w:t xml:space="preserve">Mibanco </w:t>
      </w:r>
      <w:r>
        <w:rPr>
          <w:rFonts w:ascii="Arial" w:cs="Arial" w:eastAsia="Arial" w:hAnsi="Arial"/>
          <w:sz w:val="16"/>
          <w:szCs w:val="16"/>
          <w:color w:val="auto"/>
        </w:rPr>
        <w:t>reported a net contribution to Credicorp of S/.70.9 million and an ROAE of 23.7% at the end of 3Q15. These results represent a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improvement QoQ due to an increase in net interest income (NII) and a decrease in provisions and operating expenses. The evolution of the NII (+4.4% QoQ) is mainly attributable to loan growth in the micro and small business segments and stable funding costs QoQ, which were associated with efforts to restructure liabilities to contemplate more lower-cost funding sources. The cost of risk fell QoQ, which was in line with an improvement in the portfolio’s risk quality and also due to the fact that charge-offs were higher in 3Q15. This reflects the progress that has been made after a year of concerted efforts to recover the PDL portfolio. In this context, the PDL ratio improved 95 bps QoQ. Operating expenses fell in line with a QoQ decrease in the number of branches. Mibanco’s efficiency ratio was situated at 54% at the end of 3Q15 (-200 bps QoQ).</w:t>
      </w:r>
    </w:p>
    <w:p>
      <w:pPr>
        <w:spacing w:after="0" w:line="167" w:lineRule="exact"/>
        <w:rPr>
          <w:sz w:val="20"/>
          <w:szCs w:val="20"/>
          <w:color w:val="auto"/>
        </w:rPr>
      </w:pPr>
    </w:p>
    <w:p>
      <w:pPr>
        <w:jc w:val="both"/>
        <w:ind w:left="640"/>
        <w:spacing w:after="0" w:line="297" w:lineRule="auto"/>
        <w:rPr>
          <w:sz w:val="20"/>
          <w:szCs w:val="20"/>
          <w:color w:val="auto"/>
        </w:rPr>
      </w:pPr>
      <w:r>
        <w:rPr>
          <w:rFonts w:ascii="Arial" w:cs="Arial" w:eastAsia="Arial" w:hAnsi="Arial"/>
          <w:sz w:val="16"/>
          <w:szCs w:val="16"/>
          <w:b w:val="1"/>
          <w:bCs w:val="1"/>
          <w:i w:val="1"/>
          <w:iCs w:val="1"/>
          <w:color w:val="auto"/>
        </w:rPr>
        <w:t xml:space="preserve">BCP Bolivia </w:t>
      </w:r>
      <w:r>
        <w:rPr>
          <w:rFonts w:ascii="Arial" w:cs="Arial" w:eastAsia="Arial" w:hAnsi="Arial"/>
          <w:sz w:val="16"/>
          <w:szCs w:val="16"/>
          <w:color w:val="auto"/>
        </w:rPr>
        <w:t>reported a contribution of S/. 16.0 million, +42.9% QoQ, mainly due to (i) an increase in NII of +6.0% QoQ in line with loan evolution;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(ii) a -14.9% QoQ drop in general and administrative expenses due to a decrease in non-recurring expenses in 3Q15 (in 2Q15 a guarantee fund was set up to cover the year 2014). Loans increased +6.9% QoQ; this allowed BCP Bolivia to achieve a market share of 9.0% at the end of 3Q15, making it the fourth largest bank in the Bolivian financial system. It is important to note that in September, BCP Bolivia placed its second issuance of Subordinated Bonds in the local capitals market for a total of S/. 64.4 million. These funds will be used to support loan growth.</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ASB </w:t>
      </w:r>
      <w:r>
        <w:rPr>
          <w:rFonts w:ascii="Arial" w:cs="Arial" w:eastAsia="Arial" w:hAnsi="Arial"/>
          <w:sz w:val="18"/>
          <w:szCs w:val="18"/>
          <w:color w:val="auto"/>
        </w:rPr>
        <w:t>reported a contribution of S/. 83.9 million to Credicorp in 3Q15, which includes a non-recurring income of S/. 58.9 million (US$ 18.3 million)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sale of a fund. ASB recurring contribution is S/. 8.8 million, -71% lower QoQ due mainly to a loss for lower mark-to-market of investments portfolios. The aforementioned translated into an ROAE and a recurring ROAE of 42.8% and 5.8%.</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Grupo Pacífico </w:t>
      </w:r>
      <w:r>
        <w:rPr>
          <w:rFonts w:ascii="Arial" w:cs="Arial" w:eastAsia="Arial" w:hAnsi="Arial"/>
          <w:sz w:val="18"/>
          <w:szCs w:val="18"/>
          <w:color w:val="auto"/>
        </w:rPr>
        <w:t>reported a contribution of S/. 48.5 million in 3Q15, which represented a decrease of +26.6% QoQ. This was due to a net loss on sale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in line with lower mark to market level. The aforementioned offset the improvement in the underwriting result, which was due to a decrease in the acquisition cost, mainly in P&amp;C, and to an increase in net earned premiums in life insurance business. It is important to note that there was noteworthy growth in written premiums in the life insurance business due to higher premium turnover in the annuities line; nevertheless, due to the nature of this business (more reserves when a new client is registered with Grupo Pacifico), net earned premiums did not grow at the same rate. The aforementioned translated into an ROAE of 10.5% at the end of 3Q15.</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3Q15, </w:t>
      </w:r>
      <w:r>
        <w:rPr>
          <w:rFonts w:ascii="Arial" w:cs="Arial" w:eastAsia="Arial" w:hAnsi="Arial"/>
          <w:sz w:val="18"/>
          <w:szCs w:val="18"/>
          <w:b w:val="1"/>
          <w:bCs w:val="1"/>
          <w:i w:val="1"/>
          <w:iCs w:val="1"/>
          <w:color w:val="auto"/>
        </w:rPr>
        <w:t>Prima AFP’s</w:t>
      </w:r>
      <w:r>
        <w:rPr>
          <w:rFonts w:ascii="Arial" w:cs="Arial" w:eastAsia="Arial" w:hAnsi="Arial"/>
          <w:sz w:val="18"/>
          <w:szCs w:val="18"/>
          <w:color w:val="auto"/>
        </w:rPr>
        <w:t xml:space="preserve"> contribution to Credicorp was S/. 40.1 million, which represented a decrease of -7.5% QoQ and an increase of +7.3% YoY. The aforementioned translated into an ROAE of 30.8% for the quarter. It is important to note that operating income grew +2.8% QoQ due to lower administrative and sales expenses (-6.5% QoQ), which was in line with a decrease in expenditures for the sales force and for marketing. In this context, the efficiency ratio for 3Q15 was 41.1%, which fell below 2Q15’s level (44%). The funds under management at Prima AFP totaled S/. 36,847 million, which represented a 31.8% share of the system’s total funds.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Credicorp Capital </w:t>
      </w:r>
      <w:r>
        <w:rPr>
          <w:rFonts w:ascii="Arial" w:cs="Arial" w:eastAsia="Arial" w:hAnsi="Arial"/>
          <w:sz w:val="16"/>
          <w:szCs w:val="16"/>
          <w:color w:val="auto"/>
        </w:rPr>
        <w:t>registered a contribution of S/. 10.8 million (-35.5% QoQ). It is important to note that Credicorp Capital’s non-financial income in the third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quarter of the year totaled S/. 106.2 million, which represented a decline of -10.1% QoQ. The good evolution of net gains on foreign exchange transactions was not enough to offset a decrease in net gains on sales of securities and moreover, lower fee income QoQ. The aforementioned reflects adverse market conditions and lower volumes of transactions in the Asset Management business QoQ. Additionally, the relative devaluation of currencies in Colombia and Chile with regard to the Nuevo Sol affected the income level at these subsidiaries when results were translated into Nuevos Soles.</w:t>
      </w:r>
    </w:p>
    <w:p>
      <w:pPr>
        <w:spacing w:after="0" w:line="367"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Interest-earning assets (IEA)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IEA grew +7.3% QoQ due primarily to +5.2% QoQ expansion in loans, the most profitable assets, followed by an increase in funds in BCRP and other banks and investments, mainly securities available for sale.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19"/>
                <w:szCs w:val="19"/>
                <w:color w:val="auto"/>
              </w:rPr>
            </w:pPr>
          </w:p>
        </w:tc>
        <w:tc>
          <w:tcPr>
            <w:tcW w:w="4740" w:type="dxa"/>
            <w:vAlign w:val="bottom"/>
            <w:gridSpan w:val="3"/>
          </w:tcPr>
          <w:p>
            <w:pPr>
              <w:ind w:left="100"/>
              <w:spacing w:after="0"/>
              <w:rPr>
                <w:sz w:val="20"/>
                <w:szCs w:val="20"/>
                <w:color w:val="auto"/>
              </w:rPr>
            </w:pPr>
            <w:r>
              <w:rPr>
                <w:rFonts w:ascii="Arial" w:cs="Arial" w:eastAsia="Arial" w:hAnsi="Arial"/>
                <w:sz w:val="18"/>
                <w:szCs w:val="18"/>
                <w:b w:val="1"/>
                <w:bCs w:val="1"/>
                <w:color w:val="auto"/>
              </w:rPr>
              <w:t>Interest earning assets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Quarter</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ind w:left="660"/>
              <w:spacing w:after="0"/>
              <w:rPr>
                <w:sz w:val="20"/>
                <w:szCs w:val="20"/>
                <w:color w:val="auto"/>
              </w:rPr>
            </w:pPr>
            <w:r>
              <w:rPr>
                <w:rFonts w:ascii="Arial" w:cs="Arial" w:eastAsia="Arial" w:hAnsi="Arial"/>
                <w:sz w:val="18"/>
                <w:szCs w:val="18"/>
                <w:b w:val="1"/>
                <w:bCs w:val="1"/>
                <w:color w:val="auto"/>
                <w:w w:val="92"/>
              </w:rPr>
              <w:t>% change</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3Q14</w:t>
            </w:r>
          </w:p>
        </w:tc>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2Q15</w:t>
            </w:r>
          </w:p>
        </w:tc>
        <w:tc>
          <w:tcPr>
            <w:tcW w:w="1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3Q15</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BCRP and other banks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20,142,386</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24,746,182</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27,845,763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16"/>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550,548</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42,846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109,592</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155.8%</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-80.1%</w:t>
            </w:r>
          </w:p>
        </w:tc>
      </w:tr>
      <w:tr>
        <w:trPr>
          <w:trHeight w:val="216"/>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3,259,704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2,130,997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2,608,267</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22.4%</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Investments available for sale</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18,009,519</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17,772,153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19,152,136</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held to maturity</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2,122,790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2,970,260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3,161,475</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30"/>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75,680,558</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83,503,213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87,842,690</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16.1%</w:t>
            </w:r>
          </w:p>
        </w:tc>
      </w:tr>
      <w:tr>
        <w:trPr>
          <w:trHeight w:val="210"/>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119,765,505</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131,165,651</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140,719,923</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b w:val="1"/>
                <w:bCs w:val="1"/>
                <w:color w:val="auto"/>
                <w:w w:val="79"/>
              </w:rPr>
              <w:t>7.3</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426"/>
        </w:trPr>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1.1</w:t>
            </w:r>
          </w:p>
        </w:tc>
        <w:tc>
          <w:tcPr>
            <w:tcW w:w="100" w:type="dxa"/>
            <w:vAlign w:val="bottom"/>
          </w:tcPr>
          <w:p>
            <w:pPr>
              <w:spacing w:after="0"/>
              <w:rPr>
                <w:sz w:val="24"/>
                <w:szCs w:val="24"/>
                <w:color w:val="auto"/>
              </w:rPr>
            </w:pPr>
          </w:p>
        </w:tc>
        <w:tc>
          <w:tcPr>
            <w:tcW w:w="4640" w:type="dxa"/>
            <w:vAlign w:val="bottom"/>
            <w:gridSpan w:val="2"/>
          </w:tcPr>
          <w:p>
            <w:pPr>
              <w:ind w:left="200"/>
              <w:spacing w:after="0"/>
              <w:rPr>
                <w:sz w:val="20"/>
                <w:szCs w:val="20"/>
                <w:color w:val="auto"/>
              </w:rPr>
            </w:pPr>
            <w:r>
              <w:rPr>
                <w:rFonts w:ascii="Arial" w:cs="Arial" w:eastAsia="Arial" w:hAnsi="Arial"/>
                <w:sz w:val="18"/>
                <w:szCs w:val="18"/>
                <w:b w:val="1"/>
                <w:bCs w:val="1"/>
                <w:color w:val="auto"/>
              </w:rPr>
              <w:t>Evolution of IEA</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Growth of +7.3% QoQ in IEA was due primarily to growth in </w:t>
      </w:r>
      <w:r>
        <w:rPr>
          <w:rFonts w:ascii="Arial" w:cs="Arial" w:eastAsia="Arial" w:hAnsi="Arial"/>
          <w:sz w:val="18"/>
          <w:szCs w:val="18"/>
          <w:b w:val="1"/>
          <w:bCs w:val="1"/>
          <w:color w:val="auto"/>
        </w:rPr>
        <w:t>total loans</w:t>
      </w:r>
      <w:r>
        <w:rPr>
          <w:rFonts w:ascii="Arial" w:cs="Arial" w:eastAsia="Arial" w:hAnsi="Arial"/>
          <w:sz w:val="18"/>
          <w:szCs w:val="18"/>
          <w:color w:val="auto"/>
        </w:rPr>
        <w:t xml:space="preserve"> at Credicorp, which increased +5.2% QoQ and +16.1% YoY in quarter-end balances due to the expansion of both Wholesale Banking and Retail Banking portfolios . It is important to note that for the latter, the second half of each year tends to be more dynamic in terms of loan expansion, particularly due to the year-end financing campaigns.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average daily balances, the indicator that is most closely related to net interest income generation, loans, increased +3.3% QoQ and +16.8% YoY. It is important to note that Wholesale Banking once again registered the highest growth rate while Retail Banking reported a QoQ increase that was slightly higher than that posted in 2Q15. In terms of real growth, average daily balances expanded +2.6% QoQ and +11.9% YoY, which will be discussed later in the report.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quarterly growth rate in quarter-end balances (+5.2% QoQ) vs. average daily balances (+3.3% QoQ) reflects a difference that was attributable to loan disbursements towards the end of the quarter, which had a less significant impact on average daily balances in 3Q15.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figures provide information on the main factors that drove QoQ and YoY expansion in average daily balances of loans: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loan growth contribution QoQ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142875</wp:posOffset>
            </wp:positionV>
            <wp:extent cx="5402580" cy="1920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2580"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Loan growth contribution YoY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142875</wp:posOffset>
            </wp:positionV>
            <wp:extent cx="5402580" cy="1920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02580"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is evident in the figure above, in 3Q15 22.3% of the nominal QoQ growth in average daily balances was attributable to the effect of appreciation of the US Dollar against the Nuevo Sol (+1.42% in 3Q15) in the loan portfolio denominated in FC, which represented 42% of total loans at the end of 3Q15. In this context, average daily balances expanded +2.6% QoQ in real terms.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 overall analysis of average daily balances shows that:</w:t>
      </w:r>
    </w:p>
    <w:p>
      <w:pPr>
        <w:spacing w:after="0" w:line="225" w:lineRule="exact"/>
        <w:rPr>
          <w:sz w:val="20"/>
          <w:szCs w:val="20"/>
          <w:color w:val="auto"/>
        </w:rPr>
      </w:pPr>
    </w:p>
    <w:p>
      <w:pPr>
        <w:ind w:left="760" w:hanging="509"/>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Wholesale Banking once again led loan growth and drove 38.3% of the total expansion registered in 3Q15. Middle-Market Banking posted higher loan growth than Corporate Banking; this expansion was denominated primarily in LC.</w:t>
      </w:r>
    </w:p>
    <w:p>
      <w:pPr>
        <w:spacing w:after="0" w:line="170" w:lineRule="exact"/>
        <w:rPr>
          <w:rFonts w:ascii="Arial" w:cs="Arial" w:eastAsia="Arial" w:hAnsi="Arial"/>
          <w:sz w:val="18"/>
          <w:szCs w:val="18"/>
          <w:color w:val="auto"/>
        </w:rPr>
      </w:pPr>
    </w:p>
    <w:p>
      <w:pPr>
        <w:jc w:val="both"/>
        <w:ind w:left="760" w:hanging="509"/>
        <w:spacing w:after="0" w:line="26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Retail Banking originated 23.9% of total nominal loan growth, which was in line with increases in the SME-Business, SME-Pyme, Mortgage and Credit Card segments. The QoQ expansion in loans as measured in average daily balances was due to the fact that the year-end campaign has begun, which is in line with the increase in lending activity registered in the second semester every year.</w:t>
      </w:r>
    </w:p>
    <w:p>
      <w:pPr>
        <w:spacing w:after="0" w:line="181" w:lineRule="exact"/>
        <w:rPr>
          <w:rFonts w:ascii="Arial" w:cs="Arial" w:eastAsia="Arial" w:hAnsi="Arial"/>
          <w:sz w:val="18"/>
          <w:szCs w:val="18"/>
          <w:color w:val="auto"/>
        </w:rPr>
      </w:pPr>
    </w:p>
    <w:p>
      <w:pPr>
        <w:ind w:left="760" w:hanging="509"/>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On-going and solid growth in the portfolios held by ASB and BCP Bolivia generated 3.8% and 8.0%, respectively to the total QoQ increase.</w:t>
      </w:r>
    </w:p>
    <w:p>
      <w:pPr>
        <w:spacing w:after="0" w:line="236" w:lineRule="exact"/>
        <w:rPr>
          <w:rFonts w:ascii="Arial" w:cs="Arial" w:eastAsia="Arial" w:hAnsi="Arial"/>
          <w:sz w:val="17"/>
          <w:szCs w:val="17"/>
          <w:color w:val="auto"/>
        </w:rPr>
      </w:pPr>
    </w:p>
    <w:p>
      <w:pPr>
        <w:jc w:val="both"/>
        <w:ind w:left="760" w:hanging="509"/>
        <w:spacing w:after="0" w:line="26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Mibanco portfolio originated only 1.2% of the expansion QoQ due to the fact that it still reflects a slower pace of origination in a year where the focus has been on integrating and implementing Edyficar’s business model. It is important to note that the changes made to the origination model to improve portfolio quality constitute another reason why Mibanco’s loan growth remains low.</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The increase in EIA was also due to growth of +12.5% QoQ in </w:t>
      </w:r>
      <w:r>
        <w:rPr>
          <w:rFonts w:ascii="Arial" w:cs="Arial" w:eastAsia="Arial" w:hAnsi="Arial"/>
          <w:sz w:val="17"/>
          <w:szCs w:val="17"/>
          <w:b w:val="1"/>
          <w:bCs w:val="1"/>
          <w:color w:val="auto"/>
        </w:rPr>
        <w:t>BCRP and other Banks</w:t>
      </w:r>
      <w:r>
        <w:rPr>
          <w:rFonts w:ascii="Arial" w:cs="Arial" w:eastAsia="Arial" w:hAnsi="Arial"/>
          <w:sz w:val="17"/>
          <w:szCs w:val="17"/>
          <w:color w:val="auto"/>
        </w:rPr>
        <w:t>, in line with an increase in the use of BCRP instruments, in particular in repos for substitution and expansion. Under both schemes, repo transactions generate a restricted deposit in BCRP, which has accounted for an important part of IEA expansion. In the Credicorp’s case, these transactions were only conducted by BCP Stand-alone and Mibanco.</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Investments available for sale </w:t>
      </w:r>
      <w:r>
        <w:rPr>
          <w:rFonts w:ascii="Arial" w:cs="Arial" w:eastAsia="Arial" w:hAnsi="Arial"/>
          <w:sz w:val="18"/>
          <w:szCs w:val="18"/>
          <w:color w:val="auto"/>
        </w:rPr>
        <w:t>registered an increase of +7.8% QoQ that was attributable primarily to more investment in BCRP Certificates of Deposit, and</w:t>
      </w:r>
      <w:r>
        <w:rPr>
          <w:rFonts w:ascii="Arial" w:cs="Arial" w:eastAsia="Arial" w:hAnsi="Arial"/>
          <w:sz w:val="18"/>
          <w:szCs w:val="18"/>
          <w:b w:val="1"/>
          <w:bCs w:val="1"/>
          <w:color w:val="auto"/>
        </w:rPr>
        <w:t xml:space="preserve"> </w:t>
      </w:r>
      <w:r>
        <w:rPr>
          <w:rFonts w:ascii="Arial" w:cs="Arial" w:eastAsia="Arial" w:hAnsi="Arial"/>
          <w:sz w:val="18"/>
          <w:szCs w:val="18"/>
          <w:color w:val="auto"/>
        </w:rPr>
        <w:t>an increase in BCP’s acquisition of Government Bonds. It is important to note that BCRP’s CDs have been used, in part, in REPO transactions with BCRP, which are a low-cost funding source for BCP as will be described later in this report. These repo transactions generate a restricted deposit in BCRP, which is also considered an IEA.</w:t>
      </w:r>
    </w:p>
    <w:p>
      <w:pPr>
        <w:spacing w:after="0" w:line="393"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both"/>
        <w:spacing w:after="0" w:line="282" w:lineRule="auto"/>
        <w:rPr>
          <w:sz w:val="20"/>
          <w:szCs w:val="20"/>
          <w:color w:val="auto"/>
        </w:rPr>
      </w:pPr>
      <w:r>
        <w:rPr>
          <w:rFonts w:ascii="Arial" w:cs="Arial" w:eastAsia="Arial" w:hAnsi="Arial"/>
          <w:sz w:val="18"/>
          <w:szCs w:val="18"/>
          <w:b w:val="1"/>
          <w:bCs w:val="1"/>
          <w:color w:val="auto"/>
        </w:rPr>
        <w:t xml:space="preserve">Investments held-to-maturity </w:t>
      </w:r>
      <w:r>
        <w:rPr>
          <w:rFonts w:ascii="Arial" w:cs="Arial" w:eastAsia="Arial" w:hAnsi="Arial"/>
          <w:sz w:val="18"/>
          <w:szCs w:val="18"/>
          <w:color w:val="auto"/>
        </w:rPr>
        <w:t>grew +6.4% QoQ due to an increase in the position held in Peruvian Government Bonds. It is important to note that these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were conducted primarily by BCP.</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Trading securities </w:t>
      </w:r>
      <w:r>
        <w:rPr>
          <w:rFonts w:ascii="Arial" w:cs="Arial" w:eastAsia="Arial" w:hAnsi="Arial"/>
          <w:sz w:val="18"/>
          <w:szCs w:val="18"/>
          <w:color w:val="auto"/>
        </w:rPr>
        <w:t>increased considerably (+22.4% QoQ), which was primarily due to more investment in BCRP Certificates of Deposit, which offered</w:t>
      </w:r>
      <w:r>
        <w:rPr>
          <w:rFonts w:ascii="Arial" w:cs="Arial" w:eastAsia="Arial" w:hAnsi="Arial"/>
          <w:sz w:val="18"/>
          <w:szCs w:val="18"/>
          <w:b w:val="1"/>
          <w:bCs w:val="1"/>
          <w:color w:val="auto"/>
        </w:rPr>
        <w:t xml:space="preserve"> </w:t>
      </w:r>
      <w:r>
        <w:rPr>
          <w:rFonts w:ascii="Arial" w:cs="Arial" w:eastAsia="Arial" w:hAnsi="Arial"/>
          <w:sz w:val="18"/>
          <w:szCs w:val="18"/>
          <w:color w:val="auto"/>
        </w:rPr>
        <w:t>better returns and higher variations in 3Q15. It is important to note that the result was attributable to several investment transactions at Credicorp’s subsidiaries:</w:t>
      </w:r>
    </w:p>
    <w:p>
      <w:pPr>
        <w:spacing w:after="0" w:line="180" w:lineRule="exact"/>
        <w:rPr>
          <w:sz w:val="20"/>
          <w:szCs w:val="20"/>
          <w:color w:val="auto"/>
        </w:rPr>
      </w:pPr>
    </w:p>
    <w:p>
      <w:pPr>
        <w:ind w:left="760" w:hanging="509"/>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BCP registered an increase given that it purchased bonds issued by the Mexican and Colombian governments during the quarter.</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Mibanco subsidiary made more investments in Sovereign Bonds from the Ministry of Economy and Finance (Peru).</w:t>
      </w:r>
    </w:p>
    <w:p>
      <w:pPr>
        <w:spacing w:after="0" w:line="225" w:lineRule="exact"/>
        <w:rPr>
          <w:rFonts w:ascii="Arial" w:cs="Arial" w:eastAsia="Arial" w:hAnsi="Arial"/>
          <w:sz w:val="18"/>
          <w:szCs w:val="18"/>
          <w:color w:val="auto"/>
        </w:rPr>
      </w:pPr>
    </w:p>
    <w:p>
      <w:pPr>
        <w:ind w:left="760" w:right="20" w:hanging="509"/>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Credicorp Capital registered an increase due to portfolio turnover to high liquidity (equity) transactions and to a decrease in Repo transactions (Credicorp Capital Colombia).</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Loan Portfolio of Credicorp</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Credicorp’s loan portfolio reported an increase of +3.3% QoQ in average daily balances that was led by growth in BCP Stand-alone, which represents 83.5% of its portfolio. In the analysis by currency, it is evident that the LC portfolio is more dynamic. The YoY analysis, which registers an increase of +16.8% in average daily balances, reflects the solid state of our banking business. In real terms, without including the exchange rate effect, Credicorp’s loans grew +2.6% QoQ and +11.9% YoY, in average daily balances.</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1.2.1</w:t>
      </w:r>
      <w:r>
        <w:rPr>
          <w:sz w:val="20"/>
          <w:szCs w:val="20"/>
          <w:color w:val="auto"/>
        </w:rPr>
        <w:tab/>
      </w:r>
      <w:r>
        <w:rPr>
          <w:rFonts w:ascii="Arial" w:cs="Arial" w:eastAsia="Arial" w:hAnsi="Arial"/>
          <w:sz w:val="16"/>
          <w:szCs w:val="16"/>
          <w:i w:val="1"/>
          <w:iCs w:val="1"/>
          <w:color w:val="auto"/>
        </w:rPr>
        <w:t>Loan evolution by segment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evolution measured in average daily balances by segment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9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5"/>
              </w:rPr>
              <w:t>TOTAL LOANS, in average daily balances</w:t>
            </w:r>
          </w:p>
        </w:tc>
        <w:tc>
          <w:tcPr>
            <w:tcW w:w="56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 nominal</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 real change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 Part. in Total loans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980" w:type="dxa"/>
            <w:vAlign w:val="bottom"/>
            <w:gridSpan w:val="6"/>
          </w:tcPr>
          <w:p>
            <w:pPr>
              <w:jc w:val="center"/>
              <w:ind w:right="200"/>
              <w:spacing w:after="0"/>
              <w:rPr>
                <w:sz w:val="20"/>
                <w:szCs w:val="20"/>
                <w:color w:val="auto"/>
              </w:rPr>
            </w:pPr>
            <w:r>
              <w:rPr>
                <w:rFonts w:ascii="Arial" w:cs="Arial" w:eastAsia="Arial" w:hAnsi="Arial"/>
                <w:sz w:val="14"/>
                <w:szCs w:val="14"/>
                <w:i w:val="1"/>
                <w:iCs w:val="1"/>
                <w:color w:val="auto"/>
                <w:w w:val="92"/>
              </w:rPr>
              <w:t>Expressed in million Nuevos Soles</w:t>
            </w:r>
          </w:p>
        </w:tc>
        <w:tc>
          <w:tcPr>
            <w:tcW w:w="56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change</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3Q14</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2Q15</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3Q15</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92"/>
              </w:rPr>
              <w:t>QoQ</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92"/>
              </w:rPr>
              <w:t>QoQ</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95"/>
              </w:rPr>
              <w:t>YoY</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3T14</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3T15</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BCP Stand-alone</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62,139</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70,509</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72,783</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3.2%</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17.1%</w:t>
            </w:r>
          </w:p>
        </w:tc>
        <w:tc>
          <w:tcPr>
            <w:tcW w:w="5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3.3%</w:t>
            </w: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w w:val="95"/>
              </w:rPr>
              <w:t>13.3%</w:t>
            </w:r>
          </w:p>
        </w:tc>
        <w:tc>
          <w:tcPr>
            <w:tcW w:w="10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83.2%</w:t>
            </w:r>
          </w:p>
        </w:tc>
        <w:tc>
          <w:tcPr>
            <w:tcW w:w="9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Wholesale Banking</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32,704</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38,081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39,405</w:t>
            </w:r>
          </w:p>
        </w:tc>
        <w:tc>
          <w:tcPr>
            <w:tcW w:w="56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20.5%</w:t>
            </w:r>
          </w:p>
        </w:tc>
        <w:tc>
          <w:tcPr>
            <w:tcW w:w="56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2.8%</w:t>
            </w:r>
          </w:p>
        </w:tc>
        <w:tc>
          <w:tcPr>
            <w:tcW w:w="54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5"/>
              </w:rPr>
              <w:t>14.0%</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43.8%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Corporate</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20,729</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25,236</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25,867</w:t>
            </w:r>
          </w:p>
        </w:tc>
        <w:tc>
          <w:tcPr>
            <w:tcW w:w="5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24.8%</w:t>
            </w:r>
          </w:p>
        </w:tc>
        <w:tc>
          <w:tcPr>
            <w:tcW w:w="5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5"/>
              </w:rPr>
              <w:t>18.1%</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27.8%</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20"/>
              <w:spacing w:after="0" w:line="149" w:lineRule="exact"/>
              <w:rPr>
                <w:sz w:val="20"/>
                <w:szCs w:val="20"/>
                <w:color w:val="auto"/>
              </w:rPr>
            </w:pPr>
            <w:r>
              <w:rPr>
                <w:rFonts w:ascii="Arial" w:cs="Arial" w:eastAsia="Arial" w:hAnsi="Arial"/>
                <w:sz w:val="14"/>
                <w:szCs w:val="14"/>
                <w:color w:val="auto"/>
              </w:rPr>
              <w:t>Middle - Market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11,975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12,845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13,538</w:t>
            </w:r>
          </w:p>
        </w:tc>
        <w:tc>
          <w:tcPr>
            <w:tcW w:w="5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13.1%</w:t>
            </w:r>
          </w:p>
        </w:tc>
        <w:tc>
          <w:tcPr>
            <w:tcW w:w="5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w:t>
            </w:r>
          </w:p>
        </w:tc>
        <w:tc>
          <w:tcPr>
            <w:tcW w:w="54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16.0%</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Retail Banking</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28,988</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31,900</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32,811</w:t>
            </w:r>
          </w:p>
        </w:tc>
        <w:tc>
          <w:tcPr>
            <w:tcW w:w="5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2.9%</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13.2%</w:t>
            </w:r>
          </w:p>
        </w:tc>
        <w:tc>
          <w:tcPr>
            <w:tcW w:w="5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3.8%</w:t>
            </w: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5"/>
              </w:rPr>
              <w:t>12.5%</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38.8%</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20"/>
              <w:spacing w:after="0" w:line="149" w:lineRule="exact"/>
              <w:rPr>
                <w:sz w:val="20"/>
                <w:szCs w:val="20"/>
                <w:color w:val="auto"/>
              </w:rPr>
            </w:pPr>
            <w:r>
              <w:rPr>
                <w:rFonts w:ascii="Arial" w:cs="Arial" w:eastAsia="Arial" w:hAnsi="Arial"/>
                <w:sz w:val="14"/>
                <w:szCs w:val="14"/>
                <w:color w:val="auto"/>
              </w:rPr>
              <w:t>SME - Business</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2,780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3,408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3,718</w:t>
            </w:r>
          </w:p>
        </w:tc>
        <w:tc>
          <w:tcPr>
            <w:tcW w:w="5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9.1%</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33.7%</w:t>
            </w:r>
          </w:p>
        </w:tc>
        <w:tc>
          <w:tcPr>
            <w:tcW w:w="5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w:t>
            </w:r>
          </w:p>
        </w:tc>
        <w:tc>
          <w:tcPr>
            <w:tcW w:w="54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5"/>
              </w:rPr>
              <w:t>30.2%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SME - Pyme</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6,911</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6,865</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7,102</w:t>
            </w:r>
          </w:p>
        </w:tc>
        <w:tc>
          <w:tcPr>
            <w:tcW w:w="5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5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1.1%</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20"/>
              <w:spacing w:after="0" w:line="149" w:lineRule="exact"/>
              <w:rPr>
                <w:sz w:val="20"/>
                <w:szCs w:val="20"/>
                <w:color w:val="auto"/>
              </w:rPr>
            </w:pPr>
            <w:r>
              <w:rPr>
                <w:rFonts w:ascii="Arial" w:cs="Arial" w:eastAsia="Arial" w:hAnsi="Arial"/>
                <w:sz w:val="14"/>
                <w:szCs w:val="14"/>
                <w:color w:val="auto"/>
              </w:rPr>
              <w:t>Mortgage</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10,555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11,625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11,819</w:t>
            </w:r>
          </w:p>
        </w:tc>
        <w:tc>
          <w:tcPr>
            <w:tcW w:w="5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12.0%</w:t>
            </w:r>
          </w:p>
        </w:tc>
        <w:tc>
          <w:tcPr>
            <w:tcW w:w="5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54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Consumer</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5,737</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6,258</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6,247</w:t>
            </w:r>
          </w:p>
        </w:tc>
        <w:tc>
          <w:tcPr>
            <w:tcW w:w="5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-0.2%</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5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-0.4%</w:t>
            </w: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6.9%</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20"/>
              <w:spacing w:after="0" w:line="149" w:lineRule="exact"/>
              <w:rPr>
                <w:sz w:val="20"/>
                <w:szCs w:val="20"/>
                <w:color w:val="auto"/>
              </w:rPr>
            </w:pPr>
            <w:r>
              <w:rPr>
                <w:rFonts w:ascii="Arial" w:cs="Arial" w:eastAsia="Arial" w:hAnsi="Arial"/>
                <w:sz w:val="14"/>
                <w:szCs w:val="14"/>
                <w:color w:val="auto"/>
              </w:rPr>
              <w:t>Credit Card</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3,006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3,744</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3,925</w:t>
            </w:r>
          </w:p>
        </w:tc>
        <w:tc>
          <w:tcPr>
            <w:tcW w:w="5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30.6%</w:t>
            </w:r>
          </w:p>
        </w:tc>
        <w:tc>
          <w:tcPr>
            <w:tcW w:w="5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w:t>
            </w:r>
          </w:p>
        </w:tc>
        <w:tc>
          <w:tcPr>
            <w:tcW w:w="54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5"/>
              </w:rPr>
              <w:t>29.2%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b w:val="1"/>
                <w:bCs w:val="1"/>
                <w:color w:val="auto"/>
              </w:rPr>
              <w:t xml:space="preserve">Others </w:t>
            </w:r>
            <w:r>
              <w:rPr>
                <w:rFonts w:ascii="Arial" w:cs="Arial" w:eastAsia="Arial" w:hAnsi="Arial"/>
                <w:sz w:val="21"/>
                <w:szCs w:val="21"/>
                <w:b w:val="1"/>
                <w:bCs w:val="1"/>
                <w:color w:val="auto"/>
                <w:vertAlign w:val="superscript"/>
              </w:rPr>
              <w:t>(1)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447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528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567</w:t>
            </w:r>
          </w:p>
        </w:tc>
        <w:tc>
          <w:tcPr>
            <w:tcW w:w="5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7.4%</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26.8%</w:t>
            </w:r>
          </w:p>
        </w:tc>
        <w:tc>
          <w:tcPr>
            <w:tcW w:w="5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6.4%</w:t>
            </w:r>
          </w:p>
        </w:tc>
        <w:tc>
          <w:tcPr>
            <w:tcW w:w="5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5"/>
              </w:rPr>
              <w:t>17.5%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3"/>
                <w:szCs w:val="13"/>
                <w:b w:val="1"/>
                <w:bCs w:val="1"/>
                <w:color w:val="auto"/>
              </w:rPr>
              <w:t xml:space="preserve">Mibanco </w:t>
            </w:r>
            <w:r>
              <w:rPr>
                <w:rFonts w:ascii="Arial" w:cs="Arial" w:eastAsia="Arial" w:hAnsi="Arial"/>
                <w:sz w:val="21"/>
                <w:szCs w:val="21"/>
                <w:b w:val="1"/>
                <w:bCs w:val="1"/>
                <w:color w:val="auto"/>
                <w:vertAlign w:val="superscript"/>
              </w:rPr>
              <w:t>(2)</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7,225</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7,353</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7,463</w:t>
            </w:r>
          </w:p>
        </w:tc>
        <w:tc>
          <w:tcPr>
            <w:tcW w:w="560" w:type="dxa"/>
            <w:vAlign w:val="bottom"/>
          </w:tcPr>
          <w:p>
            <w:pPr>
              <w:spacing w:after="0"/>
              <w:rPr>
                <w:sz w:val="16"/>
                <w:szCs w:val="16"/>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3.3%</w:t>
            </w:r>
          </w:p>
        </w:tc>
        <w:tc>
          <w:tcPr>
            <w:tcW w:w="560" w:type="dxa"/>
            <w:vAlign w:val="bottom"/>
          </w:tcPr>
          <w:p>
            <w:pPr>
              <w:spacing w:after="0"/>
              <w:rPr>
                <w:sz w:val="16"/>
                <w:szCs w:val="16"/>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1.4%</w:t>
            </w:r>
          </w:p>
        </w:tc>
        <w:tc>
          <w:tcPr>
            <w:tcW w:w="54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2.4%</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9.7%</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Bolivia</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3,168</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3,806</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4,078</w:t>
            </w:r>
          </w:p>
        </w:tc>
        <w:tc>
          <w:tcPr>
            <w:tcW w:w="5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7.1%</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28.7%</w:t>
            </w:r>
          </w:p>
        </w:tc>
        <w:tc>
          <w:tcPr>
            <w:tcW w:w="5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5.9%</w:t>
            </w: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5"/>
              </w:rPr>
              <w:t>15.7%</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4.2%</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Pr>
          <w:p>
            <w:pPr>
              <w:spacing w:after="0" w:line="202" w:lineRule="exact"/>
              <w:rPr>
                <w:sz w:val="20"/>
                <w:szCs w:val="20"/>
                <w:color w:val="auto"/>
              </w:rPr>
            </w:pPr>
            <w:r>
              <w:rPr>
                <w:rFonts w:ascii="Arial" w:cs="Arial" w:eastAsia="Arial" w:hAnsi="Arial"/>
                <w:sz w:val="14"/>
                <w:szCs w:val="14"/>
                <w:b w:val="1"/>
                <w:bCs w:val="1"/>
                <w:color w:val="auto"/>
              </w:rPr>
              <w:t>ASB</w:t>
            </w:r>
            <w:r>
              <w:rPr>
                <w:rFonts w:ascii="Arial" w:cs="Arial" w:eastAsia="Arial" w:hAnsi="Arial"/>
                <w:sz w:val="23"/>
                <w:szCs w:val="23"/>
                <w:b w:val="1"/>
                <w:bCs w:val="1"/>
                <w:color w:val="auto"/>
                <w:vertAlign w:val="superscript"/>
              </w:rPr>
              <w:t>(3)</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2,144</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2,732</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2,873</w:t>
            </w:r>
          </w:p>
        </w:tc>
        <w:tc>
          <w:tcPr>
            <w:tcW w:w="56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5.2%</w:t>
            </w:r>
          </w:p>
        </w:tc>
        <w:tc>
          <w:tcPr>
            <w:tcW w:w="2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34.0%</w:t>
            </w:r>
          </w:p>
        </w:tc>
        <w:tc>
          <w:tcPr>
            <w:tcW w:w="56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3.2%</w:t>
            </w:r>
          </w:p>
        </w:tc>
        <w:tc>
          <w:tcPr>
            <w:tcW w:w="54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20.4%</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2.9%</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4"/>
                <w:szCs w:val="14"/>
                <w:b w:val="1"/>
                <w:bCs w:val="1"/>
                <w:color w:val="auto"/>
              </w:rPr>
              <w:t>Total loans</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74,677</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84,399</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87,198</w:t>
            </w:r>
          </w:p>
        </w:tc>
        <w:tc>
          <w:tcPr>
            <w:tcW w:w="56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16.8%</w:t>
            </w:r>
          </w:p>
        </w:tc>
        <w:tc>
          <w:tcPr>
            <w:tcW w:w="56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2.6%</w:t>
            </w:r>
          </w:p>
        </w:tc>
        <w:tc>
          <w:tcPr>
            <w:tcW w:w="54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11.9%</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100.0%</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-8890</wp:posOffset>
            </wp:positionV>
            <wp:extent cx="5702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 consolidation purposes, loans generated in FC are converted to LC.</w:t>
      </w:r>
    </w:p>
    <w:p>
      <w:pPr>
        <w:spacing w:after="0" w:line="7"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Work out unit, and other banking.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Edyficar and Mibanco.</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2Q15 figure differs from the one reported last quarter. Please consider this report's figure.</w:t>
      </w:r>
    </w:p>
    <w:p>
      <w:pPr>
        <w:spacing w:after="0" w:line="20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BCP Individual </w:t>
      </w:r>
      <w:r>
        <w:rPr>
          <w:rFonts w:ascii="Arial" w:cs="Arial" w:eastAsia="Arial" w:hAnsi="Arial"/>
          <w:sz w:val="16"/>
          <w:szCs w:val="16"/>
          <w:color w:val="auto"/>
        </w:rPr>
        <w:t>reported loan book growth of +3.2% QoQ, which was attributable to Wholesale Banking and Retail Banking loan expansion of +3.5% QoQ</w:t>
      </w:r>
      <w:r>
        <w:rPr>
          <w:rFonts w:ascii="Arial" w:cs="Arial" w:eastAsia="Arial" w:hAnsi="Arial"/>
          <w:sz w:val="16"/>
          <w:szCs w:val="16"/>
          <w:b w:val="1"/>
          <w:bCs w:val="1"/>
          <w:color w:val="auto"/>
        </w:rPr>
        <w:t xml:space="preserve"> </w:t>
      </w:r>
      <w:r>
        <w:rPr>
          <w:rFonts w:ascii="Arial" w:cs="Arial" w:eastAsia="Arial" w:hAnsi="Arial"/>
          <w:sz w:val="16"/>
          <w:szCs w:val="16"/>
          <w:color w:val="auto"/>
        </w:rPr>
        <w:t>and +2.9% QoQ, respectively. In the latter, it is important to mention the improved pace in the SME-Pyme, Credit Card and SME-Business portfolios. In real terms, Wholesale Banking posted an increase of +2.8% QoQ and +14% YoY while Retail Banking reported growth of +3.8% QoQ and +12.5% YoY.</w:t>
      </w:r>
    </w:p>
    <w:p>
      <w:pPr>
        <w:spacing w:after="0" w:line="355"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Expansion in BCP Stand-alone’s Wholesale Banking portfolio was due to:</w:t>
      </w:r>
    </w:p>
    <w:p>
      <w:pPr>
        <w:spacing w:after="0" w:line="221" w:lineRule="exact"/>
        <w:rPr>
          <w:sz w:val="20"/>
          <w:szCs w:val="20"/>
          <w:color w:val="auto"/>
        </w:rPr>
      </w:pPr>
    </w:p>
    <w:p>
      <w:pPr>
        <w:ind w:left="760" w:hanging="509"/>
        <w:spacing w:after="0" w:line="313" w:lineRule="auto"/>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excellent evolution of </w:t>
      </w:r>
      <w:r>
        <w:rPr>
          <w:rFonts w:ascii="Arial" w:cs="Arial" w:eastAsia="Arial" w:hAnsi="Arial"/>
          <w:sz w:val="17"/>
          <w:szCs w:val="17"/>
          <w:b w:val="1"/>
          <w:bCs w:val="1"/>
          <w:color w:val="auto"/>
        </w:rPr>
        <w:t>Middle-Market Banking,</w:t>
      </w:r>
      <w:r>
        <w:rPr>
          <w:rFonts w:ascii="Arial" w:cs="Arial" w:eastAsia="Arial" w:hAnsi="Arial"/>
          <w:sz w:val="17"/>
          <w:szCs w:val="17"/>
          <w:color w:val="auto"/>
        </w:rPr>
        <w:t xml:space="preserve"> due primarily to an increase in financing for working capital and in medium-long term loans, mainly in LC, which in turn led to portfolio growth of +20.8% QoQ. This offset the decrease in the FC portfolio (-6.8% QoQ); and</w:t>
      </w:r>
    </w:p>
    <w:p>
      <w:pPr>
        <w:spacing w:after="0" w:line="138" w:lineRule="exact"/>
        <w:rPr>
          <w:rFonts w:ascii="Arial" w:cs="Arial" w:eastAsia="Arial" w:hAnsi="Arial"/>
          <w:sz w:val="17"/>
          <w:szCs w:val="17"/>
          <w:color w:val="auto"/>
        </w:rPr>
      </w:pPr>
    </w:p>
    <w:p>
      <w:pPr>
        <w:ind w:left="760" w:hanging="509"/>
        <w:spacing w:after="0" w:line="282"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Growth of +2.5% QoQ in </w:t>
      </w:r>
      <w:r>
        <w:rPr>
          <w:rFonts w:ascii="Arial" w:cs="Arial" w:eastAsia="Arial" w:hAnsi="Arial"/>
          <w:sz w:val="18"/>
          <w:szCs w:val="18"/>
          <w:b w:val="1"/>
          <w:bCs w:val="1"/>
          <w:color w:val="auto"/>
        </w:rPr>
        <w:t>Corporate banking</w:t>
      </w:r>
      <w:r>
        <w:rPr>
          <w:rFonts w:ascii="Arial" w:cs="Arial" w:eastAsia="Arial" w:hAnsi="Arial"/>
          <w:sz w:val="18"/>
          <w:szCs w:val="18"/>
          <w:color w:val="auto"/>
        </w:rPr>
        <w:t xml:space="preserve"> loans, which was largely attributable to expansion in the LC portfolio (+12.1% QoQ) due to an increase in medium-long term loans that offset the drop in the FC portfolio (-6.7% QoQ).</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BCP Stand-alone’s Retail Banking portfolio posted growth of +2.9% QoQ. This was due primarily to expansion in LC loans (+5.2% QoQ), which grew in almost every segment. The analysis by business segment within Retail Banking shows that:</w:t>
      </w:r>
    </w:p>
    <w:p>
      <w:pPr>
        <w:spacing w:after="0" w:line="166" w:lineRule="exact"/>
        <w:rPr>
          <w:sz w:val="20"/>
          <w:szCs w:val="20"/>
          <w:color w:val="auto"/>
        </w:rPr>
      </w:pPr>
    </w:p>
    <w:p>
      <w:pPr>
        <w:jc w:val="both"/>
        <w:ind w:left="760" w:hanging="509"/>
        <w:spacing w:after="0" w:line="261"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Mortgages </w:t>
      </w:r>
      <w:r>
        <w:rPr>
          <w:rFonts w:ascii="Arial" w:cs="Arial" w:eastAsia="Arial" w:hAnsi="Arial"/>
          <w:sz w:val="18"/>
          <w:szCs w:val="18"/>
          <w:color w:val="auto"/>
        </w:rPr>
        <w:t>posted +1.7% growth QoQ that was attributable primarily to expansion in the LC portfolio (+5.8% QoQ), whose share of total</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Mortgages increased from 67.1% in 2Q15 to 69.8% in 3Q15. This was in line with the good results of the dedollarization program that was applied in this segment given that 100% of the disbursements generated this quarter were in LC. The FC portfolio fell -8.5% QoQ due to amortizations and pre-cancellations.</w:t>
      </w:r>
    </w:p>
    <w:p>
      <w:pPr>
        <w:spacing w:after="0" w:line="180" w:lineRule="exact"/>
        <w:rPr>
          <w:rFonts w:ascii="Arial" w:cs="Arial" w:eastAsia="Arial" w:hAnsi="Arial"/>
          <w:sz w:val="18"/>
          <w:szCs w:val="18"/>
          <w:color w:val="auto"/>
        </w:rPr>
      </w:pPr>
    </w:p>
    <w:p>
      <w:pPr>
        <w:jc w:val="both"/>
        <w:ind w:left="760" w:hanging="509"/>
        <w:spacing w:after="0" w:line="266"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Credit Card</w:t>
      </w:r>
      <w:r>
        <w:rPr>
          <w:rFonts w:ascii="Arial" w:cs="Arial" w:eastAsia="Arial" w:hAnsi="Arial"/>
          <w:sz w:val="18"/>
          <w:szCs w:val="18"/>
          <w:color w:val="auto"/>
        </w:rPr>
        <w:t xml:space="preserve"> segment expanded +4.8% QoQ. This was due primarily to an increase of +4.9% QoQ in the LC portfolio, which was accompanied by +2.0% QoQ growth in the FC portfolio. It is important to note that in this segment, FC loans are associated with US Dollar purchases outside of the country that are made by internet or during trips by clients that pay in full at the payment date.</w:t>
      </w:r>
    </w:p>
    <w:p>
      <w:pPr>
        <w:spacing w:after="0" w:line="176" w:lineRule="exact"/>
        <w:rPr>
          <w:rFonts w:ascii="Arial" w:cs="Arial" w:eastAsia="Arial" w:hAnsi="Arial"/>
          <w:sz w:val="18"/>
          <w:szCs w:val="18"/>
          <w:color w:val="auto"/>
        </w:rPr>
      </w:pPr>
    </w:p>
    <w:p>
      <w:pPr>
        <w:jc w:val="both"/>
        <w:ind w:left="760" w:hanging="509"/>
        <w:spacing w:after="0" w:line="266"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SME-Bussiness</w:t>
      </w:r>
      <w:r>
        <w:rPr>
          <w:rFonts w:ascii="Arial" w:cs="Arial" w:eastAsia="Arial" w:hAnsi="Arial"/>
          <w:sz w:val="18"/>
          <w:szCs w:val="18"/>
          <w:color w:val="auto"/>
        </w:rPr>
        <w:t xml:space="preserve"> segment posted a +9.1% increase QoQ that was led by growth in the LC portfolio (+20.5% QoQ), which was in line with efforts to de-dollarize this portfolio. In this context, FC loans expanded +0.1% QoQ. Growth this Q was associated with financing campaigns at year-end.</w:t>
      </w:r>
    </w:p>
    <w:p>
      <w:pPr>
        <w:spacing w:after="0" w:line="176" w:lineRule="exact"/>
        <w:rPr>
          <w:rFonts w:ascii="Arial" w:cs="Arial" w:eastAsia="Arial" w:hAnsi="Arial"/>
          <w:sz w:val="18"/>
          <w:szCs w:val="18"/>
          <w:color w:val="auto"/>
        </w:rPr>
      </w:pPr>
    </w:p>
    <w:p>
      <w:pPr>
        <w:jc w:val="both"/>
        <w:ind w:left="760" w:hanging="509"/>
        <w:spacing w:after="0" w:line="266"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SME</w:t>
      </w:r>
      <w:r>
        <w:rPr>
          <w:rFonts w:ascii="Arial" w:cs="Arial" w:eastAsia="Arial" w:hAnsi="Arial"/>
          <w:sz w:val="18"/>
          <w:szCs w:val="18"/>
          <w:color w:val="auto"/>
        </w:rPr>
        <w:t>-</w:t>
      </w:r>
      <w:r>
        <w:rPr>
          <w:rFonts w:ascii="Arial" w:cs="Arial" w:eastAsia="Arial" w:hAnsi="Arial"/>
          <w:sz w:val="18"/>
          <w:szCs w:val="18"/>
          <w:b w:val="1"/>
          <w:bCs w:val="1"/>
          <w:color w:val="auto"/>
        </w:rPr>
        <w:t>Pyme</w:t>
      </w:r>
      <w:r>
        <w:rPr>
          <w:rFonts w:ascii="Arial" w:cs="Arial" w:eastAsia="Arial" w:hAnsi="Arial"/>
          <w:sz w:val="18"/>
          <w:szCs w:val="18"/>
          <w:color w:val="auto"/>
        </w:rPr>
        <w:t xml:space="preserve"> posted growth of +3.5% QoQ that was due to an increase in the pace of origination that contrasted with the contraction seen in the portfolio in previous months after adjustments in risk models imposed more stringent guidelines. This situation accentuated in a scenario of low economic growth.</w:t>
      </w:r>
    </w:p>
    <w:p>
      <w:pPr>
        <w:spacing w:after="0" w:line="176" w:lineRule="exact"/>
        <w:rPr>
          <w:rFonts w:ascii="Arial" w:cs="Arial" w:eastAsia="Arial" w:hAnsi="Arial"/>
          <w:sz w:val="18"/>
          <w:szCs w:val="18"/>
          <w:color w:val="auto"/>
        </w:rPr>
      </w:pPr>
    </w:p>
    <w:p>
      <w:pPr>
        <w:ind w:left="760" w:hanging="509"/>
        <w:spacing w:after="0" w:line="282"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Consumer</w:t>
      </w:r>
      <w:r>
        <w:rPr>
          <w:rFonts w:ascii="Arial" w:cs="Arial" w:eastAsia="Arial" w:hAnsi="Arial"/>
          <w:sz w:val="18"/>
          <w:szCs w:val="18"/>
          <w:color w:val="auto"/>
        </w:rPr>
        <w:t xml:space="preserve"> segment fell slightly by -0.2% QoQ, which was due primarily to a decrease in the FC portfolio (-8.5% QoQ), which represented 18% of the total. This drop was offset by growth in the LC portfolio (+1.4% QoQ).</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BCP Bolivia </w:t>
      </w:r>
      <w:r>
        <w:rPr>
          <w:rFonts w:ascii="Arial" w:cs="Arial" w:eastAsia="Arial" w:hAnsi="Arial"/>
          <w:sz w:val="18"/>
          <w:szCs w:val="18"/>
          <w:color w:val="auto"/>
        </w:rPr>
        <w:t>continued to show good dynamism and reported loan growth of +7.1% QoQ in average daily balances, and +6.9% QoQ in quarter-end balances.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aforementioned is in line with expansion in the Wholesale Banking portfolio (+6.6% QoQ), which represents 44% of the total growth reported this quarter. This expansion was attributable primarily to an increase in Corporate Banking loans.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ASB </w:t>
      </w:r>
      <w:r>
        <w:rPr>
          <w:rFonts w:ascii="Arial" w:cs="Arial" w:eastAsia="Arial" w:hAnsi="Arial"/>
          <w:sz w:val="18"/>
          <w:szCs w:val="18"/>
          <w:color w:val="auto"/>
        </w:rPr>
        <w:t>registered growth of +5.2% QoQ in average daily balances and +0.2% in quarter-end balances. The difference in the previous figures was due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to full payments made at the end of the quarter and to the 1.42% QoQ appreciation in the US Dollar.</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Finally, </w:t>
      </w:r>
      <w:r>
        <w:rPr>
          <w:rFonts w:ascii="Arial" w:cs="Arial" w:eastAsia="Arial" w:hAnsi="Arial"/>
          <w:sz w:val="18"/>
          <w:szCs w:val="18"/>
          <w:b w:val="1"/>
          <w:bCs w:val="1"/>
          <w:color w:val="auto"/>
        </w:rPr>
        <w:t>Mibanco’s</w:t>
      </w:r>
      <w:r>
        <w:rPr>
          <w:rFonts w:ascii="Arial" w:cs="Arial" w:eastAsia="Arial" w:hAnsi="Arial"/>
          <w:sz w:val="18"/>
          <w:szCs w:val="18"/>
          <w:color w:val="auto"/>
        </w:rPr>
        <w:t xml:space="preserve"> loan book increased slightly QoQ (+1.5% measured in average daily balances). This shows the initial recovery in loan origination after the acquisition and the clean-up process that was put in place. Nevertheless, it is important to note that the pace at which Mibanco’s loan portfolio grows is still below this segment’s potential due primarily to the fact that origination is prioritizing portfolio quality rather than speeding up the pace of growth, considering the current macroeconomic environment.</w:t>
      </w:r>
    </w:p>
    <w:p>
      <w:pPr>
        <w:spacing w:after="0" w:line="393"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640" w:type="dxa"/>
            <w:vAlign w:val="bottom"/>
            <w:gridSpan w:val="2"/>
          </w:tcPr>
          <w:p>
            <w:pPr>
              <w:spacing w:after="0"/>
              <w:rPr>
                <w:sz w:val="20"/>
                <w:szCs w:val="20"/>
                <w:color w:val="auto"/>
              </w:rPr>
            </w:pPr>
            <w:r>
              <w:rPr>
                <w:rFonts w:ascii="Arial" w:cs="Arial" w:eastAsia="Arial" w:hAnsi="Arial"/>
                <w:sz w:val="18"/>
                <w:szCs w:val="18"/>
                <w:i w:val="1"/>
                <w:iCs w:val="1"/>
                <w:color w:val="auto"/>
              </w:rPr>
              <w:t>1.2.2</w:t>
            </w:r>
          </w:p>
        </w:tc>
        <w:tc>
          <w:tcPr>
            <w:tcW w:w="2000" w:type="dxa"/>
            <w:vAlign w:val="bottom"/>
            <w:gridSpan w:val="5"/>
          </w:tcPr>
          <w:p>
            <w:pPr>
              <w:ind w:left="20"/>
              <w:spacing w:after="0"/>
              <w:rPr>
                <w:sz w:val="20"/>
                <w:szCs w:val="20"/>
                <w:color w:val="auto"/>
              </w:rPr>
            </w:pPr>
            <w:r>
              <w:rPr>
                <w:rFonts w:ascii="Arial" w:cs="Arial" w:eastAsia="Arial" w:hAnsi="Arial"/>
                <w:sz w:val="18"/>
                <w:szCs w:val="18"/>
                <w:i w:val="1"/>
                <w:iCs w:val="1"/>
                <w:color w:val="auto"/>
                <w:w w:val="91"/>
              </w:rPr>
              <w:t>Loan evolution by currency</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0" w:type="dxa"/>
            <w:vAlign w:val="bottom"/>
            <w:gridSpan w:val="10"/>
          </w:tcPr>
          <w:p>
            <w:pPr>
              <w:ind w:left="260"/>
              <w:spacing w:after="0"/>
              <w:rPr>
                <w:sz w:val="20"/>
                <w:szCs w:val="20"/>
                <w:color w:val="auto"/>
              </w:rPr>
            </w:pPr>
            <w:r>
              <w:rPr>
                <w:rFonts w:ascii="Arial" w:cs="Arial" w:eastAsia="Arial" w:hAnsi="Arial"/>
                <w:sz w:val="18"/>
                <w:szCs w:val="18"/>
                <w:b w:val="1"/>
                <w:bCs w:val="1"/>
                <w:color w:val="auto"/>
                <w:w w:val="92"/>
              </w:rPr>
              <w:t>Loan evolution by currency - average daily balances</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DOMESTIC CURRENCY LOANS</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FOREIGN CURRENCY LOANS</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6"/>
              </w:rPr>
              <w:t>% Part. by currency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6"/>
          </w:tcPr>
          <w:p>
            <w:pPr>
              <w:jc w:val="right"/>
              <w:ind w:right="320"/>
              <w:spacing w:after="0"/>
              <w:rPr>
                <w:sz w:val="20"/>
                <w:szCs w:val="20"/>
                <w:color w:val="auto"/>
              </w:rPr>
            </w:pPr>
            <w:r>
              <w:rPr>
                <w:rFonts w:ascii="Arial" w:cs="Arial" w:eastAsia="Arial" w:hAnsi="Arial"/>
                <w:sz w:val="14"/>
                <w:szCs w:val="14"/>
                <w:i w:val="1"/>
                <w:iCs w:val="1"/>
                <w:color w:val="auto"/>
                <w:w w:val="97"/>
              </w:rPr>
              <w:t>(Expressed in million Nuevos Soles)</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6"/>
          </w:tcPr>
          <w:p>
            <w:pPr>
              <w:jc w:val="center"/>
              <w:ind w:right="240"/>
              <w:spacing w:after="0"/>
              <w:rPr>
                <w:sz w:val="20"/>
                <w:szCs w:val="20"/>
                <w:color w:val="auto"/>
              </w:rPr>
            </w:pPr>
            <w:r>
              <w:rPr>
                <w:rFonts w:ascii="Arial" w:cs="Arial" w:eastAsia="Arial" w:hAnsi="Arial"/>
                <w:sz w:val="14"/>
                <w:szCs w:val="14"/>
                <w:i w:val="1"/>
                <w:iCs w:val="1"/>
                <w:color w:val="auto"/>
                <w:w w:val="94"/>
              </w:rPr>
              <w:t>(Expressed in million USD)</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w w:val="99"/>
              </w:rPr>
              <w:t>3Q15</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3Q14</w:t>
            </w:r>
          </w:p>
        </w:tc>
        <w:tc>
          <w:tcPr>
            <w:tcW w:w="2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2Q15</w:t>
            </w: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3Q15</w:t>
            </w:r>
          </w:p>
        </w:tc>
        <w:tc>
          <w:tcPr>
            <w:tcW w:w="1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3Q14</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2Q15</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3Q15</w:t>
            </w:r>
          </w:p>
        </w:tc>
        <w:tc>
          <w:tcPr>
            <w:tcW w:w="2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LC</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FC</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8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BCP Stand-</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31,612</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40,017</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43,671</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9.1%</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38.1%</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10,345</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9,670</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9,053</w:t>
            </w: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-6.4%</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-12.5%</w:t>
            </w: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60.0%</w:t>
            </w:r>
          </w:p>
        </w:tc>
        <w:tc>
          <w:tcPr>
            <w:tcW w:w="14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alone</w:t>
            </w:r>
          </w:p>
        </w:tc>
        <w:tc>
          <w:tcPr>
            <w:tcW w:w="3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80" w:type="dxa"/>
            <w:vAlign w:val="bottom"/>
            <w:gridSpan w:val="2"/>
          </w:tcPr>
          <w:p>
            <w:pPr>
              <w:ind w:left="160"/>
              <w:spacing w:after="0" w:line="126" w:lineRule="exact"/>
              <w:rPr>
                <w:sz w:val="20"/>
                <w:szCs w:val="20"/>
                <w:color w:val="auto"/>
              </w:rPr>
            </w:pPr>
            <w:r>
              <w:rPr>
                <w:rFonts w:ascii="Arial" w:cs="Arial" w:eastAsia="Arial" w:hAnsi="Arial"/>
                <w:sz w:val="14"/>
                <w:szCs w:val="14"/>
                <w:b w:val="1"/>
                <w:bCs w:val="1"/>
                <w:color w:val="auto"/>
              </w:rPr>
              <w:t>Wholesale</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10,307</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16,125</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18,528</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14.9%</w:t>
            </w: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79.8%</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7,502</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6,963</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6,492</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-6.8%</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-13.5%</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47.0%</w:t>
            </w:r>
          </w:p>
        </w:tc>
        <w:tc>
          <w:tcPr>
            <w:tcW w:w="14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Banking</w:t>
            </w:r>
          </w:p>
        </w:tc>
        <w:tc>
          <w:tcPr>
            <w:tcW w:w="8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Corporate</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6,750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10,947</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12,274</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12.1%</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81.8%</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4,669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4,532</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4,227</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47.4%</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Middle-</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gridSpan w:val="2"/>
          </w:tcPr>
          <w:p>
            <w:pPr>
              <w:ind w:left="320"/>
              <w:spacing w:after="0"/>
              <w:rPr>
                <w:sz w:val="20"/>
                <w:szCs w:val="20"/>
                <w:color w:val="auto"/>
              </w:rPr>
            </w:pPr>
            <w:r>
              <w:rPr>
                <w:rFonts w:ascii="Arial" w:cs="Arial" w:eastAsia="Arial" w:hAnsi="Arial"/>
                <w:sz w:val="14"/>
                <w:szCs w:val="14"/>
                <w:color w:val="auto"/>
              </w:rPr>
              <w:t>Market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3,558</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5,178</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6,254</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20.8%</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75.8%</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2,833</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2,432</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2,265</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-6.8%</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-20.0%</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46.2%</w:t>
            </w:r>
          </w:p>
        </w:tc>
        <w:tc>
          <w:tcPr>
            <w:tcW w:w="1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20" w:type="dxa"/>
            <w:vAlign w:val="bottom"/>
            <w:shd w:val="clear" w:color="auto" w:fill="CCEEFF"/>
          </w:tcPr>
          <w:p>
            <w:pPr>
              <w:ind w:left="160"/>
              <w:spacing w:after="0" w:line="126" w:lineRule="exact"/>
              <w:rPr>
                <w:sz w:val="20"/>
                <w:szCs w:val="20"/>
                <w:color w:val="auto"/>
              </w:rPr>
            </w:pPr>
            <w:r>
              <w:rPr>
                <w:rFonts w:ascii="Arial" w:cs="Arial" w:eastAsia="Arial" w:hAnsi="Arial"/>
                <w:sz w:val="14"/>
                <w:szCs w:val="14"/>
                <w:b w:val="1"/>
                <w:bCs w:val="1"/>
                <w:color w:val="auto"/>
              </w:rPr>
              <w:t>Retail</w:t>
            </w:r>
          </w:p>
        </w:tc>
        <w:tc>
          <w:tcPr>
            <w:tcW w:w="3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21,163</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23,751</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24,986</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5.2%</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18.1%</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2,742</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2,584</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2,434</w:t>
            </w: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-5.8%</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-11.3%</w:t>
            </w: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76.1%</w:t>
            </w:r>
          </w:p>
        </w:tc>
        <w:tc>
          <w:tcPr>
            <w:tcW w:w="14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Banking</w:t>
            </w:r>
          </w:p>
        </w:tc>
        <w:tc>
          <w:tcPr>
            <w:tcW w:w="8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SME -</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gridSpan w:val="2"/>
          </w:tcPr>
          <w:p>
            <w:pPr>
              <w:ind w:left="320"/>
              <w:spacing w:after="0"/>
              <w:rPr>
                <w:sz w:val="20"/>
                <w:szCs w:val="20"/>
                <w:color w:val="auto"/>
              </w:rPr>
            </w:pPr>
            <w:r>
              <w:rPr>
                <w:rFonts w:ascii="Arial" w:cs="Arial" w:eastAsia="Arial" w:hAnsi="Arial"/>
                <w:sz w:val="14"/>
                <w:szCs w:val="14"/>
                <w:color w:val="auto"/>
              </w:rPr>
              <w:t>Business</w:t>
            </w:r>
          </w:p>
        </w:tc>
        <w:tc>
          <w:tcPr>
            <w:tcW w:w="620" w:type="dxa"/>
            <w:vAlign w:val="bottom"/>
          </w:tcPr>
          <w:p>
            <w:pPr>
              <w:jc w:val="right"/>
              <w:spacing w:after="0"/>
              <w:rPr>
                <w:sz w:val="20"/>
                <w:szCs w:val="20"/>
                <w:color w:val="auto"/>
              </w:rPr>
            </w:pPr>
            <w:r>
              <w:rPr>
                <w:rFonts w:ascii="Arial" w:cs="Arial" w:eastAsia="Arial" w:hAnsi="Arial"/>
                <w:sz w:val="14"/>
                <w:szCs w:val="14"/>
                <w:color w:val="auto"/>
              </w:rPr>
              <w:t>868</w:t>
            </w:r>
          </w:p>
        </w:tc>
        <w:tc>
          <w:tcPr>
            <w:tcW w:w="2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1,294</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1,559</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20.5%</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79.7%</w:t>
            </w:r>
          </w:p>
        </w:tc>
        <w:tc>
          <w:tcPr>
            <w:tcW w:w="660" w:type="dxa"/>
            <w:vAlign w:val="bottom"/>
          </w:tcPr>
          <w:p>
            <w:pPr>
              <w:jc w:val="right"/>
              <w:spacing w:after="0"/>
              <w:rPr>
                <w:sz w:val="20"/>
                <w:szCs w:val="20"/>
                <w:color w:val="auto"/>
              </w:rPr>
            </w:pPr>
            <w:r>
              <w:rPr>
                <w:rFonts w:ascii="Arial" w:cs="Arial" w:eastAsia="Arial" w:hAnsi="Arial"/>
                <w:sz w:val="14"/>
                <w:szCs w:val="14"/>
                <w:color w:val="auto"/>
              </w:rPr>
              <w:t>622</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670</w:t>
            </w:r>
          </w:p>
        </w:tc>
        <w:tc>
          <w:tcPr>
            <w:tcW w:w="2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671</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0.1%</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8.0%</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41.9%</w:t>
            </w:r>
          </w:p>
        </w:tc>
        <w:tc>
          <w:tcPr>
            <w:tcW w:w="1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gridSpan w:val="2"/>
            <w:shd w:val="clear" w:color="auto" w:fill="CCEEFF"/>
          </w:tcPr>
          <w:p>
            <w:pPr>
              <w:ind w:left="320"/>
              <w:spacing w:after="0" w:line="130" w:lineRule="exact"/>
              <w:rPr>
                <w:sz w:val="20"/>
                <w:szCs w:val="20"/>
                <w:color w:val="auto"/>
              </w:rPr>
            </w:pPr>
            <w:r>
              <w:rPr>
                <w:rFonts w:ascii="Arial" w:cs="Arial" w:eastAsia="Arial" w:hAnsi="Arial"/>
                <w:sz w:val="14"/>
                <w:szCs w:val="14"/>
                <w:color w:val="auto"/>
              </w:rPr>
              <w:t>SME -</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Pyme</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6,330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6,255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6,541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92.1%</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Mortgage</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6,779</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7,796</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8,245</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21.6%</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1,330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1,214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1,112</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-16.4%</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69.8%</w:t>
            </w:r>
          </w:p>
        </w:tc>
        <w:tc>
          <w:tcPr>
            <w:tcW w:w="14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99"/>
              </w:rPr>
              <w:t>Consumer</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4,521</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5,063</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5,132</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347</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-16.1%</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82.1%</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Credit</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0" w:type="dxa"/>
            <w:vAlign w:val="bottom"/>
          </w:tcPr>
          <w:p>
            <w:pPr>
              <w:ind w:left="320"/>
              <w:spacing w:after="0"/>
              <w:rPr>
                <w:sz w:val="20"/>
                <w:szCs w:val="20"/>
                <w:color w:val="auto"/>
              </w:rPr>
            </w:pPr>
            <w:r>
              <w:rPr>
                <w:rFonts w:ascii="Arial" w:cs="Arial" w:eastAsia="Arial" w:hAnsi="Arial"/>
                <w:sz w:val="14"/>
                <w:szCs w:val="14"/>
                <w:color w:val="auto"/>
                <w:w w:val="92"/>
              </w:rPr>
              <w:t>Card</w:t>
            </w:r>
          </w:p>
        </w:tc>
        <w:tc>
          <w:tcPr>
            <w:tcW w:w="3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2,664</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3,343</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3,508</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4.9%</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31.7%</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119</w:t>
            </w:r>
          </w:p>
        </w:tc>
        <w:tc>
          <w:tcPr>
            <w:tcW w:w="660" w:type="dxa"/>
            <w:vAlign w:val="bottom"/>
          </w:tcPr>
          <w:p>
            <w:pPr>
              <w:jc w:val="right"/>
              <w:spacing w:after="0"/>
              <w:rPr>
                <w:sz w:val="20"/>
                <w:szCs w:val="20"/>
                <w:color w:val="auto"/>
              </w:rPr>
            </w:pPr>
            <w:r>
              <w:rPr>
                <w:rFonts w:ascii="Arial" w:cs="Arial" w:eastAsia="Arial" w:hAnsi="Arial"/>
                <w:sz w:val="14"/>
                <w:szCs w:val="14"/>
                <w:color w:val="auto"/>
              </w:rPr>
              <w:t>127</w:t>
            </w:r>
          </w:p>
        </w:tc>
        <w:tc>
          <w:tcPr>
            <w:tcW w:w="2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130</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2.0%</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9.3%</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89.4%</w:t>
            </w:r>
          </w:p>
        </w:tc>
        <w:tc>
          <w:tcPr>
            <w:tcW w:w="1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3"/>
                <w:szCs w:val="13"/>
                <w:b w:val="1"/>
                <w:bCs w:val="1"/>
                <w:color w:val="auto"/>
              </w:rPr>
              <w:t xml:space="preserve">Others </w:t>
            </w:r>
            <w:r>
              <w:rPr>
                <w:rFonts w:ascii="Arial" w:cs="Arial" w:eastAsia="Arial" w:hAnsi="Arial"/>
                <w:sz w:val="21"/>
                <w:szCs w:val="21"/>
                <w:b w:val="1"/>
                <w:bCs w:val="1"/>
                <w:color w:val="auto"/>
                <w:vertAlign w:val="superscript"/>
              </w:rPr>
              <w:t>(1)</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141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158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12.1%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11.1%</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127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26.2%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27.8%</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0" w:type="dxa"/>
            <w:vAlign w:val="bottom"/>
            <w:gridSpan w:val="2"/>
          </w:tcPr>
          <w:p>
            <w:pPr>
              <w:spacing w:after="0" w:line="189" w:lineRule="exact"/>
              <w:rPr>
                <w:sz w:val="20"/>
                <w:szCs w:val="20"/>
                <w:color w:val="auto"/>
              </w:rPr>
            </w:pPr>
            <w:r>
              <w:rPr>
                <w:rFonts w:ascii="Arial" w:cs="Arial" w:eastAsia="Arial" w:hAnsi="Arial"/>
                <w:sz w:val="13"/>
                <w:szCs w:val="13"/>
                <w:b w:val="1"/>
                <w:bCs w:val="1"/>
                <w:color w:val="auto"/>
              </w:rPr>
              <w:t xml:space="preserve">Mibanco </w:t>
            </w:r>
            <w:r>
              <w:rPr>
                <w:rFonts w:ascii="Arial" w:cs="Arial" w:eastAsia="Arial" w:hAnsi="Arial"/>
                <w:sz w:val="21"/>
                <w:szCs w:val="21"/>
                <w:b w:val="1"/>
                <w:bCs w:val="1"/>
                <w:color w:val="auto"/>
                <w:vertAlign w:val="superscript"/>
              </w:rPr>
              <w:t>(2)</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6,655</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6,715</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6,861</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2.2%</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3.1%</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214</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202</w:t>
            </w:r>
          </w:p>
        </w:tc>
        <w:tc>
          <w:tcPr>
            <w:tcW w:w="2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187</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-7.4%</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-12.5%</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91.9%</w:t>
            </w:r>
          </w:p>
        </w:tc>
        <w:tc>
          <w:tcPr>
            <w:tcW w:w="1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Bolivia</w:t>
            </w: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1,083</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1,207</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1,268</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5.1%</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17.1%</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 w:type="dxa"/>
            <w:vAlign w:val="bottom"/>
          </w:tcPr>
          <w:p>
            <w:pPr>
              <w:spacing w:after="0" w:line="202" w:lineRule="exact"/>
              <w:rPr>
                <w:sz w:val="20"/>
                <w:szCs w:val="20"/>
                <w:color w:val="auto"/>
              </w:rPr>
            </w:pPr>
            <w:r>
              <w:rPr>
                <w:rFonts w:ascii="Arial" w:cs="Arial" w:eastAsia="Arial" w:hAnsi="Arial"/>
                <w:sz w:val="14"/>
                <w:szCs w:val="14"/>
                <w:b w:val="1"/>
                <w:bCs w:val="1"/>
                <w:color w:val="auto"/>
              </w:rPr>
              <w:t xml:space="preserve">ASB </w:t>
            </w:r>
            <w:r>
              <w:rPr>
                <w:rFonts w:ascii="Arial" w:cs="Arial" w:eastAsia="Arial" w:hAnsi="Arial"/>
                <w:sz w:val="23"/>
                <w:szCs w:val="23"/>
                <w:b w:val="1"/>
                <w:bCs w:val="1"/>
                <w:color w:val="auto"/>
                <w:vertAlign w:val="superscript"/>
              </w:rPr>
              <w:t>(3)</w:t>
            </w:r>
          </w:p>
        </w:tc>
        <w:tc>
          <w:tcPr>
            <w:tcW w:w="3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769</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866</w:t>
            </w:r>
          </w:p>
        </w:tc>
        <w:tc>
          <w:tcPr>
            <w:tcW w:w="2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894</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3.2%</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16.3%</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Total loans</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38,267</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46,732</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50,532</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8.1%</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32.0%</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12,411</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11,946</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11,402</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-4.6%</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-8.1%</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58.0%</w:t>
            </w:r>
          </w:p>
        </w:tc>
        <w:tc>
          <w:tcPr>
            <w:tcW w:w="1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42.0%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-8890</wp:posOffset>
            </wp:positionV>
            <wp:extent cx="65176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 consolidation purposes, loans generated in FC are converted to LC.</w:t>
      </w:r>
    </w:p>
    <w:p>
      <w:pPr>
        <w:spacing w:after="0" w:line="7"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Work out unit, and other banking.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Edyficar and Mibanco.</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2Q15 figure differs from that reported last quarter. Please consider this report's figure.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terms of the analysis by currency, it is important to note the on-going growth in the LC portfolio, which expanded +8.1% QoQ and offset the contraction in the FC portfolio (-4.6% QoQ), primarily in BCP Stand-alone.</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the case of the Mortgage portfolio, it is important to note that the FC loans posted an LTV of 51% at the end of August 2015, which was quite low (lower than the portfolio average of 58%) and that disbursements since mid-2013 have been primarily in LC and hit levels of 100% in the majority of months.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YoY evolution of dollarization by segment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90170</wp:posOffset>
            </wp:positionV>
            <wp:extent cx="5316855" cy="254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16855"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Average daily balances.</w:t>
      </w:r>
    </w:p>
    <w:p>
      <w:pPr>
        <w:spacing w:after="0" w:line="200" w:lineRule="exact"/>
        <w:rPr>
          <w:sz w:val="20"/>
          <w:szCs w:val="20"/>
          <w:color w:val="auto"/>
        </w:rPr>
      </w:pPr>
    </w:p>
    <w:p>
      <w:pPr>
        <w:spacing w:after="0" w:line="234" w:lineRule="exact"/>
        <w:rPr>
          <w:sz w:val="20"/>
          <w:szCs w:val="20"/>
          <w:color w:val="auto"/>
        </w:rPr>
      </w:pPr>
    </w:p>
    <w:p>
      <w:pPr>
        <w:ind w:left="111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If we analyze the YoY evolution of dollarization by loan segment, measured in average daily balances, the chart above shows that the majority of BCP’s loan books have continued to de-dollarize. The de-dollarization process in Wholesale Banking was particularly noteworthy, in both Corporate Banking and Middle-Market Banking.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most dollarized Retail Banking segments, which are SME-Bussiness and Mortgage loans, experienced the highest de-dollarization levels YoY.</w:t>
      </w:r>
    </w:p>
    <w:p>
      <w:pPr>
        <w:spacing w:after="0" w:line="23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1.2.3</w:t>
      </w:r>
      <w:r>
        <w:rPr>
          <w:sz w:val="20"/>
          <w:szCs w:val="20"/>
          <w:color w:val="auto"/>
        </w:rPr>
        <w:tab/>
      </w:r>
      <w:r>
        <w:rPr>
          <w:rFonts w:ascii="Arial" w:cs="Arial" w:eastAsia="Arial" w:hAnsi="Arial"/>
          <w:sz w:val="16"/>
          <w:szCs w:val="16"/>
          <w:i w:val="1"/>
          <w:iCs w:val="1"/>
          <w:color w:val="auto"/>
        </w:rPr>
        <w:t>BCRP loan de-dollarization plan at BCP Stand-alone</w:t>
      </w:r>
    </w:p>
    <w:p>
      <w:pPr>
        <w:spacing w:after="0" w:line="225"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auto"/>
        </w:rPr>
        <w:t>With regards to the de-dollarization measures defined by BCRP, it is important to note that June 2015 and December 2015 de-dollarization targets were set for i) the total portfolio in FC, with certain exceptions</w:t>
      </w:r>
      <w:r>
        <w:rPr>
          <w:rFonts w:ascii="Arial" w:cs="Arial" w:eastAsia="Arial" w:hAnsi="Arial"/>
          <w:sz w:val="30"/>
          <w:szCs w:val="30"/>
          <w:color w:val="auto"/>
          <w:vertAlign w:val="superscript"/>
        </w:rPr>
        <w:t>1</w:t>
      </w:r>
      <w:r>
        <w:rPr>
          <w:rFonts w:ascii="Arial" w:cs="Arial" w:eastAsia="Arial" w:hAnsi="Arial"/>
          <w:sz w:val="18"/>
          <w:szCs w:val="18"/>
          <w:color w:val="auto"/>
        </w:rPr>
        <w:t>; and for (ii) the joint portfolio for mortgages and car loans.</w:t>
      </w:r>
    </w:p>
    <w:p>
      <w:pPr>
        <w:spacing w:after="0" w:line="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the total portfolio in FC, the reduction target was calculated based on the accounting balance (in Peru GAAP) at the end of September 2013. The joint mortgage and car loan portfolio’s reduction target was calculated based on the accounting balance (in Peru GAAP) at the end of February 2013. Nevertheless, the level of compliance for both targets was calculated based on monthly average daily balances.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figures below show the percentage of compliance as of September 2015:</w:t>
      </w:r>
    </w:p>
    <w:p>
      <w:pPr>
        <w:sectPr>
          <w:pgSz w:w="11900" w:h="16838" w:orient="portrait"/>
          <w:cols w:equalWidth="0" w:num="1">
            <w:col w:w="11420"/>
          </w:cols>
          <w:pgMar w:left="240" w:top="908" w:right="239" w:bottom="1440" w:gutter="0" w:footer="0" w:header="0"/>
        </w:sectPr>
      </w:pPr>
    </w:p>
    <w:p>
      <w:pPr>
        <w:spacing w:after="0" w:line="221"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Reduction target for total loans in FC</w:t>
      </w:r>
    </w:p>
    <w:p>
      <w:pPr>
        <w:spacing w:after="0" w:line="50"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 at the end of September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142875</wp:posOffset>
            </wp:positionV>
            <wp:extent cx="2573020" cy="1097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3020" cy="1097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800"/>
        <w:spacing w:after="0"/>
        <w:rPr>
          <w:sz w:val="20"/>
          <w:szCs w:val="20"/>
          <w:color w:val="auto"/>
        </w:rPr>
      </w:pPr>
      <w:r>
        <w:rPr>
          <w:rFonts w:ascii="Arial" w:cs="Arial" w:eastAsia="Arial" w:hAnsi="Arial"/>
          <w:sz w:val="16"/>
          <w:szCs w:val="16"/>
          <w:b w:val="1"/>
          <w:bCs w:val="1"/>
          <w:color w:val="auto"/>
        </w:rPr>
        <w:t>Reduction target for “Mortgage &amp; Car” loans in FC</w:t>
      </w:r>
    </w:p>
    <w:p>
      <w:pPr>
        <w:spacing w:after="0" w:line="50"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 at the end of September 2015 –</w:t>
      </w:r>
    </w:p>
    <w:p>
      <w:pPr>
        <w:spacing w:after="0" w:line="200" w:lineRule="exact"/>
        <w:rPr>
          <w:sz w:val="20"/>
          <w:szCs w:val="20"/>
          <w:color w:val="auto"/>
        </w:rPr>
      </w:pPr>
    </w:p>
    <w:p>
      <w:pPr>
        <w:sectPr>
          <w:pgSz w:w="11900" w:h="16838" w:orient="portrait"/>
          <w:cols w:equalWidth="0" w:num="2">
            <w:col w:w="5900" w:space="720"/>
            <w:col w:w="4800"/>
          </w:cols>
          <w:pgMar w:left="240" w:top="90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figures show that BCP Stand-alone has achieved a very good compliance level for both de-dollarization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This total portfolio does not include loans for foreign trade and loans issued for more than three years at loan amounts that exceed US$10 million.</w:t>
      </w:r>
    </w:p>
    <w:p>
      <w:pPr>
        <w:spacing w:after="0" w:line="356" w:lineRule="exact"/>
        <w:rPr>
          <w:sz w:val="20"/>
          <w:szCs w:val="20"/>
          <w:color w:val="auto"/>
        </w:rPr>
      </w:pPr>
    </w:p>
    <w:p>
      <w:pPr>
        <w:ind w:left="11140"/>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3" w:name="page14"/>
    <w:bookmarkEnd w:id="13"/>
    <w:p>
      <w:pPr>
        <w:spacing w:after="0"/>
        <w:tabs>
          <w:tab w:leader="none" w:pos="640" w:val="left"/>
        </w:tabs>
        <w:rPr>
          <w:sz w:val="20"/>
          <w:szCs w:val="20"/>
          <w:color w:val="auto"/>
        </w:rPr>
      </w:pPr>
      <w:r>
        <w:rPr>
          <w:rFonts w:ascii="Arial" w:cs="Arial" w:eastAsia="Arial" w:hAnsi="Arial"/>
          <w:sz w:val="18"/>
          <w:szCs w:val="18"/>
          <w:i w:val="1"/>
          <w:iCs w:val="1"/>
          <w:color w:val="auto"/>
        </w:rPr>
        <w:t>1.2.4</w:t>
      </w:r>
      <w:r>
        <w:rPr>
          <w:sz w:val="20"/>
          <w:szCs w:val="20"/>
          <w:color w:val="auto"/>
        </w:rPr>
        <w:tab/>
      </w:r>
      <w:r>
        <w:rPr>
          <w:rFonts w:ascii="Arial" w:cs="Arial" w:eastAsia="Arial" w:hAnsi="Arial"/>
          <w:sz w:val="16"/>
          <w:szCs w:val="16"/>
          <w:i w:val="1"/>
          <w:iCs w:val="1"/>
          <w:color w:val="auto"/>
        </w:rPr>
        <w:t>Market share in loans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74030" cy="1526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403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Mortgage segment includes Mibanco's market share of 1% as of June 2015 and August 2015.</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segment includes Mibanco's market share of 2.1% as of June 2015 and August 2015.</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end of August 2015, BCP Stand-alone continued to lead the market with a 30.8% share, which is significantly higher than the share of its closest competitor.</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Wholesale Banking continued to lead the market. Corporate Banking reported a significant increase in its market share, which went from 44.5% in June 2015 to 46.1% in August 2015. Middle-Market Banking posted a slight increase in its share, which went from 33.4% in June 2015 to 33.8% in August 2015.</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terms of Retail Banking, BCP continued to lead the market in almost every segment with the exception of SME-Business and Credit Cards, where it was second. BCP also increased its market share in the SME-Business segment (22.7% in June 2015 vs. 23.9% in August 2015).</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Mibanco (including Edyficar) maintained its market share in the Peruvian financial system, posting a 3% share both in June 2015 and in August 2015. An analysis of the SME-Pyme segment in Peru shows that Mibanco increased its share from 20.7% at the end of June 2015 to 21% at the end of August 2015.</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Finally, BCP Bolivia slightly reduced its market share QoQ (9.0% at the end of September 2015 and 10.3% at the end of June 2015) and remains in fourth place in the Bolivian financial system.</w:t>
      </w:r>
    </w:p>
    <w:p>
      <w:pPr>
        <w:spacing w:after="0" w:line="379"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Funding Sources</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i w:val="1"/>
          <w:iCs w:val="1"/>
          <w:color w:val="auto"/>
        </w:rPr>
        <w:t>The funding cost</w:t>
      </w:r>
      <w:r>
        <w:rPr>
          <w:rFonts w:ascii="Arial" w:cs="Arial" w:eastAsia="Arial" w:hAnsi="Arial"/>
          <w:sz w:val="26"/>
          <w:szCs w:val="26"/>
          <w:i w:val="1"/>
          <w:iCs w:val="1"/>
          <w:color w:val="auto"/>
          <w:vertAlign w:val="superscript"/>
        </w:rPr>
        <w:t>2</w:t>
      </w:r>
      <w:r>
        <w:rPr>
          <w:rFonts w:ascii="Arial" w:cs="Arial" w:eastAsia="Arial" w:hAnsi="Arial"/>
          <w:sz w:val="16"/>
          <w:szCs w:val="16"/>
          <w:i w:val="1"/>
          <w:iCs w:val="1"/>
          <w:color w:val="auto"/>
        </w:rPr>
        <w:t xml:space="preserve"> at Credicorp and at BCP stand-alone increased slightly QoQ (+2 bps and +3 bps, respectively). This was due primarily to the increase in the cost of BCRP instruments (+18.5% QoQ), which was attributable to an increase in the reference rate in August, and to the increase in the tenure of those instruments (up to 5 years). Nevertheless, these instruments continue to be a good alternative funding source of low-cost when compared to other types of funding. The L/D ratio fell QoQ, which was due mainly to an atypical increase in time deposits and in a lesser extent the savings deposits.</w:t>
      </w:r>
    </w:p>
    <w:p>
      <w:pPr>
        <w:spacing w:after="0" w:line="181"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Funding</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Quarter</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4040" w:type="dxa"/>
            <w:vAlign w:val="bottom"/>
            <w:gridSpan w:val="3"/>
          </w:tcPr>
          <w:p>
            <w:pPr>
              <w:spacing w:after="0"/>
              <w:rPr>
                <w:sz w:val="20"/>
                <w:szCs w:val="20"/>
                <w:color w:val="auto"/>
              </w:rPr>
            </w:pPr>
            <w:r>
              <w:rPr>
                <w:rFonts w:ascii="Arial" w:cs="Arial" w:eastAsia="Arial" w:hAnsi="Arial"/>
                <w:sz w:val="18"/>
                <w:szCs w:val="18"/>
                <w:color w:val="auto"/>
              </w:rPr>
              <w:t>S/.(000)</w:t>
            </w:r>
          </w:p>
        </w:tc>
        <w:tc>
          <w:tcPr>
            <w:tcW w:w="1180" w:type="dxa"/>
            <w:vAlign w:val="bottom"/>
            <w:gridSpan w:val="2"/>
          </w:tcPr>
          <w:p>
            <w:pPr>
              <w:ind w:left="280"/>
              <w:spacing w:after="0"/>
              <w:rPr>
                <w:sz w:val="20"/>
                <w:szCs w:val="20"/>
                <w:color w:val="auto"/>
              </w:rPr>
            </w:pPr>
            <w:r>
              <w:rPr>
                <w:rFonts w:ascii="Arial" w:cs="Arial" w:eastAsia="Arial" w:hAnsi="Arial"/>
                <w:sz w:val="18"/>
                <w:szCs w:val="18"/>
                <w:b w:val="1"/>
                <w:bCs w:val="1"/>
                <w:color w:val="auto"/>
              </w:rPr>
              <w:t>3Q14</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2Q15</w:t>
            </w:r>
          </w:p>
        </w:tc>
        <w:tc>
          <w:tcPr>
            <w:tcW w:w="1180" w:type="dxa"/>
            <w:vAlign w:val="bottom"/>
            <w:gridSpan w:val="2"/>
          </w:tcPr>
          <w:p>
            <w:pPr>
              <w:ind w:left="280"/>
              <w:spacing w:after="0"/>
              <w:rPr>
                <w:sz w:val="20"/>
                <w:szCs w:val="20"/>
                <w:color w:val="auto"/>
              </w:rPr>
            </w:pPr>
            <w:r>
              <w:rPr>
                <w:rFonts w:ascii="Arial" w:cs="Arial" w:eastAsia="Arial" w:hAnsi="Arial"/>
                <w:sz w:val="18"/>
                <w:szCs w:val="18"/>
                <w:b w:val="1"/>
                <w:bCs w:val="1"/>
                <w:color w:val="auto"/>
              </w:rPr>
              <w:t>3Q15</w:t>
            </w:r>
          </w:p>
        </w:tc>
        <w:tc>
          <w:tcPr>
            <w:tcW w:w="11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19,182,538</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23,707,385</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23,240,530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Demand deposits</w:t>
            </w:r>
          </w:p>
        </w:tc>
        <w:tc>
          <w:tcPr>
            <w:tcW w:w="980" w:type="dxa"/>
            <w:vAlign w:val="bottom"/>
          </w:tcPr>
          <w:p>
            <w:pPr>
              <w:jc w:val="right"/>
              <w:spacing w:after="0"/>
              <w:rPr>
                <w:sz w:val="20"/>
                <w:szCs w:val="20"/>
                <w:color w:val="auto"/>
              </w:rPr>
            </w:pPr>
            <w:r>
              <w:rPr>
                <w:rFonts w:ascii="Arial" w:cs="Arial" w:eastAsia="Arial" w:hAnsi="Arial"/>
                <w:sz w:val="18"/>
                <w:szCs w:val="18"/>
                <w:color w:val="auto"/>
              </w:rPr>
              <w:t>4,667,328</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5,920,932</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5,885,143</w:t>
            </w:r>
          </w:p>
        </w:tc>
        <w:tc>
          <w:tcPr>
            <w:tcW w:w="18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-0.6%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19,957,669</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21,989,053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22,794,914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980" w:type="dxa"/>
            <w:vAlign w:val="bottom"/>
          </w:tcPr>
          <w:p>
            <w:pPr>
              <w:jc w:val="right"/>
              <w:spacing w:after="0"/>
              <w:rPr>
                <w:sz w:val="20"/>
                <w:szCs w:val="20"/>
                <w:color w:val="auto"/>
              </w:rPr>
            </w:pPr>
            <w:r>
              <w:rPr>
                <w:rFonts w:ascii="Arial" w:cs="Arial" w:eastAsia="Arial" w:hAnsi="Arial"/>
                <w:sz w:val="18"/>
                <w:szCs w:val="18"/>
                <w:color w:val="auto"/>
              </w:rPr>
              <w:t>23,648,290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21,859,062</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27,688,032</w:t>
            </w:r>
          </w:p>
        </w:tc>
        <w:tc>
          <w:tcPr>
            <w:tcW w:w="18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26.7%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CTS deposits</w:t>
            </w:r>
            <w:r>
              <w:rPr>
                <w:rFonts w:ascii="Arial" w:cs="Arial" w:eastAsia="Arial" w:hAnsi="Arial"/>
                <w:sz w:val="29"/>
                <w:szCs w:val="29"/>
                <w:color w:val="auto"/>
                <w:vertAlign w:val="superscript"/>
              </w:rPr>
              <w:t>(1)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7,148,162</w:t>
            </w: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7,173,252</w:t>
            </w: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6,535,695</w:t>
            </w:r>
          </w:p>
        </w:tc>
        <w:tc>
          <w:tcPr>
            <w:tcW w:w="1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980" w:type="dxa"/>
            <w:vAlign w:val="bottom"/>
          </w:tcPr>
          <w:p>
            <w:pPr>
              <w:jc w:val="right"/>
              <w:spacing w:after="0"/>
              <w:rPr>
                <w:sz w:val="20"/>
                <w:szCs w:val="20"/>
                <w:color w:val="auto"/>
              </w:rPr>
            </w:pPr>
            <w:r>
              <w:rPr>
                <w:rFonts w:ascii="Arial" w:cs="Arial" w:eastAsia="Arial" w:hAnsi="Arial"/>
                <w:sz w:val="18"/>
                <w:szCs w:val="18"/>
                <w:color w:val="auto"/>
              </w:rPr>
              <w:t>259,245</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260,939</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282,393</w:t>
            </w:r>
          </w:p>
        </w:tc>
        <w:tc>
          <w:tcPr>
            <w:tcW w:w="18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8.2%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74,863,232</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80,910,623</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86,426,707</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7"/>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11,031,469</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9,180,228</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9,737,111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980" w:type="dxa"/>
            <w:vAlign w:val="bottom"/>
          </w:tcPr>
          <w:p>
            <w:pPr>
              <w:jc w:val="right"/>
              <w:spacing w:after="0"/>
              <w:rPr>
                <w:sz w:val="20"/>
                <w:szCs w:val="20"/>
                <w:color w:val="auto"/>
              </w:rPr>
            </w:pPr>
            <w:r>
              <w:rPr>
                <w:rFonts w:ascii="Arial" w:cs="Arial" w:eastAsia="Arial" w:hAnsi="Arial"/>
                <w:sz w:val="18"/>
                <w:szCs w:val="18"/>
                <w:color w:val="auto"/>
              </w:rPr>
              <w:t>4,980,531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10,012,756</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11,863,340</w:t>
            </w:r>
          </w:p>
        </w:tc>
        <w:tc>
          <w:tcPr>
            <w:tcW w:w="18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18.5%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15,229,395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15,601,653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16,016,573</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20" w:type="dxa"/>
            <w:vAlign w:val="bottom"/>
            <w:gridSpan w:val="2"/>
          </w:tcPr>
          <w:p>
            <w:pPr>
              <w:spacing w:after="0" w:line="269" w:lineRule="exact"/>
              <w:rPr>
                <w:sz w:val="20"/>
                <w:szCs w:val="20"/>
                <w:color w:val="auto"/>
              </w:rPr>
            </w:pPr>
            <w:r>
              <w:rPr>
                <w:rFonts w:ascii="Arial" w:cs="Arial" w:eastAsia="Arial" w:hAnsi="Arial"/>
                <w:sz w:val="18"/>
                <w:szCs w:val="18"/>
                <w:color w:val="auto"/>
              </w:rPr>
              <w:t>Other liabilities</w:t>
            </w:r>
            <w:r>
              <w:rPr>
                <w:rFonts w:ascii="Arial" w:cs="Arial" w:eastAsia="Arial" w:hAnsi="Arial"/>
                <w:sz w:val="30"/>
                <w:szCs w:val="30"/>
                <w:color w:val="auto"/>
                <w:vertAlign w:val="superscript"/>
              </w:rPr>
              <w:t>(2)</w:t>
            </w:r>
          </w:p>
        </w:tc>
        <w:tc>
          <w:tcPr>
            <w:tcW w:w="980" w:type="dxa"/>
            <w:vAlign w:val="bottom"/>
          </w:tcPr>
          <w:p>
            <w:pPr>
              <w:jc w:val="right"/>
              <w:spacing w:after="0"/>
              <w:rPr>
                <w:sz w:val="20"/>
                <w:szCs w:val="20"/>
                <w:color w:val="auto"/>
              </w:rPr>
            </w:pPr>
            <w:r>
              <w:rPr>
                <w:rFonts w:ascii="Arial" w:cs="Arial" w:eastAsia="Arial" w:hAnsi="Arial"/>
                <w:sz w:val="18"/>
                <w:szCs w:val="18"/>
                <w:color w:val="auto"/>
              </w:rPr>
              <w:t>12,469,541</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12,128,488</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13,010,791</w:t>
            </w:r>
          </w:p>
        </w:tc>
        <w:tc>
          <w:tcPr>
            <w:tcW w:w="180" w:type="dxa"/>
            <w:vAlign w:val="bottom"/>
          </w:tcPr>
          <w:p>
            <w:pPr>
              <w:spacing w:after="0"/>
              <w:rPr>
                <w:sz w:val="23"/>
                <w:szCs w:val="23"/>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7.3%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Total funding</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5"/>
              </w:rPr>
              <w:t>118,574,168</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5"/>
              </w:rPr>
              <w:t>127,833,748</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137,054,522</w:t>
            </w:r>
          </w:p>
        </w:tc>
        <w:tc>
          <w:tcPr>
            <w:tcW w:w="180" w:type="dxa"/>
            <w:vAlign w:val="bottom"/>
          </w:tcPr>
          <w:p>
            <w:pPr>
              <w:spacing w:after="0"/>
              <w:rPr>
                <w:sz w:val="19"/>
                <w:szCs w:val="19"/>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7.2%</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Severance indemnity deposits.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acceptances outstanding, reserves for property and casualty claims, reserve for unearned premiums, reinsurance payable and other liabilities.</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Funding Structure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BAP - Funding structure and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6414770" cy="2324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4770"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hanging="112"/>
        <w:spacing w:after="0"/>
        <w:tabs>
          <w:tab w:leader="none" w:pos="12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The funding cost is calculate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137160</wp:posOffset>
            </wp:positionV>
            <wp:extent cx="1724025"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2402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It considers the average between the initial balance and the closing balance of total liabilities for the period.</w:t>
      </w:r>
    </w:p>
    <w:p>
      <w:pPr>
        <w:spacing w:after="0" w:line="200" w:lineRule="exact"/>
        <w:rPr>
          <w:sz w:val="20"/>
          <w:szCs w:val="20"/>
          <w:color w:val="auto"/>
        </w:rPr>
      </w:pPr>
    </w:p>
    <w:p>
      <w:pPr>
        <w:spacing w:after="0" w:line="234"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both"/>
        <w:spacing w:after="0" w:line="302" w:lineRule="auto"/>
        <w:rPr>
          <w:sz w:val="20"/>
          <w:szCs w:val="20"/>
          <w:color w:val="auto"/>
        </w:rPr>
      </w:pPr>
      <w:r>
        <w:rPr>
          <w:rFonts w:ascii="Arial" w:cs="Arial" w:eastAsia="Arial" w:hAnsi="Arial"/>
          <w:sz w:val="16"/>
          <w:szCs w:val="16"/>
          <w:color w:val="auto"/>
        </w:rPr>
        <w:t>In the chart of the evolution of BAP’s funding structure and funding cost, it is evident that in 2015, the share of BCRP instruments in total funding continued to increase given that their conditions have improved, particularly in terms of their tenure. These instruments are considered more stable funding and have allowed us to strengthen our long-term funding while we keep low funding cost. These instruments also facilitate the expansion and de-dollarization of loans in LC and FC, respectively, which was in line with an on-going growth in LC’s loan share with regard to total loans (60% in 3Q15 vs. 57% in 2Q15).</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YoY analysis, there was a YoY increase (4.2% in 3Q14 vs. 8.7% in 3Q15) in BCRP instruments’ participation. Furthermore, deposits continued to represent the main funding source with approximately 63% share of total funding, as was the case in 3Q14. In particular, core deposits (non-interest bearing deposits, demand deposits, savings deposits and severance indemnity deposits) represent 43% of total funding. On the contrary, the shares of Bonds and Subordinated Debt, and Due to Banks and Correspondents fell YoY, which was in line with the use of alternative and low-cost funding sources.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BCP Stand-alone – Funding structure by tenure QoQ</w:t>
      </w:r>
    </w:p>
    <w:p>
      <w:pPr>
        <w:sectPr>
          <w:pgSz w:w="11900" w:h="16838" w:orient="portrait"/>
          <w:cols w:equalWidth="0" w:num="1">
            <w:col w:w="11420"/>
          </w:cols>
          <w:pgMar w:left="240" w:top="908"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152400</wp:posOffset>
            </wp:positionV>
            <wp:extent cx="2641600" cy="977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4160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260" w:hanging="252"/>
        <w:spacing w:after="0" w:line="268" w:lineRule="auto"/>
        <w:tabs>
          <w:tab w:leader="none" w:pos="344"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Deposits include non-contractual deposits (Demand, Savings and Severance indemnity-CTS) and Time Deposits. The non-contractual deposits represent 80% of total deposits and have tenures lower than 6 months. Based on BCP analysis, 66% of the non-contractual deposits has a duration higher than 6 months (6% ≤ 1 year, 19% &gt;1 year and ≤ 3 years, and 41% from &gt;3 years onwards).</w:t>
      </w:r>
    </w:p>
    <w:p>
      <w:pPr>
        <w:spacing w:after="0" w:line="1" w:lineRule="exact"/>
        <w:rPr>
          <w:rFonts w:ascii="Arial" w:cs="Arial" w:eastAsia="Arial" w:hAnsi="Arial"/>
          <w:sz w:val="17"/>
          <w:szCs w:val="17"/>
          <w:color w:val="auto"/>
        </w:rPr>
      </w:pPr>
    </w:p>
    <w:p>
      <w:pPr>
        <w:ind w:left="260" w:right="20" w:hanging="252"/>
        <w:spacing w:after="0" w:line="261" w:lineRule="auto"/>
        <w:tabs>
          <w:tab w:leader="none" w:pos="2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includes Due to banks and correspondents and Bonds and subordinated debt.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0"/>
        <w:spacing w:after="0"/>
        <w:rPr>
          <w:sz w:val="20"/>
          <w:szCs w:val="20"/>
          <w:color w:val="auto"/>
        </w:rPr>
      </w:pPr>
      <w:r>
        <w:rPr>
          <w:rFonts w:ascii="Arial" w:cs="Arial" w:eastAsia="Arial" w:hAnsi="Arial"/>
          <w:sz w:val="18"/>
          <w:szCs w:val="18"/>
          <w:color w:val="auto"/>
        </w:rPr>
        <w:t>September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-121920</wp:posOffset>
            </wp:positionV>
            <wp:extent cx="3173095" cy="256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73095"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251" w:hanging="251"/>
        <w:spacing w:after="0" w:line="268" w:lineRule="auto"/>
        <w:tabs>
          <w:tab w:leader="none" w:pos="338"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Deposits include non-contractual deposits (Demand, Savings and Severance indemnity -CTS) and Time Deposits. The non-contractual deposits represent 74% of total deposits and have tenures lower than 6 months. Based on BCP analysis, 67% of the non-contractual deposits has a duration higher than 6 months (10% ≤ 1 year, 28% between &gt;1 year and ≤ 3 years, and 62% from &gt;3 years onwards).</w:t>
      </w:r>
    </w:p>
    <w:p>
      <w:pPr>
        <w:spacing w:after="0" w:line="1" w:lineRule="exact"/>
        <w:rPr>
          <w:rFonts w:ascii="Arial" w:cs="Arial" w:eastAsia="Arial" w:hAnsi="Arial"/>
          <w:sz w:val="17"/>
          <w:szCs w:val="17"/>
          <w:color w:val="auto"/>
        </w:rPr>
      </w:pPr>
    </w:p>
    <w:p>
      <w:pPr>
        <w:ind w:left="251" w:hanging="251"/>
        <w:spacing w:after="0" w:line="261" w:lineRule="auto"/>
        <w:tabs>
          <w:tab w:leader="none" w:pos="2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includes Due to banks and correspondents and Bonds and subordinated debt.</w:t>
      </w:r>
    </w:p>
    <w:p>
      <w:pPr>
        <w:spacing w:after="0" w:line="184" w:lineRule="exact"/>
        <w:rPr>
          <w:sz w:val="20"/>
          <w:szCs w:val="20"/>
          <w:color w:val="auto"/>
        </w:rPr>
      </w:pPr>
    </w:p>
    <w:p>
      <w:pPr>
        <w:sectPr>
          <w:pgSz w:w="11900" w:h="16838" w:orient="portrait"/>
          <w:cols w:equalWidth="0" w:num="2">
            <w:col w:w="5620" w:space="209"/>
            <w:col w:w="5591"/>
          </w:cols>
          <w:pgMar w:left="240" w:top="908" w:right="239" w:bottom="1440" w:gutter="0" w:footer="0" w:header="0"/>
          <w:type w:val="continuous"/>
        </w:sectPr>
      </w:pPr>
    </w:p>
    <w:p>
      <w:pPr>
        <w:ind w:right="120"/>
        <w:spacing w:after="0" w:line="277" w:lineRule="auto"/>
        <w:rPr>
          <w:sz w:val="20"/>
          <w:szCs w:val="20"/>
          <w:color w:val="auto"/>
        </w:rPr>
      </w:pPr>
      <w:r>
        <w:rPr>
          <w:rFonts w:ascii="Arial" w:cs="Arial" w:eastAsia="Arial" w:hAnsi="Arial"/>
          <w:sz w:val="18"/>
          <w:szCs w:val="18"/>
          <w:color w:val="auto"/>
        </w:rPr>
        <w:t>The chart above shows BCP stand-alone’s funding structure by tenure where is evident the larger share of long-term funding due to a QoQ increase in BCRP instruments with tenure above four years.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2.2</w:t>
            </w:r>
          </w:p>
        </w:tc>
        <w:tc>
          <w:tcPr>
            <w:tcW w:w="4460" w:type="dxa"/>
            <w:vAlign w:val="bottom"/>
            <w:gridSpan w:val="3"/>
          </w:tcPr>
          <w:p>
            <w:pPr>
              <w:ind w:left="220"/>
              <w:spacing w:after="0"/>
              <w:rPr>
                <w:sz w:val="20"/>
                <w:szCs w:val="20"/>
                <w:color w:val="auto"/>
              </w:rPr>
            </w:pPr>
            <w:r>
              <w:rPr>
                <w:rFonts w:ascii="Arial" w:cs="Arial" w:eastAsia="Arial" w:hAnsi="Arial"/>
                <w:sz w:val="18"/>
                <w:szCs w:val="18"/>
                <w:b w:val="1"/>
                <w:bCs w:val="1"/>
                <w:color w:val="auto"/>
              </w:rPr>
              <w:t>Deposits</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40" w:type="dxa"/>
            <w:vAlign w:val="bottom"/>
          </w:tcPr>
          <w:p>
            <w:pPr>
              <w:spacing w:after="0"/>
              <w:rPr>
                <w:sz w:val="24"/>
                <w:szCs w:val="24"/>
                <w:color w:val="auto"/>
              </w:rPr>
            </w:pPr>
          </w:p>
        </w:tc>
        <w:tc>
          <w:tcPr>
            <w:tcW w:w="4460" w:type="dxa"/>
            <w:vAlign w:val="bottom"/>
            <w:gridSpan w:val="3"/>
          </w:tcPr>
          <w:p>
            <w:pPr>
              <w:ind w:left="220"/>
              <w:spacing w:after="0"/>
              <w:rPr>
                <w:sz w:val="20"/>
                <w:szCs w:val="20"/>
                <w:color w:val="auto"/>
              </w:rPr>
            </w:pPr>
            <w:r>
              <w:rPr>
                <w:rFonts w:ascii="Arial" w:cs="Arial" w:eastAsia="Arial" w:hAnsi="Arial"/>
                <w:sz w:val="18"/>
                <w:szCs w:val="18"/>
                <w:b w:val="1"/>
                <w:bCs w:val="1"/>
                <w:color w:val="auto"/>
              </w:rPr>
              <w:t>Deposits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Quarter</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w w:val="90"/>
              </w:rPr>
              <w:t>% change</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S/. 000</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3Q14</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2Q15</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3Q15</w:t>
            </w:r>
          </w:p>
        </w:tc>
        <w:tc>
          <w:tcPr>
            <w:tcW w:w="1380" w:type="dxa"/>
            <w:vAlign w:val="bottom"/>
            <w:gridSpan w:val="3"/>
          </w:tcPr>
          <w:p>
            <w:pPr>
              <w:ind w:left="240"/>
              <w:spacing w:after="0"/>
              <w:rPr>
                <w:sz w:val="20"/>
                <w:szCs w:val="20"/>
                <w:color w:val="auto"/>
              </w:rPr>
            </w:pPr>
            <w:r>
              <w:rPr>
                <w:rFonts w:ascii="Arial" w:cs="Arial" w:eastAsia="Arial" w:hAnsi="Arial"/>
                <w:sz w:val="18"/>
                <w:szCs w:val="18"/>
                <w:b w:val="1"/>
                <w:bCs w:val="1"/>
                <w:color w:val="auto"/>
              </w:rPr>
              <w:t>QoQ</w:t>
            </w:r>
          </w:p>
        </w:tc>
        <w:tc>
          <w:tcPr>
            <w:tcW w:w="8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1"/>
              </w:rPr>
              <w:t>YoY</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0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19,182,538</w:t>
            </w:r>
          </w:p>
        </w:tc>
        <w:tc>
          <w:tcPr>
            <w:tcW w:w="20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23,707,385</w:t>
            </w:r>
          </w:p>
        </w:tc>
        <w:tc>
          <w:tcPr>
            <w:tcW w:w="18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23,240,530</w:t>
            </w:r>
          </w:p>
        </w:tc>
        <w:tc>
          <w:tcPr>
            <w:tcW w:w="20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Demand deposits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4,667,328</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5,920,932</w:t>
            </w:r>
          </w:p>
        </w:tc>
        <w:tc>
          <w:tcPr>
            <w:tcW w:w="900" w:type="dxa"/>
            <w:vAlign w:val="bottom"/>
          </w:tcPr>
          <w:p>
            <w:pPr>
              <w:jc w:val="right"/>
              <w:spacing w:after="0"/>
              <w:rPr>
                <w:sz w:val="20"/>
                <w:szCs w:val="20"/>
                <w:color w:val="auto"/>
              </w:rPr>
            </w:pPr>
            <w:r>
              <w:rPr>
                <w:rFonts w:ascii="Arial" w:cs="Arial" w:eastAsia="Arial" w:hAnsi="Arial"/>
                <w:sz w:val="18"/>
                <w:szCs w:val="18"/>
                <w:color w:val="auto"/>
              </w:rPr>
              <w:t>5,885,143</w:t>
            </w:r>
          </w:p>
        </w:tc>
        <w:tc>
          <w:tcPr>
            <w:tcW w:w="20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19,957,669</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21,989,053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22,794,914</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23,648,290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21,859,062</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27,688,032</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CTS deposits </w:t>
            </w:r>
            <w:r>
              <w:rPr>
                <w:rFonts w:ascii="Arial" w:cs="Arial" w:eastAsia="Arial" w:hAnsi="Arial"/>
                <w:sz w:val="29"/>
                <w:szCs w:val="29"/>
                <w:color w:val="auto"/>
                <w:vertAlign w:val="superscript"/>
              </w:rPr>
              <w:t>(1)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7,148,162</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7,173,252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6,535,695</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259,245</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260,939</w:t>
            </w:r>
          </w:p>
        </w:tc>
        <w:tc>
          <w:tcPr>
            <w:tcW w:w="900" w:type="dxa"/>
            <w:vAlign w:val="bottom"/>
          </w:tcPr>
          <w:p>
            <w:pPr>
              <w:jc w:val="right"/>
              <w:spacing w:after="0"/>
              <w:rPr>
                <w:sz w:val="20"/>
                <w:szCs w:val="20"/>
                <w:color w:val="auto"/>
              </w:rPr>
            </w:pPr>
            <w:r>
              <w:rPr>
                <w:rFonts w:ascii="Arial" w:cs="Arial" w:eastAsia="Arial" w:hAnsi="Arial"/>
                <w:sz w:val="18"/>
                <w:szCs w:val="18"/>
                <w:color w:val="auto"/>
              </w:rPr>
              <w:t>282,393</w:t>
            </w:r>
          </w:p>
        </w:tc>
        <w:tc>
          <w:tcPr>
            <w:tcW w:w="200" w:type="dxa"/>
            <w:vAlign w:val="bottom"/>
          </w:tcPr>
          <w:p>
            <w:pPr>
              <w:spacing w:after="0"/>
              <w:rPr>
                <w:sz w:val="19"/>
                <w:szCs w:val="19"/>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customer deposits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74,863,232</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80,910,623</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86,426,707</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b w:val="1"/>
                <w:bCs w:val="1"/>
                <w:color w:val="auto"/>
                <w:w w:val="79"/>
              </w:rPr>
              <w:t>6.8</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ind w:left="660"/>
        <w:spacing w:after="0"/>
        <w:rPr>
          <w:sz w:val="20"/>
          <w:szCs w:val="20"/>
          <w:color w:val="auto"/>
        </w:rPr>
      </w:pPr>
      <w:r>
        <w:rPr>
          <w:rFonts w:ascii="Arial" w:cs="Arial" w:eastAsia="Arial" w:hAnsi="Arial"/>
          <w:sz w:val="18"/>
          <w:szCs w:val="18"/>
          <w:color w:val="auto"/>
        </w:rPr>
        <w:t>(1) Severance indemnity deposits.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deposits expanded +6.8% QoQ, which was due primarily to a +26.7% QoQ increase in time deposits followed by +3.7% growth QoQ in savings deposits. If we exclude the effect of the appreciation in the US Dollar, real growth in total deposits was 6.0% QoQ.</w:t>
      </w:r>
    </w:p>
    <w:p>
      <w:pPr>
        <w:spacing w:after="0" w:line="379"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6" w:name="page17"/>
    <w:bookmarkEnd w:id="16"/>
    <w:p>
      <w:pPr>
        <w:jc w:val="both"/>
        <w:spacing w:after="0" w:line="261" w:lineRule="auto"/>
        <w:rPr>
          <w:sz w:val="20"/>
          <w:szCs w:val="20"/>
          <w:color w:val="auto"/>
        </w:rPr>
      </w:pPr>
      <w:r>
        <w:rPr>
          <w:rFonts w:ascii="Arial" w:cs="Arial" w:eastAsia="Arial" w:hAnsi="Arial"/>
          <w:sz w:val="18"/>
          <w:szCs w:val="18"/>
          <w:color w:val="auto"/>
        </w:rPr>
        <w:t xml:space="preserve">The QoQ increase in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came mainly from BCP Stand-Alone as a result of growth in FC deposits from Retail Banking’s clients (Private Banking). A significant volume of time deposits was captured at the end of the quarter, which had little impact on interest expenses for the period. The increase reported this quarter was accentuated by the appreciation of the US Dollar against the Nuevo Sol (+1.42% QoQ), which also impacted the increase of 17.1% YoY due to appreciation of the US Dollar (11.5% YoY).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Savings deposits </w:t>
      </w:r>
      <w:r>
        <w:rPr>
          <w:rFonts w:ascii="Arial" w:cs="Arial" w:eastAsia="Arial" w:hAnsi="Arial"/>
          <w:sz w:val="16"/>
          <w:szCs w:val="16"/>
          <w:color w:val="auto"/>
        </w:rPr>
        <w:t>increased +3.7% QoQ, which was due primarily to growth in deposits (individuals and companies) at BCP Stand-Alone and at Mibanco.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This was the result of campaigns to capture new clients this quarter.</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Severance indemnity deposits </w:t>
      </w:r>
      <w:r>
        <w:rPr>
          <w:rFonts w:ascii="Arial" w:cs="Arial" w:eastAsia="Arial" w:hAnsi="Arial"/>
          <w:sz w:val="18"/>
          <w:szCs w:val="18"/>
          <w:color w:val="auto"/>
        </w:rPr>
        <w:t>reported a decrease of -8.9% QoQ given that workers were given the option to withdraw any surplus above the equivalent of</w:t>
      </w:r>
      <w:r>
        <w:rPr>
          <w:rFonts w:ascii="Arial" w:cs="Arial" w:eastAsia="Arial" w:hAnsi="Arial"/>
          <w:sz w:val="18"/>
          <w:szCs w:val="18"/>
          <w:b w:val="1"/>
          <w:bCs w:val="1"/>
          <w:color w:val="auto"/>
        </w:rPr>
        <w:t xml:space="preserve"> </w:t>
      </w:r>
      <w:r>
        <w:rPr>
          <w:rFonts w:ascii="Arial" w:cs="Arial" w:eastAsia="Arial" w:hAnsi="Arial"/>
          <w:sz w:val="18"/>
          <w:szCs w:val="18"/>
          <w:color w:val="auto"/>
        </w:rPr>
        <w:t>four gross monthly salaries accumulated in the CTS account to date, after payments were made in May, which also led to growth in this type of deposit in 2Q15. It is important to note that the majority of withdrawals were made in LC. Accordingly, the YoY analysis shows that this type of deposit fell -8.6%, which explains why this source’s share of Credicorp’s total funding fell, mainly at BCP Stand-Alone.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Demand deposits and non-interest bearing </w:t>
      </w:r>
      <w:r>
        <w:rPr>
          <w:rFonts w:ascii="Arial" w:cs="Arial" w:eastAsia="Arial" w:hAnsi="Arial"/>
          <w:sz w:val="18"/>
          <w:szCs w:val="18"/>
          <w:color w:val="auto"/>
        </w:rPr>
        <w:t>deposits fell slightly QoQ due to an increase in withdrawals by individuals.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it is important to note that growth in deposits was accentuated by an appreciation of the US Dollar against the Nuevo Sol given that 60.4% of total deposits at Credicorp are denominated in FC as we will explain later in the report.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2.2.1</w:t>
      </w:r>
      <w:r>
        <w:rPr>
          <w:sz w:val="20"/>
          <w:szCs w:val="20"/>
          <w:color w:val="auto"/>
        </w:rPr>
        <w:tab/>
      </w:r>
      <w:r>
        <w:rPr>
          <w:rFonts w:ascii="Arial" w:cs="Arial" w:eastAsia="Arial" w:hAnsi="Arial"/>
          <w:sz w:val="17"/>
          <w:szCs w:val="17"/>
          <w:i w:val="1"/>
          <w:iCs w:val="1"/>
          <w:color w:val="auto"/>
        </w:rPr>
        <w:t>Deposit dollarization</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In 3Q15 </w:t>
      </w:r>
      <w:r>
        <w:rPr>
          <w:rFonts w:ascii="Arial" w:cs="Arial" w:eastAsia="Arial" w:hAnsi="Arial"/>
          <w:sz w:val="18"/>
          <w:szCs w:val="18"/>
          <w:b w:val="1"/>
          <w:bCs w:val="1"/>
          <w:color w:val="auto"/>
        </w:rPr>
        <w:t>Credicorp</w:t>
      </w:r>
      <w:r>
        <w:rPr>
          <w:rFonts w:ascii="Arial" w:cs="Arial" w:eastAsia="Arial" w:hAnsi="Arial"/>
          <w:sz w:val="18"/>
          <w:szCs w:val="18"/>
          <w:color w:val="auto"/>
        </w:rPr>
        <w:t xml:space="preserve"> reported a QoQ increase in the level of dollarization of deposits, which rose from 57% in 2Q15 to 60% this quarter. This was in line with an expansion in time deposits at BCP Stand-Alone, which increased their dollarization from 53% to 58% at the end of 3Q15.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It is important to note that approximately 89% of total deposits at Credicorp originated in Peru, specifically by BCP Stand-Alone and Mibanco.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BAP's deposits dollarization</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90170</wp:posOffset>
            </wp:positionV>
            <wp:extent cx="2392680" cy="1003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9268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 Deposit dollarization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74030" cy="12522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74030"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At the end of 3Q15, approximately 65% of all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were FC deposits. This was attributable to an increase in deposits in Retail Banking. In line with depreciation in the US Dollar, real growth in these deposits was +25.7% QoQ. Additionally, this type of funding represents around 21% of Credicorp’s total deposits.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Savings deposits </w:t>
      </w:r>
      <w:r>
        <w:rPr>
          <w:rFonts w:ascii="Arial" w:cs="Arial" w:eastAsia="Arial" w:hAnsi="Arial"/>
          <w:sz w:val="18"/>
          <w:szCs w:val="18"/>
          <w:color w:val="auto"/>
        </w:rPr>
        <w:t>posted a slight increase QoQ in dollarization from 50% to 51%. This was in line with growth in FC savings from individuals.</w:t>
      </w:r>
    </w:p>
    <w:p>
      <w:pPr>
        <w:spacing w:after="0" w:line="200" w:lineRule="exact"/>
        <w:rPr>
          <w:sz w:val="20"/>
          <w:szCs w:val="20"/>
          <w:color w:val="auto"/>
        </w:rPr>
      </w:pPr>
    </w:p>
    <w:p>
      <w:pPr>
        <w:spacing w:after="0" w:line="238"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 xml:space="preserve">Severance indemnity Deposits </w:t>
      </w:r>
      <w:r>
        <w:rPr>
          <w:rFonts w:ascii="Arial" w:cs="Arial" w:eastAsia="Arial" w:hAnsi="Arial"/>
          <w:sz w:val="17"/>
          <w:szCs w:val="17"/>
          <w:color w:val="auto"/>
        </w:rPr>
        <w:t>reported a slight dollarization due to more withdrawals in LC in 3Q15, as explained in section “Deposits” of this report.</w:t>
      </w:r>
    </w:p>
    <w:p>
      <w:pPr>
        <w:spacing w:after="0" w:line="237"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 xml:space="preserve">Demand Deposits </w:t>
      </w:r>
      <w:r>
        <w:rPr>
          <w:rFonts w:ascii="Arial" w:cs="Arial" w:eastAsia="Arial" w:hAnsi="Arial"/>
          <w:sz w:val="18"/>
          <w:szCs w:val="18"/>
          <w:color w:val="auto"/>
        </w:rPr>
        <w:t>posted higher dollarization given that individuals withdrew more in LC. This was accentuated by the slight increase in FC demand</w:t>
      </w:r>
      <w:r>
        <w:rPr>
          <w:rFonts w:ascii="Arial" w:cs="Arial" w:eastAsia="Arial" w:hAnsi="Arial"/>
          <w:sz w:val="18"/>
          <w:szCs w:val="18"/>
          <w:b w:val="1"/>
          <w:bCs w:val="1"/>
          <w:color w:val="auto"/>
        </w:rPr>
        <w:t xml:space="preserve"> </w:t>
      </w:r>
      <w:r>
        <w:rPr>
          <w:rFonts w:ascii="Arial" w:cs="Arial" w:eastAsia="Arial" w:hAnsi="Arial"/>
          <w:sz w:val="18"/>
          <w:szCs w:val="18"/>
          <w:color w:val="auto"/>
        </w:rPr>
        <w:t>deposits, which reflected the impact of appreciation of the US Dollar against the Nuevo Sol (+1.42% QoQ).</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BCP Stand-alone – Deposit dollarization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74030" cy="1166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74030"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analysis of the evolution of the four types of deposits available at BCP Stand-Alone in terms of average daily balances reveals: (1) similar dollarization trend in time deposits, demand deposits and savings deposits, which was in line with an increase in FC deposits; and (2) stability in the currency mix for CTS Deposits.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2.2.2</w:t>
      </w:r>
      <w:r>
        <w:rPr>
          <w:sz w:val="20"/>
          <w:szCs w:val="20"/>
          <w:color w:val="auto"/>
        </w:rPr>
        <w:tab/>
      </w:r>
      <w:r>
        <w:rPr>
          <w:rFonts w:ascii="Arial" w:cs="Arial" w:eastAsia="Arial" w:hAnsi="Arial"/>
          <w:sz w:val="16"/>
          <w:szCs w:val="16"/>
          <w:i w:val="1"/>
          <w:iCs w:val="1"/>
          <w:color w:val="auto"/>
        </w:rPr>
        <w:t>Market share in deposits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74030" cy="2186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4030" cy="218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August 2015, Credicorp’s subsidiaries in Peru, BCP and Mibanco, continued to lead the market for different types of deposits, with a 32.4% market share (30.4% in LC deposits and 34.6% in FC deposits). It is important to note that despite these slight decreases, as we will explain later on, these results were approximately 10 percentage points higher than those of our closest competitor.</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QoQ analysis of deposit types shows that the market share of time deposits increased, which was in line with higher capture levels for these deposits at the end of 3Q15, as discussed above. Nevertheless, demand deposits, savings deposits and severance indemnity deposit levels dropped slightly.</w:t>
      </w:r>
    </w:p>
    <w:p>
      <w:pPr>
        <w:spacing w:after="0" w:line="333"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line="342" w:lineRule="auto"/>
        <w:rPr>
          <w:sz w:val="20"/>
          <w:szCs w:val="20"/>
          <w:color w:val="auto"/>
        </w:rPr>
      </w:pPr>
      <w:r>
        <w:rPr>
          <w:rFonts w:ascii="Arial" w:cs="Arial" w:eastAsia="Arial" w:hAnsi="Arial"/>
          <w:sz w:val="16"/>
          <w:szCs w:val="16"/>
          <w:color w:val="auto"/>
        </w:rPr>
        <w:t>BCP Bolivia held on to fifth place in the banking system in Bolivia with a market share of 9.0% at the end of September 2015. The market share fell -1.5% QoQ given that new participants (savings and loans and financing institutions) entered the financial system, increasing the total deposit volume system-wide.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2.3</w:t>
            </w:r>
          </w:p>
        </w:tc>
        <w:tc>
          <w:tcPr>
            <w:tcW w:w="4460" w:type="dxa"/>
            <w:vAlign w:val="bottom"/>
            <w:gridSpan w:val="3"/>
          </w:tcPr>
          <w:p>
            <w:pPr>
              <w:ind w:left="220"/>
              <w:spacing w:after="0"/>
              <w:rPr>
                <w:sz w:val="20"/>
                <w:szCs w:val="20"/>
                <w:color w:val="auto"/>
              </w:rPr>
            </w:pPr>
            <w:r>
              <w:rPr>
                <w:rFonts w:ascii="Arial" w:cs="Arial" w:eastAsia="Arial" w:hAnsi="Arial"/>
                <w:sz w:val="18"/>
                <w:szCs w:val="18"/>
                <w:b w:val="1"/>
                <w:bCs w:val="1"/>
                <w:color w:val="auto"/>
              </w:rPr>
              <w:t>Other funding sources</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40" w:type="dxa"/>
            <w:vAlign w:val="bottom"/>
          </w:tcPr>
          <w:p>
            <w:pPr>
              <w:spacing w:after="0"/>
              <w:rPr>
                <w:sz w:val="24"/>
                <w:szCs w:val="24"/>
                <w:color w:val="auto"/>
              </w:rPr>
            </w:pPr>
          </w:p>
        </w:tc>
        <w:tc>
          <w:tcPr>
            <w:tcW w:w="4460" w:type="dxa"/>
            <w:vAlign w:val="bottom"/>
            <w:gridSpan w:val="3"/>
          </w:tcPr>
          <w:p>
            <w:pPr>
              <w:ind w:left="220"/>
              <w:spacing w:after="0"/>
              <w:rPr>
                <w:sz w:val="20"/>
                <w:szCs w:val="20"/>
                <w:color w:val="auto"/>
              </w:rPr>
            </w:pPr>
            <w:r>
              <w:rPr>
                <w:rFonts w:ascii="Arial" w:cs="Arial" w:eastAsia="Arial" w:hAnsi="Arial"/>
                <w:sz w:val="18"/>
                <w:szCs w:val="18"/>
                <w:b w:val="1"/>
                <w:bCs w:val="1"/>
                <w:color w:val="auto"/>
              </w:rPr>
              <w:t>Other funding sources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Quarter</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w w:val="90"/>
              </w:rPr>
              <w:t>% change</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S/. 000</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3Q14</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2Q15</w:t>
            </w:r>
          </w:p>
        </w:tc>
        <w:tc>
          <w:tcPr>
            <w:tcW w:w="1100" w:type="dxa"/>
            <w:vAlign w:val="bottom"/>
            <w:gridSpan w:val="2"/>
          </w:tcPr>
          <w:p>
            <w:pPr>
              <w:ind w:left="260"/>
              <w:spacing w:after="0"/>
              <w:rPr>
                <w:sz w:val="20"/>
                <w:szCs w:val="20"/>
                <w:color w:val="auto"/>
              </w:rPr>
            </w:pPr>
            <w:r>
              <w:rPr>
                <w:rFonts w:ascii="Arial" w:cs="Arial" w:eastAsia="Arial" w:hAnsi="Arial"/>
                <w:sz w:val="18"/>
                <w:szCs w:val="18"/>
                <w:b w:val="1"/>
                <w:bCs w:val="1"/>
                <w:color w:val="auto"/>
              </w:rPr>
              <w:t>3Q15</w:t>
            </w:r>
          </w:p>
        </w:tc>
        <w:tc>
          <w:tcPr>
            <w:tcW w:w="1380" w:type="dxa"/>
            <w:vAlign w:val="bottom"/>
            <w:gridSpan w:val="3"/>
          </w:tcPr>
          <w:p>
            <w:pPr>
              <w:ind w:left="240"/>
              <w:spacing w:after="0"/>
              <w:rPr>
                <w:sz w:val="20"/>
                <w:szCs w:val="20"/>
                <w:color w:val="auto"/>
              </w:rPr>
            </w:pPr>
            <w:r>
              <w:rPr>
                <w:rFonts w:ascii="Arial" w:cs="Arial" w:eastAsia="Arial" w:hAnsi="Arial"/>
                <w:sz w:val="18"/>
                <w:szCs w:val="18"/>
                <w:b w:val="1"/>
                <w:bCs w:val="1"/>
                <w:color w:val="auto"/>
              </w:rPr>
              <w:t>QoQ</w:t>
            </w:r>
          </w:p>
        </w:tc>
        <w:tc>
          <w:tcPr>
            <w:tcW w:w="8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1"/>
              </w:rPr>
              <w:t>YoY</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0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11,031,469</w:t>
            </w:r>
          </w:p>
        </w:tc>
        <w:tc>
          <w:tcPr>
            <w:tcW w:w="20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9,180,228</w:t>
            </w:r>
          </w:p>
        </w:tc>
        <w:tc>
          <w:tcPr>
            <w:tcW w:w="18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4"/>
              </w:rPr>
              <w:t>9,737,111</w:t>
            </w:r>
          </w:p>
        </w:tc>
        <w:tc>
          <w:tcPr>
            <w:tcW w:w="20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4,980,531</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10,012,756</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11,863,340</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15,229,395</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15,601,653</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16,016,573</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40" w:type="dxa"/>
            <w:vAlign w:val="bottom"/>
            <w:gridSpan w:val="2"/>
          </w:tcPr>
          <w:p>
            <w:pPr>
              <w:spacing w:after="0" w:line="269" w:lineRule="exact"/>
              <w:rPr>
                <w:sz w:val="20"/>
                <w:szCs w:val="20"/>
                <w:color w:val="auto"/>
              </w:rPr>
            </w:pPr>
            <w:r>
              <w:rPr>
                <w:rFonts w:ascii="Arial" w:cs="Arial" w:eastAsia="Arial" w:hAnsi="Arial"/>
                <w:sz w:val="18"/>
                <w:szCs w:val="18"/>
                <w:color w:val="auto"/>
              </w:rPr>
              <w:t>Other liabilities</w:t>
            </w:r>
            <w:r>
              <w:rPr>
                <w:rFonts w:ascii="Arial" w:cs="Arial" w:eastAsia="Arial" w:hAnsi="Arial"/>
                <w:sz w:val="30"/>
                <w:szCs w:val="30"/>
                <w:color w:val="auto"/>
                <w:vertAlign w:val="superscript"/>
              </w:rPr>
              <w:t>(1)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12,469,541</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12,128,488</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13,010,791</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Other funding sources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43,710,936</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46,923,125</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86"/>
              </w:rPr>
              <w:t>50,627,815</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b w:val="1"/>
                <w:bCs w:val="1"/>
                <w:color w:val="auto"/>
                <w:w w:val="79"/>
              </w:rPr>
              <w:t>7.9</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ind w:left="660" w:hanging="4"/>
        <w:spacing w:after="0" w:line="261"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acceptances outstanding, reserves for property and casualty claims, reserve for unearned premiums, reinsurance payable and other liabilities.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total of </w:t>
      </w:r>
      <w:r>
        <w:rPr>
          <w:rFonts w:ascii="Arial" w:cs="Arial" w:eastAsia="Arial" w:hAnsi="Arial"/>
          <w:sz w:val="18"/>
          <w:szCs w:val="18"/>
          <w:b w:val="1"/>
          <w:bCs w:val="1"/>
          <w:color w:val="auto"/>
        </w:rPr>
        <w:t>Other Sources of Funding</w:t>
      </w:r>
      <w:r>
        <w:rPr>
          <w:rFonts w:ascii="Arial" w:cs="Arial" w:eastAsia="Arial" w:hAnsi="Arial"/>
          <w:sz w:val="18"/>
          <w:szCs w:val="18"/>
          <w:color w:val="auto"/>
        </w:rPr>
        <w:t xml:space="preserve"> increased +7.9% QoQ, mainly due to an expansion in BCRP instruments (+18.5% QoQ) and to a lesser extent, in Other Liabilities (7.3% QoQ).</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The increase in the level of </w:t>
      </w:r>
      <w:r>
        <w:rPr>
          <w:rFonts w:ascii="Arial" w:cs="Arial" w:eastAsia="Arial" w:hAnsi="Arial"/>
          <w:sz w:val="17"/>
          <w:szCs w:val="17"/>
          <w:b w:val="1"/>
          <w:bCs w:val="1"/>
          <w:color w:val="auto"/>
        </w:rPr>
        <w:t>BCRP Instruments</w:t>
      </w:r>
      <w:r>
        <w:rPr>
          <w:rFonts w:ascii="Arial" w:cs="Arial" w:eastAsia="Arial" w:hAnsi="Arial"/>
          <w:sz w:val="17"/>
          <w:szCs w:val="17"/>
          <w:color w:val="auto"/>
        </w:rPr>
        <w:t xml:space="preserve"> was registered mainly by BCP Stand-Alone. In this context, this instrument’s share of total funding increased from 4.2% at the end of 3Q14 to 7.8% at the end of 2Q15 and 8.7% at the end of 3Q15. The share of this type of funding continues to increase given that its conditions help strengthen long-term funding at relatively lower cost than those of other sources, which may offer the same tenure, but at a higher cost (i.e. debt issuances, due to banks and correspondents). Additionally, BCRP instruments are denominated in Nuevos Soles, which is the currency of the loan book that is expanding. Additionally, the stability of these instruments exceeds that of any other funding source.</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18"/>
          <w:szCs w:val="18"/>
          <w:color w:val="auto"/>
        </w:rPr>
        <w:t>posted an increase (+7.3% QoQ) due to more transactions with financial derivatives and higher provisions for income tax, specifically at the</w:t>
      </w:r>
      <w:r>
        <w:rPr>
          <w:rFonts w:ascii="Arial" w:cs="Arial" w:eastAsia="Arial" w:hAnsi="Arial"/>
          <w:sz w:val="18"/>
          <w:szCs w:val="18"/>
          <w:b w:val="1"/>
          <w:bCs w:val="1"/>
          <w:color w:val="auto"/>
        </w:rPr>
        <w:t xml:space="preserve"> </w:t>
      </w:r>
      <w:r>
        <w:rPr>
          <w:rFonts w:ascii="Arial" w:cs="Arial" w:eastAsia="Arial" w:hAnsi="Arial"/>
          <w:sz w:val="18"/>
          <w:szCs w:val="18"/>
          <w:color w:val="auto"/>
        </w:rPr>
        <w:t>BCP Stand-Alone subsidiary.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Due to banks and correspondents </w:t>
      </w:r>
      <w:r>
        <w:rPr>
          <w:rFonts w:ascii="Arial" w:cs="Arial" w:eastAsia="Arial" w:hAnsi="Arial"/>
          <w:sz w:val="18"/>
          <w:szCs w:val="18"/>
          <w:color w:val="auto"/>
        </w:rPr>
        <w:t>grew 6.1% QoQ, which was due primarily to an increase in long term debt and financial obligations and in interbank</w:t>
      </w:r>
      <w:r>
        <w:rPr>
          <w:rFonts w:ascii="Arial" w:cs="Arial" w:eastAsia="Arial" w:hAnsi="Arial"/>
          <w:sz w:val="18"/>
          <w:szCs w:val="18"/>
          <w:b w:val="1"/>
          <w:bCs w:val="1"/>
          <w:color w:val="auto"/>
        </w:rPr>
        <w:t xml:space="preserve"> </w:t>
      </w:r>
      <w:r>
        <w:rPr>
          <w:rFonts w:ascii="Arial" w:cs="Arial" w:eastAsia="Arial" w:hAnsi="Arial"/>
          <w:sz w:val="18"/>
          <w:szCs w:val="18"/>
          <w:color w:val="auto"/>
        </w:rPr>
        <w:t>funds at BCP Stand-Alone is particular.</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Bonds and subordinated debt </w:t>
      </w:r>
      <w:r>
        <w:rPr>
          <w:rFonts w:ascii="Arial" w:cs="Arial" w:eastAsia="Arial" w:hAnsi="Arial"/>
          <w:sz w:val="18"/>
          <w:szCs w:val="18"/>
          <w:color w:val="auto"/>
        </w:rPr>
        <w:t>increased +2.7% QoQ. This was primarily attributable to an increase at BCP Stand-Alone and to a lesser extent at Mibanco.</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case of BCP Stand-Alone, this component was affected by the appreciation in the US Dollar (+1.42% QoQ) given that 88% of this liability is denominated in FC.</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YoY analysis reveals a significant increase in BCRP instruments (+138.2% YoY) while Due to Banks and Correspondents fell (-11.7% YoY), which was in line with on-going efforts to replace different types of funding with BCRP instruments.</w:t>
      </w:r>
    </w:p>
    <w:p>
      <w:pPr>
        <w:spacing w:after="0" w:line="379"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Loan/Deposits (L/D)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 Deposit ratio by subsidiary and currency type</w:t>
      </w:r>
    </w:p>
    <w:p>
      <w:pPr>
        <w:spacing w:after="0" w:line="212"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Loans</w:t>
            </w:r>
          </w:p>
        </w:tc>
        <w:tc>
          <w:tcPr>
            <w:tcW w:w="68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0"/>
        </w:trPr>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8"/>
                <w:szCs w:val="18"/>
                <w:b w:val="1"/>
                <w:bCs w:val="1"/>
                <w:color w:val="auto"/>
                <w:w w:val="87"/>
              </w:rPr>
              <w:t>Deposit</w:t>
            </w:r>
          </w:p>
        </w:tc>
        <w:tc>
          <w:tcPr>
            <w:tcW w:w="1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23"/>
        </w:trPr>
        <w:tc>
          <w:tcPr>
            <w:tcW w:w="168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BCP Stand-alone</w:t>
            </w:r>
          </w:p>
        </w:tc>
        <w:tc>
          <w:tcPr>
            <w:tcW w:w="240" w:type="dxa"/>
            <w:vAlign w:val="bottom"/>
            <w:tcBorders>
              <w:bottom w:val="single" w:sz="8" w:color="CCEEFF"/>
            </w:tcBorders>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Mibanco</w:t>
            </w:r>
          </w:p>
        </w:tc>
        <w:tc>
          <w:tcPr>
            <w:tcW w:w="240" w:type="dxa"/>
            <w:vAlign w:val="bottom"/>
            <w:tcBorders>
              <w:bottom w:val="single" w:sz="8" w:color="CCEEFF"/>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BCP Bolivia</w:t>
            </w: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ASB</w:t>
            </w:r>
          </w:p>
        </w:tc>
        <w:tc>
          <w:tcPr>
            <w:tcW w:w="2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BAP</w:t>
            </w:r>
          </w:p>
        </w:tc>
        <w:tc>
          <w:tcPr>
            <w:tcW w:w="180" w:type="dxa"/>
            <w:vAlign w:val="bottom"/>
            <w:tcBorders>
              <w:bottom w:val="single" w:sz="8" w:color="CCEEFF"/>
            </w:tcBorders>
          </w:tcPr>
          <w:p>
            <w:pPr>
              <w:spacing w:after="0"/>
              <w:rPr>
                <w:sz w:val="19"/>
                <w:szCs w:val="19"/>
                <w:color w:val="auto"/>
              </w:rPr>
            </w:pPr>
          </w:p>
        </w:tc>
      </w:tr>
      <w:tr>
        <w:trPr>
          <w:trHeight w:val="210"/>
        </w:trPr>
        <w:tc>
          <w:tcPr>
            <w:tcW w:w="16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3Q14</w:t>
            </w:r>
          </w:p>
        </w:tc>
        <w:tc>
          <w:tcPr>
            <w:tcW w:w="8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102.7%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101.1%</w:t>
            </w:r>
          </w:p>
        </w:tc>
      </w:tr>
      <w:tr>
        <w:trPr>
          <w:trHeight w:val="216"/>
        </w:trPr>
        <w:tc>
          <w:tcPr>
            <w:tcW w:w="1680" w:type="dxa"/>
            <w:vAlign w:val="bottom"/>
          </w:tcPr>
          <w:p>
            <w:pPr>
              <w:ind w:left="640"/>
              <w:spacing w:after="0"/>
              <w:rPr>
                <w:sz w:val="20"/>
                <w:szCs w:val="20"/>
                <w:color w:val="auto"/>
              </w:rPr>
            </w:pPr>
            <w:r>
              <w:rPr>
                <w:rFonts w:ascii="Arial" w:cs="Arial" w:eastAsia="Arial" w:hAnsi="Arial"/>
                <w:sz w:val="18"/>
                <w:szCs w:val="18"/>
                <w:b w:val="1"/>
                <w:bCs w:val="1"/>
                <w:color w:val="auto"/>
              </w:rPr>
              <w:t>2Q15</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106.7%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4"/>
          </w:tcPr>
          <w:p>
            <w:pPr>
              <w:jc w:val="right"/>
              <w:ind w:right="100"/>
              <w:spacing w:after="0"/>
              <w:rPr>
                <w:sz w:val="20"/>
                <w:szCs w:val="20"/>
                <w:color w:val="auto"/>
              </w:rPr>
            </w:pPr>
            <w:r>
              <w:rPr>
                <w:rFonts w:ascii="Arial" w:cs="Arial" w:eastAsia="Arial" w:hAnsi="Arial"/>
                <w:sz w:val="18"/>
                <w:szCs w:val="18"/>
                <w:color w:val="auto"/>
              </w:rPr>
              <w:t>72.3%</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55.9%</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103.2%</w:t>
            </w:r>
          </w:p>
        </w:tc>
      </w:tr>
      <w:tr>
        <w:trPr>
          <w:trHeight w:val="216"/>
        </w:trPr>
        <w:tc>
          <w:tcPr>
            <w:tcW w:w="16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3Q15</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104.8%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101.6%</w:t>
            </w:r>
          </w:p>
        </w:tc>
      </w:tr>
      <w:tr>
        <w:trPr>
          <w:trHeight w:val="473"/>
        </w:trPr>
        <w:tc>
          <w:tcPr>
            <w:tcW w:w="16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9"/>
              </w:rPr>
              <w:t>LC</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1"/>
              </w:rPr>
              <w:t>BCP Stand-alone</w:t>
            </w:r>
          </w:p>
        </w:tc>
        <w:tc>
          <w:tcPr>
            <w:tcW w:w="220" w:type="dxa"/>
            <w:vAlign w:val="bottom"/>
            <w:tcBorders>
              <w:bottom w:val="single" w:sz="8" w:color="CCEEFF"/>
            </w:tcBorders>
            <w:gridSpan w:val="2"/>
          </w:tcPr>
          <w:p>
            <w:pPr>
              <w:spacing w:after="0"/>
              <w:rPr>
                <w:sz w:val="24"/>
                <w:szCs w:val="24"/>
                <w:color w:val="auto"/>
              </w:rPr>
            </w:pPr>
          </w:p>
        </w:tc>
        <w:tc>
          <w:tcPr>
            <w:tcW w:w="12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Mibanco</w:t>
            </w:r>
          </w:p>
        </w:tc>
        <w:tc>
          <w:tcPr>
            <w:tcW w:w="160" w:type="dxa"/>
            <w:vAlign w:val="bottom"/>
            <w:tcBorders>
              <w:bottom w:val="single" w:sz="8" w:color="CCEEFF"/>
            </w:tcBorders>
            <w:gridSpan w:val="2"/>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1680" w:type="dxa"/>
            <w:vAlign w:val="bottom"/>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90"/>
              </w:rPr>
              <w:t>3Q14</w:t>
            </w:r>
          </w:p>
        </w:tc>
        <w:tc>
          <w:tcPr>
            <w:tcW w:w="1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105.1%</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68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2Q15</w:t>
            </w:r>
          </w:p>
        </w:tc>
        <w:tc>
          <w:tcPr>
            <w:tcW w:w="1840" w:type="dxa"/>
            <w:vAlign w:val="bottom"/>
            <w:gridSpan w:val="7"/>
          </w:tcPr>
          <w:p>
            <w:pPr>
              <w:jc w:val="right"/>
              <w:ind w:right="60"/>
              <w:spacing w:after="0"/>
              <w:rPr>
                <w:sz w:val="20"/>
                <w:szCs w:val="20"/>
                <w:color w:val="auto"/>
              </w:rPr>
            </w:pPr>
            <w:r>
              <w:rPr>
                <w:rFonts w:ascii="Arial" w:cs="Arial" w:eastAsia="Arial" w:hAnsi="Arial"/>
                <w:sz w:val="18"/>
                <w:szCs w:val="18"/>
                <w:color w:val="auto"/>
              </w:rPr>
              <w:t>134.7%</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181.7%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680" w:type="dxa"/>
            <w:vAlign w:val="bottom"/>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90"/>
              </w:rPr>
              <w:t>3Q15</w:t>
            </w:r>
          </w:p>
        </w:tc>
        <w:tc>
          <w:tcPr>
            <w:tcW w:w="184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152.5%</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73"/>
        </w:trPr>
        <w:tc>
          <w:tcPr>
            <w:tcW w:w="16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9"/>
              </w:rPr>
              <w:t>FC</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1"/>
              </w:rPr>
              <w:t>BCP Stand-alone</w:t>
            </w:r>
          </w:p>
        </w:tc>
        <w:tc>
          <w:tcPr>
            <w:tcW w:w="220" w:type="dxa"/>
            <w:vAlign w:val="bottom"/>
            <w:tcBorders>
              <w:bottom w:val="single" w:sz="8" w:color="CCEEFF"/>
            </w:tcBorders>
            <w:gridSpan w:val="2"/>
          </w:tcPr>
          <w:p>
            <w:pPr>
              <w:spacing w:after="0"/>
              <w:rPr>
                <w:sz w:val="24"/>
                <w:szCs w:val="24"/>
                <w:color w:val="auto"/>
              </w:rPr>
            </w:pPr>
          </w:p>
        </w:tc>
        <w:tc>
          <w:tcPr>
            <w:tcW w:w="12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Mibanco</w:t>
            </w:r>
          </w:p>
        </w:tc>
        <w:tc>
          <w:tcPr>
            <w:tcW w:w="160" w:type="dxa"/>
            <w:vAlign w:val="bottom"/>
            <w:tcBorders>
              <w:bottom w:val="single" w:sz="8" w:color="CCEEFF"/>
            </w:tcBorders>
            <w:gridSpan w:val="2"/>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1680" w:type="dxa"/>
            <w:vAlign w:val="bottom"/>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90"/>
              </w:rPr>
              <w:t>3Q14</w:t>
            </w:r>
          </w:p>
        </w:tc>
        <w:tc>
          <w:tcPr>
            <w:tcW w:w="1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100.3%</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68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2Q15</w:t>
            </w:r>
          </w:p>
        </w:tc>
        <w:tc>
          <w:tcPr>
            <w:tcW w:w="1840" w:type="dxa"/>
            <w:vAlign w:val="bottom"/>
            <w:gridSpan w:val="7"/>
          </w:tcPr>
          <w:p>
            <w:pPr>
              <w:jc w:val="right"/>
              <w:ind w:right="60"/>
              <w:spacing w:after="0"/>
              <w:rPr>
                <w:sz w:val="20"/>
                <w:szCs w:val="20"/>
                <w:color w:val="auto"/>
              </w:rPr>
            </w:pPr>
            <w:r>
              <w:rPr>
                <w:rFonts w:ascii="Arial" w:cs="Arial" w:eastAsia="Arial" w:hAnsi="Arial"/>
                <w:sz w:val="18"/>
                <w:szCs w:val="18"/>
                <w:color w:val="auto"/>
              </w:rPr>
              <w:t>82.1%</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680" w:type="dxa"/>
            <w:vAlign w:val="bottom"/>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90"/>
              </w:rPr>
              <w:t>3Q15</w:t>
            </w:r>
          </w:p>
        </w:tc>
        <w:tc>
          <w:tcPr>
            <w:tcW w:w="184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69.7%</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loan/deposit</w:t>
      </w:r>
      <w:r>
        <w:rPr>
          <w:rFonts w:ascii="Arial" w:cs="Arial" w:eastAsia="Arial" w:hAnsi="Arial"/>
          <w:sz w:val="16"/>
          <w:szCs w:val="16"/>
          <w:color w:val="auto"/>
        </w:rPr>
        <w:t xml:space="preserve"> ratio (L/D) at Credicorp fell -160 bps QoQ. The same trend was seen at the banking subsidiaries: BCP Stand-Alone, Mibanco and ASB.</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These decrease was in line with the +6.8% QoQ increase in total deposits vs. lower growth in total loans (+5.2% QoQ). Nevertheless, it is important to note that the more substantial increase in total deposits was due to an increase in short terms deposits towards the end of the quarter.</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YoY evolution shows a slight increase of +50 bps in the L/D ratio, which was in line with LC loan expansion and its dynamism in the second half of the year, while funding came mainly from larger use of BCRP instruments. Nevertheless, it is important to note that the L/D ratio continues to be low and is within the organization’s apetite.</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total L/D ratio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was situated at 104.8% at the end of 3Q15, which fell -190 bps below the level reported in 2Q15 (106.7%). The L/D by currency reported an increase in LC and was situated at 152.5% at the end of 3Q15 vs. 134.7% at the end of 2Q15, which was in line with the fact that more loans were issued in LC and with a drop in LC deposits. The L/D ratio in FC fell -124 bps, which was primarily due to a more significant increase in FC time deposits than in FC loans.</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evolution of the LC ratio does not represent a significant risk given that this type of ratio has limitations in that it fails to consider the advantages, in terms of adequate asset and liability management, that alternative funding such as BCRP instruments offer, mainly with regards to tenure and stability.</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Mibanco</w:t>
      </w:r>
      <w:r>
        <w:rPr>
          <w:rFonts w:ascii="Arial" w:cs="Arial" w:eastAsia="Arial" w:hAnsi="Arial"/>
          <w:sz w:val="18"/>
          <w:szCs w:val="18"/>
          <w:color w:val="auto"/>
        </w:rPr>
        <w:t>’s total L/D ratio fell -86 bps due to higher growth in deposits vs. loans. Growth in deposits was due to the increase posted in time deposits from</w:t>
      </w:r>
      <w:r>
        <w:rPr>
          <w:rFonts w:ascii="Arial" w:cs="Arial" w:eastAsia="Arial" w:hAnsi="Arial"/>
          <w:sz w:val="18"/>
          <w:szCs w:val="18"/>
          <w:b w:val="1"/>
          <w:bCs w:val="1"/>
          <w:color w:val="auto"/>
        </w:rPr>
        <w:t xml:space="preserve"> </w:t>
      </w:r>
      <w:r>
        <w:rPr>
          <w:rFonts w:ascii="Arial" w:cs="Arial" w:eastAsia="Arial" w:hAnsi="Arial"/>
          <w:sz w:val="18"/>
          <w:szCs w:val="18"/>
          <w:color w:val="auto"/>
        </w:rPr>
        <w:t>August one. Mibanco also opted to increase its use of BCRP Instruments as a funding source. It is important to note that an analysis of the L/D ratio by currency reflects a decrease QoQ in LC L/D ratio.</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BCP Bolivia </w:t>
      </w:r>
      <w:r>
        <w:rPr>
          <w:rFonts w:ascii="Arial" w:cs="Arial" w:eastAsia="Arial" w:hAnsi="Arial"/>
          <w:sz w:val="18"/>
          <w:szCs w:val="18"/>
          <w:color w:val="auto"/>
        </w:rPr>
        <w:t>increased its L/D by +6 bps QoQ due to growth in loans. This was in line with the fact that lending activity is more dynamic in the second half</w:t>
      </w:r>
      <w:r>
        <w:rPr>
          <w:rFonts w:ascii="Arial" w:cs="Arial" w:eastAsia="Arial" w:hAnsi="Arial"/>
          <w:sz w:val="18"/>
          <w:szCs w:val="18"/>
          <w:b w:val="1"/>
          <w:bCs w:val="1"/>
          <w:color w:val="auto"/>
        </w:rPr>
        <w:t xml:space="preserve"> </w:t>
      </w:r>
      <w:r>
        <w:rPr>
          <w:rFonts w:ascii="Arial" w:cs="Arial" w:eastAsia="Arial" w:hAnsi="Arial"/>
          <w:sz w:val="18"/>
          <w:szCs w:val="18"/>
          <w:color w:val="auto"/>
        </w:rPr>
        <w:t>of the year.</w:t>
      </w:r>
    </w:p>
    <w:p>
      <w:pPr>
        <w:spacing w:after="0" w:line="375"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spacing w:after="0"/>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Funding Cost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Credicorp’s </w:t>
      </w:r>
      <w:r>
        <w:rPr>
          <w:rFonts w:ascii="Arial" w:cs="Arial" w:eastAsia="Arial" w:hAnsi="Arial"/>
          <w:sz w:val="18"/>
          <w:szCs w:val="18"/>
          <w:color w:val="auto"/>
        </w:rPr>
        <w:t>funding cost posted a slight increase of +2 bps QoQ and +3 bps YoY. This was mainly attributable to the fact that this ratio increased at two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BCP Stand-Alone and ASB.</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6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2"/>
              </w:rPr>
              <w:t>Funding cost by subsidiary</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w w:val="85"/>
              </w:rPr>
              <w:t>Credicorp</w:t>
            </w:r>
            <w:r>
              <w:rPr>
                <w:rFonts w:ascii="Arial" w:cs="Arial" w:eastAsia="Arial" w:hAnsi="Arial"/>
                <w:sz w:val="30"/>
                <w:szCs w:val="30"/>
                <w:b w:val="1"/>
                <w:bCs w:val="1"/>
                <w:color w:val="auto"/>
                <w:w w:val="85"/>
                <w:vertAlign w:val="superscript"/>
              </w:rPr>
              <w:t>(1)</w:t>
            </w: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2"/>
                <w:szCs w:val="22"/>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87"/>
              </w:rPr>
              <w:t>BCP Stand-alone</w:t>
            </w:r>
          </w:p>
        </w:tc>
        <w:tc>
          <w:tcPr>
            <w:tcW w:w="260" w:type="dxa"/>
            <w:vAlign w:val="bottom"/>
          </w:tcPr>
          <w:p>
            <w:pPr>
              <w:spacing w:after="0"/>
              <w:rPr>
                <w:sz w:val="22"/>
                <w:szCs w:val="22"/>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Mibanco</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6"/>
              </w:rPr>
              <w:t>BCP Bolivia</w:t>
            </w:r>
          </w:p>
        </w:tc>
        <w:tc>
          <w:tcPr>
            <w:tcW w:w="260" w:type="dxa"/>
            <w:vAlign w:val="bottom"/>
          </w:tcPr>
          <w:p>
            <w:pPr>
              <w:spacing w:after="0"/>
              <w:rPr>
                <w:sz w:val="22"/>
                <w:szCs w:val="22"/>
                <w:color w:val="auto"/>
              </w:rPr>
            </w:pPr>
          </w:p>
        </w:tc>
        <w:tc>
          <w:tcPr>
            <w:tcW w:w="880" w:type="dxa"/>
            <w:vAlign w:val="bottom"/>
          </w:tcPr>
          <w:p>
            <w:pPr>
              <w:ind w:left="260"/>
              <w:spacing w:after="0"/>
              <w:rPr>
                <w:sz w:val="20"/>
                <w:szCs w:val="20"/>
                <w:color w:val="auto"/>
              </w:rPr>
            </w:pPr>
            <w:r>
              <w:rPr>
                <w:rFonts w:ascii="Arial" w:cs="Arial" w:eastAsia="Arial" w:hAnsi="Arial"/>
                <w:sz w:val="18"/>
                <w:szCs w:val="18"/>
                <w:color w:val="auto"/>
              </w:rPr>
              <w:t>ASB</w:t>
            </w:r>
          </w:p>
        </w:tc>
        <w:tc>
          <w:tcPr>
            <w:tcW w:w="260" w:type="dxa"/>
            <w:vAlign w:val="bottom"/>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Funding cost 3Q14</w:t>
            </w: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1.94%</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b w:val="1"/>
                <w:bCs w:val="1"/>
                <w:color w:val="auto"/>
              </w:rPr>
              <w:t>Funding cost 2Q15</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1.88%</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1.95%</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Funding cost 3Q15</w:t>
            </w: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spacing w:after="0"/>
        <w:rPr>
          <w:sz w:val="20"/>
          <w:szCs w:val="20"/>
          <w:color w:val="auto"/>
        </w:rPr>
      </w:pPr>
      <w:r>
        <w:rPr>
          <w:rFonts w:ascii="Arial" w:cs="Arial" w:eastAsia="Arial" w:hAnsi="Arial"/>
          <w:sz w:val="18"/>
          <w:szCs w:val="18"/>
          <w:color w:val="auto"/>
        </w:rPr>
        <w:t>(1) Includes banking business results, other subsidiaries and consolidation adjustments.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b w:val="1"/>
          <w:bCs w:val="1"/>
          <w:color w:val="auto"/>
        </w:rPr>
        <w:t>BCP Stand-Alone</w:t>
      </w:r>
      <w:r>
        <w:rPr>
          <w:rFonts w:ascii="Arial" w:cs="Arial" w:eastAsia="Arial" w:hAnsi="Arial"/>
          <w:sz w:val="18"/>
          <w:szCs w:val="18"/>
          <w:color w:val="auto"/>
        </w:rPr>
        <w:t>, the funding cost increased slightly by +3 bps QoQ given that interest expenses increased more than average total liabilities. The increase in interest expenses was due to: (i) a larger volume of BCRP instruments and with a higher cost, in line with the increase of 25 bps in the reference rate and the longer tenure (up to five years); (ii) the impact of the appreciation of the US Dollar on interest expenses for Bonds and subordinated notes; and (iii) higher level of Due to Banks and Correspondents.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ASB’s </w:t>
      </w:r>
      <w:r>
        <w:rPr>
          <w:rFonts w:ascii="Arial" w:cs="Arial" w:eastAsia="Arial" w:hAnsi="Arial"/>
          <w:sz w:val="16"/>
          <w:szCs w:val="16"/>
          <w:color w:val="auto"/>
        </w:rPr>
        <w:t>funding cost increase due to growth in captures of time deposits in FC, which was in turn affected by the appreciation in the US Dollar (1.42% QoQ).</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Mibanco</w:t>
      </w:r>
      <w:r>
        <w:rPr>
          <w:rFonts w:ascii="Arial" w:cs="Arial" w:eastAsia="Arial" w:hAnsi="Arial"/>
          <w:sz w:val="18"/>
          <w:szCs w:val="18"/>
          <w:color w:val="auto"/>
        </w:rPr>
        <w:t>’s funding cost was situated at 4.28% in 3Q15, which represents a decrease of -3 bps QoQ. The QoQ decline is in line with more use of BCRP</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It is important to note that time deposits also increased but at the beginning of August. As such, the interest expenses generated by this type of funding in the whole quarter cannot be fully appreciated.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2.6</w:t>
            </w:r>
          </w:p>
        </w:tc>
        <w:tc>
          <w:tcPr>
            <w:tcW w:w="4460" w:type="dxa"/>
            <w:vAlign w:val="bottom"/>
            <w:gridSpan w:val="3"/>
          </w:tcPr>
          <w:p>
            <w:pPr>
              <w:ind w:left="220"/>
              <w:spacing w:after="0"/>
              <w:rPr>
                <w:sz w:val="20"/>
                <w:szCs w:val="20"/>
                <w:color w:val="auto"/>
              </w:rPr>
            </w:pPr>
            <w:r>
              <w:rPr>
                <w:rFonts w:ascii="Arial" w:cs="Arial" w:eastAsia="Arial" w:hAnsi="Arial"/>
                <w:sz w:val="18"/>
                <w:szCs w:val="18"/>
                <w:b w:val="1"/>
                <w:bCs w:val="1"/>
                <w:color w:val="auto"/>
              </w:rPr>
              <w:t>Mutual Funds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440" w:type="dxa"/>
            <w:vAlign w:val="bottom"/>
          </w:tcPr>
          <w:p>
            <w:pPr>
              <w:spacing w:after="0"/>
              <w:rPr>
                <w:sz w:val="24"/>
                <w:szCs w:val="24"/>
                <w:color w:val="auto"/>
              </w:rPr>
            </w:pPr>
          </w:p>
        </w:tc>
        <w:tc>
          <w:tcPr>
            <w:tcW w:w="4460" w:type="dxa"/>
            <w:vAlign w:val="bottom"/>
            <w:gridSpan w:val="3"/>
          </w:tcPr>
          <w:p>
            <w:pPr>
              <w:ind w:left="1280"/>
              <w:spacing w:after="0"/>
              <w:rPr>
                <w:sz w:val="20"/>
                <w:szCs w:val="20"/>
                <w:color w:val="auto"/>
              </w:rPr>
            </w:pPr>
            <w:r>
              <w:rPr>
                <w:rFonts w:ascii="Arial" w:cs="Arial" w:eastAsia="Arial" w:hAnsi="Arial"/>
                <w:sz w:val="18"/>
                <w:szCs w:val="18"/>
                <w:b w:val="1"/>
                <w:bCs w:val="1"/>
                <w:color w:val="auto"/>
              </w:rPr>
              <w:t>Mutual funds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Quarter</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4"/>
          </w:tcPr>
          <w:p>
            <w:pPr>
              <w:ind w:left="52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3Q14</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2Q15</w:t>
            </w:r>
          </w:p>
        </w:tc>
        <w:tc>
          <w:tcPr>
            <w:tcW w:w="1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3Q15</w:t>
            </w:r>
          </w:p>
        </w:tc>
        <w:tc>
          <w:tcPr>
            <w:tcW w:w="14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Mutual funds in Peru</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7,540,063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8,253,621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8,728,789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Mutual funds in Bolivia</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186,658</w:t>
            </w:r>
          </w:p>
        </w:tc>
        <w:tc>
          <w:tcPr>
            <w:tcW w:w="800" w:type="dxa"/>
            <w:vAlign w:val="bottom"/>
          </w:tcPr>
          <w:p>
            <w:pPr>
              <w:jc w:val="right"/>
              <w:spacing w:after="0"/>
              <w:rPr>
                <w:sz w:val="20"/>
                <w:szCs w:val="20"/>
                <w:color w:val="auto"/>
              </w:rPr>
            </w:pPr>
            <w:r>
              <w:rPr>
                <w:rFonts w:ascii="Arial" w:cs="Arial" w:eastAsia="Arial" w:hAnsi="Arial"/>
                <w:sz w:val="18"/>
                <w:szCs w:val="18"/>
                <w:color w:val="auto"/>
              </w:rPr>
              <w:t>407,848</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437,792</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7.3%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134.5%</w:t>
            </w:r>
          </w:p>
        </w:tc>
      </w:tr>
      <w:tr>
        <w:trPr>
          <w:trHeight w:val="210"/>
        </w:trPr>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mutual funds</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7,726,721</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8,661,468</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9,166,581</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b w:val="1"/>
                <w:bCs w:val="1"/>
                <w:color w:val="auto"/>
                <w:w w:val="79"/>
              </w:rPr>
              <w:t>5.8</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19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Credicorp Capital Fondos Perú </w:t>
      </w:r>
      <w:r>
        <w:rPr>
          <w:rFonts w:ascii="Arial" w:cs="Arial" w:eastAsia="Arial" w:hAnsi="Arial"/>
          <w:sz w:val="16"/>
          <w:szCs w:val="16"/>
          <w:color w:val="auto"/>
        </w:rPr>
        <w:t>reported an increase of +5.8% QoQ in its fund level, in line with its leading position in the market, and posted an increase</w:t>
      </w:r>
      <w:r>
        <w:rPr>
          <w:rFonts w:ascii="Arial" w:cs="Arial" w:eastAsia="Arial" w:hAnsi="Arial"/>
          <w:sz w:val="16"/>
          <w:szCs w:val="16"/>
          <w:b w:val="1"/>
          <w:bCs w:val="1"/>
          <w:color w:val="auto"/>
        </w:rPr>
        <w:t xml:space="preserve"> </w:t>
      </w:r>
      <w:r>
        <w:rPr>
          <w:rFonts w:ascii="Arial" w:cs="Arial" w:eastAsia="Arial" w:hAnsi="Arial"/>
          <w:sz w:val="16"/>
          <w:szCs w:val="16"/>
          <w:color w:val="auto"/>
        </w:rPr>
        <w:t>in its market share to 42.4% in terms of AuMs, which represents a 10 bps increase with regard to last quarter’s. This was in line with an increase in AuMs as well as number of participants in the system, which was due to aggressive campaigns to capture funds from higher income segments.</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Credifondo Bolivia’ </w:t>
      </w:r>
      <w:r>
        <w:rPr>
          <w:rFonts w:ascii="Arial" w:cs="Arial" w:eastAsia="Arial" w:hAnsi="Arial"/>
          <w:sz w:val="18"/>
          <w:szCs w:val="18"/>
          <w:color w:val="auto"/>
        </w:rPr>
        <w:t>AuMs continued to expand and posted growth of +7.3% QoQ. Its market share held steady at 12.6% in 3Q15, which makes it one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5 largest competitors in the country. It is important to note that the increase in AuMs was achieved with the same number of clients QoQ but who invested larger amounts in Credifondo Bolivia this quarter. Approximately 150 bps of the QoQ increase was due to the US Dollar’s appreciation against the Nuevo Sol.</w:t>
      </w:r>
    </w:p>
    <w:p>
      <w:pPr>
        <w:spacing w:after="0" w:line="393"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Portfolio quality and Provisions for loan losses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PDL ratio fell -15 bps QoQ, which was in line with: (1) an improvement in the risk quality of new vintages at BCP Stand-alone and Mibanco; (2) an increase in charge-offs, mainly at Mibanco; and (3) solid growth in loans. The NPL ratio fell -16 bps QoQ due to loan growth and a decrease in the pace of growth of NPLs. The cost of risk registered its lowest level in two years and situated at 2.02% at the end of 3Q15.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Portfolio quality and Provisions for loan losses</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3"/>
          </w:tcPr>
          <w:p>
            <w:pPr>
              <w:ind w:left="820"/>
              <w:spacing w:after="0"/>
              <w:rPr>
                <w:sz w:val="20"/>
                <w:szCs w:val="20"/>
                <w:color w:val="auto"/>
              </w:rPr>
            </w:pPr>
            <w:r>
              <w:rPr>
                <w:rFonts w:ascii="Arial" w:cs="Arial" w:eastAsia="Arial" w:hAnsi="Arial"/>
                <w:sz w:val="18"/>
                <w:szCs w:val="18"/>
                <w:b w:val="1"/>
                <w:bCs w:val="1"/>
                <w:color w:val="auto"/>
                <w:w w:val="99"/>
              </w:rPr>
              <w:t>Change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3Q14</w:t>
            </w:r>
          </w:p>
        </w:tc>
        <w:tc>
          <w:tcPr>
            <w:tcW w:w="3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2Q15</w:t>
            </w:r>
          </w:p>
        </w:tc>
        <w:tc>
          <w:tcPr>
            <w:tcW w:w="3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3Q15</w:t>
            </w:r>
          </w:p>
        </w:tc>
        <w:tc>
          <w:tcPr>
            <w:tcW w:w="3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(486,612)</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(492,770)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(497,077)</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Loan loss recoveries</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53,393</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61,008</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52,652</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 for loan losses, net of recoveries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(433,219)</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(431,762)</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(444,425)</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line="256"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(1)</w:t>
            </w: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gridSpan w:val="2"/>
            <w:vMerge w:val="continue"/>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2.29%</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2.02%</w:t>
            </w:r>
          </w:p>
        </w:tc>
        <w:tc>
          <w:tcPr>
            <w:tcW w:w="1500" w:type="dxa"/>
            <w:vAlign w:val="bottom"/>
            <w:gridSpan w:val="3"/>
          </w:tcPr>
          <w:p>
            <w:pPr>
              <w:jc w:val="right"/>
              <w:ind w:right="540"/>
              <w:spacing w:after="0"/>
              <w:rPr>
                <w:sz w:val="20"/>
                <w:szCs w:val="20"/>
                <w:color w:val="auto"/>
              </w:rPr>
            </w:pPr>
            <w:r>
              <w:rPr>
                <w:rFonts w:ascii="Arial" w:cs="Arial" w:eastAsia="Arial" w:hAnsi="Arial"/>
                <w:sz w:val="18"/>
                <w:szCs w:val="18"/>
                <w:color w:val="auto"/>
              </w:rPr>
              <w:t>-5 bps</w:t>
            </w: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-27 bps</w:t>
            </w: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Annualized provisions for loan losses / Net interest income</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w:t>
            </w:r>
          </w:p>
        </w:tc>
        <w:tc>
          <w:tcPr>
            <w:tcW w:w="1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30 bps</w:t>
            </w: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-190 bps</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loans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75,680,558</w:t>
            </w:r>
          </w:p>
        </w:tc>
        <w:tc>
          <w:tcPr>
            <w:tcW w:w="3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83,503,213</w:t>
            </w:r>
          </w:p>
        </w:tc>
        <w:tc>
          <w:tcPr>
            <w:tcW w:w="3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87,842,690</w:t>
            </w:r>
          </w:p>
        </w:tc>
        <w:tc>
          <w:tcPr>
            <w:tcW w:w="3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3,168,154</w:t>
            </w:r>
          </w:p>
        </w:tc>
        <w:tc>
          <w:tcPr>
            <w:tcW w:w="3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3,622,632</w:t>
            </w:r>
          </w:p>
        </w:tc>
        <w:tc>
          <w:tcPr>
            <w:tcW w:w="3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3,674,654</w:t>
            </w:r>
          </w:p>
        </w:tc>
        <w:tc>
          <w:tcPr>
            <w:tcW w:w="3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Charge-offs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420,715</w:t>
            </w:r>
          </w:p>
        </w:tc>
        <w:tc>
          <w:tcPr>
            <w:tcW w:w="3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353,690</w:t>
            </w:r>
          </w:p>
        </w:tc>
        <w:tc>
          <w:tcPr>
            <w:tcW w:w="3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442,768</w:t>
            </w:r>
          </w:p>
        </w:tc>
        <w:tc>
          <w:tcPr>
            <w:tcW w:w="3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82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Past-due loans (PDL) </w:t>
            </w:r>
            <w:r>
              <w:rPr>
                <w:rFonts w:ascii="Arial" w:cs="Arial" w:eastAsia="Arial" w:hAnsi="Arial"/>
                <w:sz w:val="27"/>
                <w:szCs w:val="27"/>
                <w:color w:val="auto"/>
                <w:vertAlign w:val="superscript"/>
              </w:rPr>
              <w:t>(2)</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1,961,895</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2,275,380</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2,256,655</w:t>
            </w:r>
          </w:p>
        </w:tc>
        <w:tc>
          <w:tcPr>
            <w:tcW w:w="1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Refinanced loans</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507,074</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695,539</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727,014</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0"/>
        </w:trPr>
        <w:tc>
          <w:tcPr>
            <w:tcW w:w="48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Non-performing loans (NPLs) </w:t>
            </w:r>
            <w:r>
              <w:rPr>
                <w:rFonts w:ascii="Arial" w:cs="Arial" w:eastAsia="Arial" w:hAnsi="Arial"/>
                <w:sz w:val="30"/>
                <w:szCs w:val="30"/>
                <w:color w:val="auto"/>
                <w:vertAlign w:val="superscript"/>
              </w:rPr>
              <w:t>(3)</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2,468,969</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2,970,919</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2,983,669</w:t>
            </w:r>
          </w:p>
        </w:tc>
        <w:tc>
          <w:tcPr>
            <w:tcW w:w="1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PDL ratio over 90 days</w:t>
            </w: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1.88%</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 bps</w:t>
            </w:r>
          </w:p>
        </w:tc>
        <w:tc>
          <w:tcPr>
            <w:tcW w:w="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 bps</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PDL ratio</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2.57%</w:t>
            </w:r>
          </w:p>
        </w:tc>
        <w:tc>
          <w:tcPr>
            <w:tcW w:w="1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-15 bps</w:t>
            </w: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 bps</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NPL ratio</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3.40%</w:t>
            </w:r>
          </w:p>
        </w:tc>
        <w:tc>
          <w:tcPr>
            <w:tcW w:w="15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-16 bps</w:t>
            </w:r>
          </w:p>
        </w:tc>
        <w:tc>
          <w:tcPr>
            <w:tcW w:w="9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14 bps</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ratio of PDLs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162.8%</w:t>
            </w:r>
          </w:p>
        </w:tc>
        <w:tc>
          <w:tcPr>
            <w:tcW w:w="1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360 bps</w:t>
            </w: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130 bps</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Coverage ratio of NPLs</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128.3%</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121.9%</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123.2%</w:t>
            </w:r>
          </w:p>
        </w:tc>
        <w:tc>
          <w:tcPr>
            <w:tcW w:w="1500" w:type="dxa"/>
            <w:vAlign w:val="bottom"/>
            <w:gridSpan w:val="3"/>
          </w:tcPr>
          <w:p>
            <w:pPr>
              <w:jc w:val="right"/>
              <w:ind w:right="540"/>
              <w:spacing w:after="0"/>
              <w:rPr>
                <w:sz w:val="20"/>
                <w:szCs w:val="20"/>
                <w:color w:val="auto"/>
              </w:rPr>
            </w:pPr>
            <w:r>
              <w:rPr>
                <w:rFonts w:ascii="Arial" w:cs="Arial" w:eastAsia="Arial" w:hAnsi="Arial"/>
                <w:sz w:val="18"/>
                <w:szCs w:val="18"/>
                <w:color w:val="auto"/>
              </w:rPr>
              <w:t>130 bps</w:t>
            </w: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-510 bps</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Annualized provisions for loan losses / Total loans.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Past-due loans include overdue loans and loans under legal collection.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Non-performing loans include past-due loans and refinanced loans.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Provisions for loan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Provisions for loan losses </w:t>
      </w:r>
      <w:r>
        <w:rPr>
          <w:rFonts w:ascii="Arial" w:cs="Arial" w:eastAsia="Arial" w:hAnsi="Arial"/>
          <w:sz w:val="18"/>
          <w:szCs w:val="18"/>
          <w:color w:val="auto"/>
        </w:rPr>
        <w:t>increased +2.9% QoQ to situate at S/.444.4 million in 3Q15 due to:</w:t>
      </w:r>
    </w:p>
    <w:p>
      <w:pPr>
        <w:spacing w:after="0" w:line="229" w:lineRule="exact"/>
        <w:rPr>
          <w:sz w:val="20"/>
          <w:szCs w:val="20"/>
          <w:color w:val="auto"/>
        </w:rPr>
      </w:pPr>
    </w:p>
    <w:p>
      <w:pPr>
        <w:ind w:left="620" w:right="20" w:hanging="369"/>
        <w:spacing w:after="0" w:line="277"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QoQ increase in provisions for Wholesale Banking given that 2Q15 marked the lowest provisions level in the last 2 years, after a peak in 1Q15, which was due to isolated cases in Corporate Banking.</w:t>
      </w:r>
    </w:p>
    <w:p>
      <w:pPr>
        <w:spacing w:after="0" w:line="170" w:lineRule="exact"/>
        <w:rPr>
          <w:rFonts w:ascii="Arial" w:cs="Arial" w:eastAsia="Arial" w:hAnsi="Arial"/>
          <w:sz w:val="18"/>
          <w:szCs w:val="18"/>
          <w:color w:val="auto"/>
        </w:rPr>
      </w:pPr>
    </w:p>
    <w:p>
      <w:pPr>
        <w:ind w:left="620" w:hanging="369"/>
        <w:spacing w:after="0" w:line="277"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the provisions level of the SME-Business segment was due to one client, which experienced deterioration in its debt capacity in September 2015, as we will explain later in the report.</w:t>
      </w:r>
    </w:p>
    <w:p>
      <w:pPr>
        <w:spacing w:after="0" w:line="170" w:lineRule="exact"/>
        <w:rPr>
          <w:rFonts w:ascii="Arial" w:cs="Arial" w:eastAsia="Arial" w:hAnsi="Arial"/>
          <w:sz w:val="18"/>
          <w:szCs w:val="18"/>
          <w:color w:val="auto"/>
        </w:rPr>
      </w:pPr>
    </w:p>
    <w:p>
      <w:pPr>
        <w:ind w:left="620" w:hanging="369"/>
        <w:spacing w:after="0" w:line="308"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aforementioned was buffered by an improvement in the risk quality of new vintages in the Retail Banking portfolio (Credit Cards, Consumer, SME-Pyme and Mortgages) as a result of the adjustments implemented in risk models to improve the risk profile in the origination.</w:t>
      </w:r>
    </w:p>
    <w:p>
      <w:pPr>
        <w:spacing w:after="0" w:line="14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cost of risk</w:t>
      </w:r>
      <w:r>
        <w:rPr>
          <w:rFonts w:ascii="Arial" w:cs="Arial" w:eastAsia="Arial" w:hAnsi="Arial"/>
          <w:sz w:val="17"/>
          <w:szCs w:val="17"/>
          <w:color w:val="auto"/>
        </w:rPr>
        <w:t xml:space="preserve"> (ratio of annualized net provisions for loan losses over total loans) remained in a low level and fell -5 bps QoQ and -27 bps YoY. The aforementioned is due to low growth in provisions, which was in line with the improvement in the risk quality of new vintages that was accentuated by +5.2% QoQ of expansion in loans. In 3Q15, the ratio posted a 2.02%, which represents the lowest level reported in the last two years, after the acquisition of Mibanco and the delinquency problem in the SME-Pyme portfolio in 2014. The annualized net provisions to Net Interest Income (NII) ratio reported a slight increase due primarily to the lower increased of NII (+1.6% QoQ) associated to higher interest expenses, as will be explained in section “4. Net Interest Income”. The YoY analysis reveals a decrease of -190 bps given that NII grew at a higher rate than annualized net provisions.</w:t>
      </w:r>
    </w:p>
    <w:p>
      <w:pPr>
        <w:spacing w:after="0" w:line="387"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2" w:name="page23"/>
    <w:bookmarkEnd w:id="22"/>
    <w:p>
      <w:pPr>
        <w:jc w:val="both"/>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allowance for loan losses</w:t>
      </w:r>
      <w:r>
        <w:rPr>
          <w:rFonts w:ascii="Arial" w:cs="Arial" w:eastAsia="Arial" w:hAnsi="Arial"/>
          <w:sz w:val="18"/>
          <w:szCs w:val="18"/>
          <w:color w:val="auto"/>
        </w:rPr>
        <w:t xml:space="preserve"> increased on +1.4% QoQ due to the provisions generated at BCP this quarter, which were offset by charge-offs at Mibanco in 3Q15. This was due to extensive efforts over the period of a year to recover the PDL portfolio.</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coverage ratio of PDLs</w:t>
      </w:r>
      <w:r>
        <w:rPr>
          <w:rFonts w:ascii="Arial" w:cs="Arial" w:eastAsia="Arial" w:hAnsi="Arial"/>
          <w:sz w:val="18"/>
          <w:szCs w:val="18"/>
          <w:color w:val="auto"/>
        </w:rPr>
        <w:t xml:space="preserve"> increased significantly QoQ (+360 bps) due to a decrease in the PDL portfolio (-0.8% QoQ) and a slight increase in the allowance for loan losses (+1.4% QoQ). Also the YoY analysis reveals an improvement in the coverage level for the PDL portfolio (+130 bps) due to higher growth of allowance for loan losses (+16%) vs. the PDL portfolio (+15%).</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coverage ratio of NPLs</w:t>
      </w:r>
      <w:r>
        <w:rPr>
          <w:rFonts w:ascii="Arial" w:cs="Arial" w:eastAsia="Arial" w:hAnsi="Arial"/>
          <w:sz w:val="18"/>
          <w:szCs w:val="18"/>
          <w:color w:val="auto"/>
        </w:rPr>
        <w:t xml:space="preserve"> improved +130 bps QoQ due to an increase in the reserves for loan losses (+1.4% QoQ), which was attributable to a slight increase in NPLs (+0.4% QoQ). Nevertheless, the YoY analysis indicates that the coverage ratio of NPLs fell -510 bps due to an increase in this portfolio, which was in turn associated with on-going refinancing campaigns since the second half of 2014 in SME-Pyme, Credit Card, Consumer and SME-Business segments.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Portfolio Quality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Portfolio quality &amp;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142875</wp:posOffset>
            </wp:positionV>
            <wp:extent cx="5574030" cy="1303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4030" cy="130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(1) Cost of risk = Annualized provisions for loan losses / Total loans.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analyzing the evolution of traditional delinquency ratios (PDL and NPL ratios), it is important to keep in mind that these ratios continue to be distorted by the existence of real estate collateral, which characterizes the SME-Pyme, SME-Business and Mortgage segments. This means that a significant proportion of loans, that are more than 150 days past due, cannot be written-off even though they are fully provision, because a legal procedure is needed to liquidate the collateral, which takes 4 years on average.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the aforementioned ratios also incorporate a seasonal effect that characterizes all second semesters (2H). In 2H, there is a significant increase in loans due to campaigns at year-end while in 1H growth decelerates given the cancellation of all loans granted in the 2H of the previous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Despite this, the PDL and NPL ratios registered an improvement QoQ.</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PDL ratio</w:t>
      </w:r>
      <w:r>
        <w:rPr>
          <w:rFonts w:ascii="Arial" w:cs="Arial" w:eastAsia="Arial" w:hAnsi="Arial"/>
          <w:sz w:val="18"/>
          <w:szCs w:val="18"/>
          <w:color w:val="auto"/>
        </w:rPr>
        <w:t xml:space="preserve"> posted a -15 bps improvement QoQ and situated at 2.57% in 3Q15. This was due to the decreased in PDL portfolio (-0.8% QoQ) while loan book expanded (+5.2% QoQ). The evolution of the PDL portfolio was due to:</w:t>
      </w:r>
    </w:p>
    <w:p>
      <w:pPr>
        <w:spacing w:after="0" w:line="375"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both"/>
        <w:ind w:left="660" w:right="20" w:hanging="328"/>
        <w:spacing w:after="0" w:line="31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Mibanco: since the integration of Mibanco and Edyficar, we began efforts to clean up the loan portfolio. As such in 3Q15, we saw a contraction in the QoQ evolution of Mibanco’s PDL portfolio. This was in line with an improvement in the risk quality and the higher level of charge-offs. After nearly a year of concerted efforts to recover the PDL portfolio, in September 2014 we recorded a higher level of charge-offs to clean up the portfolio.</w:t>
      </w:r>
    </w:p>
    <w:p>
      <w:pPr>
        <w:spacing w:after="0" w:line="146"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BCP: the bank reported its lowest increase in PDL loans in 2015, which was in line with improvements in the risk quality of the Credit Card, Consumer and SME-Pyme segments.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PDL ratio over 90 days</w:t>
      </w:r>
      <w:r>
        <w:rPr>
          <w:rFonts w:ascii="Arial" w:cs="Arial" w:eastAsia="Arial" w:hAnsi="Arial"/>
          <w:sz w:val="17"/>
          <w:szCs w:val="17"/>
          <w:color w:val="auto"/>
        </w:rPr>
        <w:t xml:space="preserve"> dropped -8 bps QoQ and situated at 1.88% at the end of 3Q15. The YoY ratio increased only +5 bps (1.83% in 3Q14).</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NPL portfolio (which includes refinanced loans) increased slightly by +0.4% QoQ. This was basically due to an increase in the refinanced portfolio (+4.3% QoQ, which represents 0.8% of total loans). The aforementioned, which was accompanied by solid loan growth, led to a lower </w:t>
      </w:r>
      <w:r>
        <w:rPr>
          <w:rFonts w:ascii="Arial" w:cs="Arial" w:eastAsia="Arial" w:hAnsi="Arial"/>
          <w:sz w:val="17"/>
          <w:szCs w:val="17"/>
          <w:b w:val="1"/>
          <w:bCs w:val="1"/>
          <w:color w:val="auto"/>
        </w:rPr>
        <w:t>NPL ratio</w:t>
      </w:r>
      <w:r>
        <w:rPr>
          <w:rFonts w:ascii="Arial" w:cs="Arial" w:eastAsia="Arial" w:hAnsi="Arial"/>
          <w:sz w:val="17"/>
          <w:szCs w:val="17"/>
          <w:color w:val="auto"/>
        </w:rPr>
        <w:t xml:space="preserve"> QoQ (-16 bps). An analysis of the YoY ratio indicates a +14 bps increase due to on-going refinancing campaigns that began in early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 shows the evolution of the PDL ratio by business and product line: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PDL ratio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154940</wp:posOffset>
            </wp:positionV>
            <wp:extent cx="5539740" cy="44253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39740" cy="4425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tabs>
          <w:tab w:leader="none" w:pos="640" w:val="left"/>
        </w:tabs>
        <w:rPr>
          <w:sz w:val="20"/>
          <w:szCs w:val="20"/>
          <w:color w:val="auto"/>
        </w:rPr>
      </w:pPr>
      <w:r>
        <w:rPr>
          <w:rFonts w:ascii="Arial" w:cs="Arial" w:eastAsia="Arial" w:hAnsi="Arial"/>
          <w:sz w:val="18"/>
          <w:szCs w:val="18"/>
          <w:i w:val="1"/>
          <w:iCs w:val="1"/>
          <w:color w:val="auto"/>
        </w:rPr>
        <w:t>3.2.1</w:t>
      </w:r>
      <w:r>
        <w:rPr>
          <w:sz w:val="20"/>
          <w:szCs w:val="20"/>
          <w:color w:val="auto"/>
        </w:rPr>
        <w:tab/>
      </w:r>
      <w:r>
        <w:rPr>
          <w:rFonts w:ascii="Arial" w:cs="Arial" w:eastAsia="Arial" w:hAnsi="Arial"/>
          <w:sz w:val="16"/>
          <w:szCs w:val="16"/>
          <w:i w:val="1"/>
          <w:iCs w:val="1"/>
          <w:color w:val="auto"/>
        </w:rPr>
        <w:t>Delinquency ratios by business</w:t>
      </w:r>
    </w:p>
    <w:p>
      <w:pPr>
        <w:spacing w:after="0" w:line="22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Wholesale Banking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74030" cy="19551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4030"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500" w:hanging="492"/>
        <w:spacing w:after="0" w:line="266"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Wholesale Banking’s </w:t>
      </w:r>
      <w:r>
        <w:rPr>
          <w:rFonts w:ascii="Arial" w:cs="Arial" w:eastAsia="Arial" w:hAnsi="Arial"/>
          <w:sz w:val="18"/>
          <w:szCs w:val="18"/>
          <w:color w:val="auto"/>
        </w:rPr>
        <w:t>PDL ratio has remained very low at around 0.3% (+/- 10 bps). In terms of the cost of risk, it is important to note that the level of</w:t>
      </w:r>
      <w:r>
        <w:rPr>
          <w:rFonts w:ascii="Arial" w:cs="Arial" w:eastAsia="Arial" w:hAnsi="Arial"/>
          <w:sz w:val="18"/>
          <w:szCs w:val="18"/>
          <w:b w:val="1"/>
          <w:bCs w:val="1"/>
          <w:color w:val="auto"/>
        </w:rPr>
        <w:t xml:space="preserve"> </w:t>
      </w:r>
      <w:r>
        <w:rPr>
          <w:rFonts w:ascii="Arial" w:cs="Arial" w:eastAsia="Arial" w:hAnsi="Arial"/>
          <w:sz w:val="18"/>
          <w:szCs w:val="18"/>
          <w:color w:val="auto"/>
        </w:rPr>
        <w:t>-0.04% in 2Q15 reflects some provision reversals due to recoveries. As such, the 0.21% level reported in 3Q15 represents a cost of risk that is typical in our business.</w:t>
      </w:r>
    </w:p>
    <w:p>
      <w:pPr>
        <w:spacing w:after="0" w:line="176"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BCP Bolivia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74030" cy="19983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7403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500" w:hanging="492"/>
        <w:spacing w:after="0" w:line="258"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BCP Bolivia </w:t>
      </w:r>
      <w:r>
        <w:rPr>
          <w:rFonts w:ascii="Arial" w:cs="Arial" w:eastAsia="Arial" w:hAnsi="Arial"/>
          <w:sz w:val="18"/>
          <w:szCs w:val="18"/>
          <w:color w:val="auto"/>
        </w:rPr>
        <w:t>reported a slight increase in its PDL ratio at the end of 3Q15 (1.62%). This was in line with the maturity cycle in the Retail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in particular the SME-Pyme segment, which in mid-2014 was affected by a new regulation that limits loan renewals (obligating clients to adjust to new debt levels). The cost of risk in this scenario increased +10 bps due to the need to set aside more provisions, mainly for the Retail Banking portfolio. It is important to note that BCP Bolivia’s delinquency indicators are below the Bolivian financial system’s average (the PDL and NPL ratios were 1.64% and 2.63%, respectively).</w:t>
      </w:r>
    </w:p>
    <w:p>
      <w:pPr>
        <w:spacing w:after="0" w:line="397"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When analyzing the evolution of delinquency by line and product within Retail Banking, it is important to consider longer time horizons.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SME-Business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74030" cy="2006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7403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(1) Figures differ from previously reported due to adjustments during the data processing that have been incorporated in this report.</w:t>
      </w:r>
    </w:p>
    <w:p>
      <w:pPr>
        <w:spacing w:after="0" w:line="221" w:lineRule="exact"/>
        <w:rPr>
          <w:sz w:val="20"/>
          <w:szCs w:val="20"/>
          <w:color w:val="auto"/>
        </w:rPr>
      </w:pPr>
    </w:p>
    <w:p>
      <w:pPr>
        <w:ind w:left="500" w:hanging="492"/>
        <w:spacing w:after="0" w:line="313"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When analyzing the </w:t>
      </w:r>
      <w:r>
        <w:rPr>
          <w:rFonts w:ascii="Arial" w:cs="Arial" w:eastAsia="Arial" w:hAnsi="Arial"/>
          <w:sz w:val="17"/>
          <w:szCs w:val="17"/>
          <w:b w:val="1"/>
          <w:bCs w:val="1"/>
          <w:color w:val="auto"/>
        </w:rPr>
        <w:t>SME-Business</w:t>
      </w:r>
      <w:r>
        <w:rPr>
          <w:rFonts w:ascii="Arial" w:cs="Arial" w:eastAsia="Arial" w:hAnsi="Arial"/>
          <w:sz w:val="17"/>
          <w:szCs w:val="17"/>
          <w:color w:val="auto"/>
        </w:rPr>
        <w:t xml:space="preserve"> portfolio, it is important to note that the delinquency ratios reduced QoQ due to the deceleration in PDL and NPL’s pace of growth and due to the loan book expansion. In this context, these ratios fell -23 bps and -35 bps QoQ, respectively.</w:t>
      </w:r>
    </w:p>
    <w:p>
      <w:pPr>
        <w:spacing w:after="0" w:line="142" w:lineRule="exact"/>
        <w:rPr>
          <w:rFonts w:ascii="Arial" w:cs="Arial" w:eastAsia="Arial" w:hAnsi="Arial"/>
          <w:sz w:val="17"/>
          <w:szCs w:val="17"/>
          <w:color w:val="auto"/>
        </w:rPr>
      </w:pPr>
    </w:p>
    <w:p>
      <w:pPr>
        <w:jc w:val="both"/>
        <w:ind w:left="520" w:right="20"/>
        <w:spacing w:after="0" w:line="312" w:lineRule="auto"/>
        <w:rPr>
          <w:rFonts w:ascii="Arial" w:cs="Arial" w:eastAsia="Arial" w:hAnsi="Arial"/>
          <w:sz w:val="17"/>
          <w:szCs w:val="17"/>
          <w:color w:val="auto"/>
        </w:rPr>
      </w:pPr>
      <w:r>
        <w:rPr>
          <w:rFonts w:ascii="Arial" w:cs="Arial" w:eastAsia="Arial" w:hAnsi="Arial"/>
          <w:sz w:val="16"/>
          <w:szCs w:val="16"/>
          <w:color w:val="auto"/>
        </w:rPr>
        <w:t>The cost of risk in this segment was situated at a low level that is closer to that of Wholesale Banking, which is in line with this business segment’s nature and business model. Nevertheless, the cost of risk at the end of 3Q15 was 103 bps higher than 2Q15’s. This was mainly attributable to one client (57 bps), which experienced a deterioration in its debt capacity due to bad performance in some projects that were not his core business.</w:t>
      </w:r>
    </w:p>
    <w:p>
      <w:pPr>
        <w:spacing w:after="0" w:line="143"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SME - Pyme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74030" cy="18522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403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500" w:hanging="492"/>
        <w:spacing w:after="0" w:line="281"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When analyzing the </w:t>
      </w:r>
      <w:r>
        <w:rPr>
          <w:rFonts w:ascii="Arial" w:cs="Arial" w:eastAsia="Arial" w:hAnsi="Arial"/>
          <w:sz w:val="17"/>
          <w:szCs w:val="17"/>
          <w:b w:val="1"/>
          <w:bCs w:val="1"/>
          <w:color w:val="auto"/>
        </w:rPr>
        <w:t>SME-Pyme</w:t>
      </w:r>
      <w:r>
        <w:rPr>
          <w:rFonts w:ascii="Arial" w:cs="Arial" w:eastAsia="Arial" w:hAnsi="Arial"/>
          <w:sz w:val="17"/>
          <w:szCs w:val="17"/>
          <w:color w:val="auto"/>
        </w:rPr>
        <w:t xml:space="preserve"> portfolio, it is important to remember that early delinquency excludes loans that are less than 60 days past due (which are volatile but whose percentage of recovery is very high) and loans that are more than 150 days past due (provisions have been set aside but they cannot be written-off due to the existence of real state collateral). Since the second half of 2014, early delinquency has followed a downward trend YoY every quarter, which is in line with the adjustments that were made to the business model in November 2013 and 2014.</w:t>
      </w:r>
    </w:p>
    <w:p>
      <w:pPr>
        <w:spacing w:after="0" w:line="378"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left="520"/>
        <w:spacing w:after="0" w:line="259" w:lineRule="auto"/>
        <w:rPr>
          <w:sz w:val="20"/>
          <w:szCs w:val="20"/>
          <w:color w:val="auto"/>
        </w:rPr>
      </w:pPr>
      <w:r>
        <w:rPr>
          <w:rFonts w:ascii="Arial" w:cs="Arial" w:eastAsia="Arial" w:hAnsi="Arial"/>
          <w:sz w:val="18"/>
          <w:szCs w:val="18"/>
          <w:color w:val="auto"/>
        </w:rPr>
        <w:t>It is important to note that an analysis of the SME-Pyme segment should include an examination of the evolution of YoY indicators to eliminate the distortion created by this business’s seasonality (more loans are made in the second half of the year). In this context, the early delinquency ratio was situated at 2.79% at the end of 3Q15, which represented a drop of -35 bps YoY. It is even more important to note that the level reported in 3Q15 is very close to that registered in 3Q13.</w:t>
      </w:r>
    </w:p>
    <w:p>
      <w:pPr>
        <w:spacing w:after="0" w:line="187" w:lineRule="exact"/>
        <w:rPr>
          <w:sz w:val="20"/>
          <w:szCs w:val="20"/>
          <w:color w:val="auto"/>
        </w:rPr>
      </w:pPr>
    </w:p>
    <w:p>
      <w:pPr>
        <w:jc w:val="both"/>
        <w:ind w:left="520"/>
        <w:spacing w:after="0" w:line="264" w:lineRule="auto"/>
        <w:rPr>
          <w:sz w:val="20"/>
          <w:szCs w:val="20"/>
          <w:color w:val="auto"/>
        </w:rPr>
      </w:pPr>
      <w:r>
        <w:rPr>
          <w:rFonts w:ascii="Arial" w:cs="Arial" w:eastAsia="Arial" w:hAnsi="Arial"/>
          <w:sz w:val="18"/>
          <w:szCs w:val="18"/>
          <w:color w:val="auto"/>
        </w:rPr>
        <w:t>The improvement in the risk quality of post-adjustment vintages is reflected in the decrease in provision expenses, which in turn led to a drop in the cost of risk. In the more appropriate YoY analysis, the cost of risk improved for the fourth consecutive quarter: -100 bps YoY in 4Q14 and 1Q15 (vs. 4Q13 and 1Q14, respectively); -126 bps in 2Q15 (vs. 2Q14); and -50 bps in 3Q15 (vs. 3Q14).</w:t>
      </w:r>
    </w:p>
    <w:p>
      <w:pPr>
        <w:spacing w:after="0" w:line="181"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The PDL and NPL ratios do not reflect the aforementioned improvement to the same extent because of the distortion aforementioned that is related to the PDLs and NPLs already provisioned but that cannot be written-off due to the real state collateral (approximately 55% collateral coverage). Both ratios reported an improvement QoQ (-9 bps and -19 bps, respectively) that was mainly attributable to deceleration in the expansion of the PDLs and NPLs; and to loan growth, which is typical in the second semester of each year.</w:t>
      </w:r>
    </w:p>
    <w:p>
      <w:pPr>
        <w:spacing w:after="0" w:line="18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Mortgage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74030" cy="1680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4030"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(1) Figures differ from previously reported due to adjustments during the data processing that have been incorporated in this report.</w:t>
      </w:r>
    </w:p>
    <w:p>
      <w:pPr>
        <w:spacing w:after="0" w:line="221" w:lineRule="exact"/>
        <w:rPr>
          <w:sz w:val="20"/>
          <w:szCs w:val="20"/>
          <w:color w:val="auto"/>
        </w:rPr>
      </w:pPr>
    </w:p>
    <w:p>
      <w:pPr>
        <w:jc w:val="both"/>
        <w:ind w:left="660" w:hanging="652"/>
        <w:spacing w:after="0" w:line="26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Mortgage </w:t>
      </w:r>
      <w:r>
        <w:rPr>
          <w:rFonts w:ascii="Arial" w:cs="Arial" w:eastAsia="Arial" w:hAnsi="Arial"/>
          <w:sz w:val="18"/>
          <w:szCs w:val="18"/>
          <w:color w:val="auto"/>
        </w:rPr>
        <w:t>loans, like SME-Business and SME-Pyme loans, are backed by real-state collateral whose foreclosure takes on average between 3 and 4</w:t>
      </w:r>
      <w:r>
        <w:rPr>
          <w:rFonts w:ascii="Arial" w:cs="Arial" w:eastAsia="Arial" w:hAnsi="Arial"/>
          <w:sz w:val="18"/>
          <w:szCs w:val="18"/>
          <w:b w:val="1"/>
          <w:bCs w:val="1"/>
          <w:color w:val="auto"/>
        </w:rPr>
        <w:t xml:space="preserve"> </w:t>
      </w:r>
      <w:r>
        <w:rPr>
          <w:rFonts w:ascii="Arial" w:cs="Arial" w:eastAsia="Arial" w:hAnsi="Arial"/>
          <w:sz w:val="18"/>
          <w:szCs w:val="18"/>
          <w:color w:val="auto"/>
        </w:rPr>
        <w:t>years. As such, it is more relevant to analyze the evolution of early delinquency. This indicator maintains a low level of delinquency around 0.8% (+/- 10 bps) and registers certain volatility but it remains within the organization risk appetite limits.</w:t>
      </w:r>
    </w:p>
    <w:p>
      <w:pPr>
        <w:spacing w:after="0" w:line="18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cost of risk of this segment is very low and was situated at 0.68% at the end of 3Q15.</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It is important to mention that Mortgages can be categorized into two types: BCP’s traditional mortgage and Mivivienda (government supported program):</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BCP’s traditional mortgage has a dollarization level of 33% and posts stable delinquency ratios.</w:t>
      </w:r>
    </w:p>
    <w:p>
      <w:pPr>
        <w:spacing w:after="0" w:line="23" w:lineRule="exact"/>
        <w:rPr>
          <w:rFonts w:ascii="Arial" w:cs="Arial" w:eastAsia="Arial" w:hAnsi="Arial"/>
          <w:sz w:val="18"/>
          <w:szCs w:val="18"/>
          <w:color w:val="auto"/>
        </w:rPr>
      </w:pPr>
    </w:p>
    <w:p>
      <w:pPr>
        <w:ind w:left="980" w:right="20" w:hanging="324"/>
        <w:spacing w:after="0" w:line="330" w:lineRule="auto"/>
        <w:tabs>
          <w:tab w:leader="none" w:pos="9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Mivivienda represents 15% of total mortgages and explains most of the increase in NPL and PDL ratios due to its maturity cycle between 3 and 4 years. The last is exacerbated by the slowdown in the origination as clients wait for the enhanced Mivivienda</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product of the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8097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8" w:lineRule="exact"/>
        <w:rPr>
          <w:sz w:val="20"/>
          <w:szCs w:val="20"/>
          <w:color w:val="auto"/>
        </w:rPr>
      </w:pPr>
    </w:p>
    <w:p>
      <w:pPr>
        <w:ind w:firstLine="8"/>
        <w:spacing w:after="0" w:line="194" w:lineRule="auto"/>
        <w:tabs>
          <w:tab w:leader="none" w:pos="133"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The MiVivienda program offers mortgage loans that are backed by the Peruvian government. In 2014, a new MiVivienda loan was launched with better conditions to ensure higher fulfillment levels.</w:t>
      </w:r>
    </w:p>
    <w:p>
      <w:pPr>
        <w:spacing w:after="0" w:line="200" w:lineRule="exact"/>
        <w:rPr>
          <w:sz w:val="20"/>
          <w:szCs w:val="20"/>
          <w:color w:val="auto"/>
        </w:rPr>
      </w:pPr>
    </w:p>
    <w:p>
      <w:pPr>
        <w:spacing w:after="0" w:line="211"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Consumer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74030" cy="17151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7403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(1) Figures differ from previously reported due to adjustments during the data processing that have been incorporated in this report.</w:t>
      </w:r>
    </w:p>
    <w:p>
      <w:pPr>
        <w:spacing w:after="0" w:line="221" w:lineRule="exact"/>
        <w:rPr>
          <w:sz w:val="20"/>
          <w:szCs w:val="20"/>
          <w:color w:val="auto"/>
        </w:rPr>
      </w:pPr>
    </w:p>
    <w:p>
      <w:pPr>
        <w:ind w:left="500" w:hanging="492"/>
        <w:spacing w:after="0" w:line="282"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early delinquency indicator for the </w:t>
      </w:r>
      <w:r>
        <w:rPr>
          <w:rFonts w:ascii="Arial" w:cs="Arial" w:eastAsia="Arial" w:hAnsi="Arial"/>
          <w:sz w:val="18"/>
          <w:szCs w:val="18"/>
          <w:b w:val="1"/>
          <w:bCs w:val="1"/>
          <w:color w:val="auto"/>
        </w:rPr>
        <w:t>Consumer</w:t>
      </w:r>
      <w:r>
        <w:rPr>
          <w:rFonts w:ascii="Arial" w:cs="Arial" w:eastAsia="Arial" w:hAnsi="Arial"/>
          <w:sz w:val="18"/>
          <w:szCs w:val="18"/>
          <w:color w:val="auto"/>
        </w:rPr>
        <w:t xml:space="preserve"> portfolio remains low and is situated at around 2%. It is important to note that the QoQ trend is explained by:</w:t>
      </w:r>
    </w:p>
    <w:p>
      <w:pPr>
        <w:spacing w:after="0" w:line="16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Low growth in the PDL portfolio, which was in line with the improvement in the risk quality of new vintages after the effect of the change in the calculation of the minimum payment for clients with both products was controlled (Consumer and Credit Card);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Growth, although mild, in total loans (+0.8% QoQ, which was the lowest since 3Q13).</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cost of risk dropped not only QoQ, which was in line with the improvement in portfolio quality, but was also lower than that reported in 3Q14.</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was the result of higher participation of good risk profile clients in the origination of consumer loans.</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An analysis of the YoY evolution reveals a reduction of -4 bps in the early delinquency that represents a level even lower than that posted in 3T13.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Card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74030" cy="17754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4030"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(1) Figures differ from previously reported due to adjustments during the data proccessing that have been incorporated in this report.</w:t>
      </w:r>
    </w:p>
    <w:p>
      <w:pPr>
        <w:spacing w:after="0" w:line="200" w:lineRule="exact"/>
        <w:rPr>
          <w:sz w:val="20"/>
          <w:szCs w:val="20"/>
          <w:color w:val="auto"/>
        </w:rPr>
      </w:pPr>
    </w:p>
    <w:p>
      <w:pPr>
        <w:spacing w:after="0" w:line="234"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ind w:left="492" w:hanging="492"/>
        <w:spacing w:after="0" w:line="266" w:lineRule="auto"/>
        <w:tabs>
          <w:tab w:leader="none" w:pos="492"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Credit Card</w:t>
      </w:r>
      <w:r>
        <w:rPr>
          <w:rFonts w:ascii="Arial" w:cs="Arial" w:eastAsia="Arial" w:hAnsi="Arial"/>
          <w:sz w:val="18"/>
          <w:szCs w:val="18"/>
          <w:color w:val="auto"/>
        </w:rPr>
        <w:t xml:space="preserve"> segment has posted improvements in all of its delinquency indicators since 1Q14, when it reached a peak, in line with efforts to control delinquency issues associated with the change in the calculation of the minimum payment in October 2013. The aforementioned was possible due mainly to refinancing that helped clients adjust to new levels of debt service.</w:t>
      </w:r>
    </w:p>
    <w:p>
      <w:pPr>
        <w:spacing w:after="0" w:line="180"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The PDL ratio, NPL ratio and early delinquency ratios fell -111 bps, -90 bps and -45 bps respectively YoY.</w:t>
      </w:r>
    </w:p>
    <w:p>
      <w:pPr>
        <w:spacing w:after="0" w:line="225" w:lineRule="exact"/>
        <w:rPr>
          <w:rFonts w:ascii="Arial" w:cs="Arial" w:eastAsia="Arial" w:hAnsi="Arial"/>
          <w:sz w:val="18"/>
          <w:szCs w:val="18"/>
          <w:color w:val="auto"/>
        </w:rPr>
      </w:pPr>
    </w:p>
    <w:p>
      <w:pPr>
        <w:jc w:val="both"/>
        <w:ind w:left="512"/>
        <w:spacing w:after="0" w:line="264" w:lineRule="auto"/>
        <w:rPr>
          <w:rFonts w:ascii="Arial" w:cs="Arial" w:eastAsia="Arial" w:hAnsi="Arial"/>
          <w:sz w:val="18"/>
          <w:szCs w:val="18"/>
          <w:color w:val="auto"/>
        </w:rPr>
      </w:pPr>
      <w:r>
        <w:rPr>
          <w:rFonts w:ascii="Arial" w:cs="Arial" w:eastAsia="Arial" w:hAnsi="Arial"/>
          <w:sz w:val="18"/>
          <w:szCs w:val="18"/>
          <w:color w:val="auto"/>
        </w:rPr>
        <w:t>The improvement in the risk quality led to a decrease of the cost of risk, not only versus 3Q14 but also compared to 3Q13 level. Finally, it is important to remember that the improvement in the quality of risks for the credit card segment is associated with the adjustments made at the end of 2014, which increased the cut off point for the minimum income required to access a credit card.</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Mibanco – Portfolio quality and Cost of risk</w:t>
      </w:r>
      <w:r>
        <w:rPr>
          <w:rFonts w:ascii="Arial" w:cs="Arial" w:eastAsia="Arial" w:hAnsi="Arial"/>
          <w:sz w:val="30"/>
          <w:szCs w:val="30"/>
          <w:b w:val="1"/>
          <w:bCs w:val="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90170</wp:posOffset>
            </wp:positionV>
            <wp:extent cx="5574030" cy="19723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4030"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492" w:hanging="492"/>
        <w:spacing w:after="0" w:line="266" w:lineRule="auto"/>
        <w:tabs>
          <w:tab w:leader="none" w:pos="4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PDL ratio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fell -108 bps as expected, going from 6.5% at the end of 2Q15 to 5.42% at the end of 3Q15. This was due primarily to the contraction in the PDL portfolio, which was associated with year-long efforts to clean up the loan portfolio. This was accompanied by initiatives to fine-tune the charge-off policy to improve clean-up efforts.</w:t>
      </w:r>
    </w:p>
    <w:p>
      <w:pPr>
        <w:spacing w:after="0" w:line="180" w:lineRule="exact"/>
        <w:rPr>
          <w:rFonts w:ascii="Arial" w:cs="Arial" w:eastAsia="Arial" w:hAnsi="Arial"/>
          <w:sz w:val="18"/>
          <w:szCs w:val="18"/>
          <w:color w:val="auto"/>
        </w:rPr>
      </w:pPr>
    </w:p>
    <w:p>
      <w:pPr>
        <w:ind w:left="512"/>
        <w:spacing w:after="0" w:line="277" w:lineRule="auto"/>
        <w:rPr>
          <w:rFonts w:ascii="Arial" w:cs="Arial" w:eastAsia="Arial" w:hAnsi="Arial"/>
          <w:sz w:val="18"/>
          <w:szCs w:val="18"/>
          <w:color w:val="auto"/>
        </w:rPr>
      </w:pPr>
      <w:r>
        <w:rPr>
          <w:rFonts w:ascii="Arial" w:cs="Arial" w:eastAsia="Arial" w:hAnsi="Arial"/>
          <w:sz w:val="18"/>
          <w:szCs w:val="18"/>
          <w:color w:val="auto"/>
        </w:rPr>
        <w:t>The aforementioned was reflected in the evolution of the cost of risk, which fell 95 bps QoQ due to the fact that an improvement in the risk quality led to the need for fewer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8097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112" w:hanging="112"/>
        <w:spacing w:after="0"/>
        <w:tabs>
          <w:tab w:leader="none" w:pos="112"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Mibancos’ cost of risk is calculated starting on 2Q14 since net provisions were consolidated on BAP’s results at the beginning of this period.</w:t>
      </w:r>
    </w:p>
    <w:p>
      <w:pPr>
        <w:spacing w:after="0" w:line="200" w:lineRule="exact"/>
        <w:rPr>
          <w:sz w:val="20"/>
          <w:szCs w:val="20"/>
          <w:color w:val="auto"/>
        </w:rPr>
      </w:pPr>
    </w:p>
    <w:p>
      <w:pPr>
        <w:spacing w:after="0" w:line="211" w:lineRule="exact"/>
        <w:rPr>
          <w:sz w:val="20"/>
          <w:szCs w:val="20"/>
          <w:color w:val="auto"/>
        </w:rPr>
      </w:pPr>
    </w:p>
    <w:p>
      <w:pPr>
        <w:ind w:left="11132"/>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29" w:name="page30"/>
    <w:bookmarkEnd w:id="29"/>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Net Interest Income (NII)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Credicorp’s NII increased +1.6% QoQ and +10.7% YoY. This was due primarily to growth in interest income on loans. Nevertheless, higher growth QoQ in average interest-earning assets (+5.4%) generated a drop in NIM QoQ, which went from 5.70% at the end of 2Q15 to 5.49% in 3Q15. It is important to analyze NIM after provisions, particularly in year-on-year terms, which posted a -5 bps decline.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ind w:left="580"/>
              <w:spacing w:after="0"/>
              <w:rPr>
                <w:sz w:val="20"/>
                <w:szCs w:val="20"/>
                <w:color w:val="auto"/>
              </w:rPr>
            </w:pPr>
            <w:r>
              <w:rPr>
                <w:rFonts w:ascii="Arial" w:cs="Arial" w:eastAsia="Arial" w:hAnsi="Arial"/>
                <w:sz w:val="14"/>
                <w:szCs w:val="14"/>
                <w:b w:val="1"/>
                <w:bCs w:val="1"/>
                <w:color w:val="auto"/>
                <w:w w:val="94"/>
              </w:rPr>
              <w:t>% 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tcPr>
          <w:p>
            <w:pPr>
              <w:ind w:left="800"/>
              <w:spacing w:after="0"/>
              <w:rPr>
                <w:sz w:val="20"/>
                <w:szCs w:val="20"/>
                <w:color w:val="auto"/>
              </w:rPr>
            </w:pPr>
            <w:r>
              <w:rPr>
                <w:rFonts w:ascii="Arial" w:cs="Arial" w:eastAsia="Arial" w:hAnsi="Arial"/>
                <w:sz w:val="14"/>
                <w:szCs w:val="14"/>
                <w:b w:val="1"/>
                <w:bCs w:val="1"/>
                <w:color w:val="auto"/>
              </w:rPr>
              <w:t>YTD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800" w:type="dxa"/>
            <w:vAlign w:val="bottom"/>
          </w:tcPr>
          <w:p>
            <w:pPr>
              <w:spacing w:after="0"/>
              <w:rPr>
                <w:sz w:val="20"/>
                <w:szCs w:val="20"/>
                <w:color w:val="auto"/>
              </w:rPr>
            </w:pPr>
            <w:r>
              <w:rPr>
                <w:rFonts w:ascii="Arial" w:cs="Arial" w:eastAsia="Arial" w:hAnsi="Arial"/>
                <w:sz w:val="14"/>
                <w:szCs w:val="14"/>
                <w:color w:val="auto"/>
              </w:rPr>
              <w:t>S/. 000</w:t>
            </w:r>
          </w:p>
        </w:tc>
        <w:tc>
          <w:tcPr>
            <w:tcW w:w="100" w:type="dxa"/>
            <w:vAlign w:val="bottom"/>
          </w:tcPr>
          <w:p>
            <w:pPr>
              <w:spacing w:after="0"/>
              <w:rPr>
                <w:sz w:val="14"/>
                <w:szCs w:val="14"/>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auto"/>
              </w:rPr>
              <w:t>3Q14</w:t>
            </w:r>
          </w:p>
        </w:tc>
        <w:tc>
          <w:tcPr>
            <w:tcW w:w="260" w:type="dxa"/>
            <w:vAlign w:val="bottom"/>
          </w:tcPr>
          <w:p>
            <w:pPr>
              <w:spacing w:after="0"/>
              <w:rPr>
                <w:sz w:val="14"/>
                <w:szCs w:val="14"/>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auto"/>
              </w:rPr>
              <w:t>2Q15</w:t>
            </w:r>
          </w:p>
        </w:tc>
        <w:tc>
          <w:tcPr>
            <w:tcW w:w="260" w:type="dxa"/>
            <w:vAlign w:val="bottom"/>
          </w:tcPr>
          <w:p>
            <w:pPr>
              <w:spacing w:after="0"/>
              <w:rPr>
                <w:sz w:val="14"/>
                <w:szCs w:val="14"/>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b w:val="1"/>
                <w:bCs w:val="1"/>
                <w:color w:val="auto"/>
              </w:rPr>
              <w:t>3Q15</w:t>
            </w:r>
          </w:p>
        </w:tc>
        <w:tc>
          <w:tcPr>
            <w:tcW w:w="260" w:type="dxa"/>
            <w:vAlign w:val="bottom"/>
          </w:tcPr>
          <w:p>
            <w:pPr>
              <w:spacing w:after="0"/>
              <w:rPr>
                <w:sz w:val="14"/>
                <w:szCs w:val="14"/>
                <w:color w:val="auto"/>
              </w:rPr>
            </w:pPr>
          </w:p>
        </w:tc>
        <w:tc>
          <w:tcPr>
            <w:tcW w:w="740" w:type="dxa"/>
            <w:vAlign w:val="bottom"/>
          </w:tcPr>
          <w:p>
            <w:pPr>
              <w:ind w:left="220"/>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ind w:right="168"/>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14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rPr>
              <w:t>Sep 15</w:t>
            </w:r>
          </w:p>
        </w:tc>
        <w:tc>
          <w:tcPr>
            <w:tcW w:w="26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88"/>
              </w:rPr>
              <w:t>Sep 15 / Sep 14</w:t>
            </w:r>
          </w:p>
        </w:tc>
        <w:tc>
          <w:tcPr>
            <w:tcW w:w="0" w:type="dxa"/>
            <w:vAlign w:val="bottom"/>
          </w:tcPr>
          <w:p>
            <w:pPr>
              <w:spacing w:after="0"/>
              <w:rPr>
                <w:sz w:val="1"/>
                <w:szCs w:val="1"/>
                <w:color w:val="auto"/>
              </w:rPr>
            </w:pP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w:t>
            </w:r>
          </w:p>
        </w:tc>
        <w:tc>
          <w:tcPr>
            <w:tcW w:w="100" w:type="dxa"/>
            <w:vAlign w:val="bottom"/>
            <w:vMerge w:val="continue"/>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2,249,658</w:t>
            </w:r>
          </w:p>
        </w:tc>
        <w:tc>
          <w:tcPr>
            <w:tcW w:w="260" w:type="dxa"/>
            <w:vAlign w:val="bottom"/>
            <w:vMerge w:val="continue"/>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2,457,520</w:t>
            </w:r>
          </w:p>
        </w:tc>
        <w:tc>
          <w:tcPr>
            <w:tcW w:w="260" w:type="dxa"/>
            <w:vAlign w:val="bottom"/>
            <w:vMerge w:val="continue"/>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2,517,963</w:t>
            </w:r>
          </w:p>
        </w:tc>
        <w:tc>
          <w:tcPr>
            <w:tcW w:w="260" w:type="dxa"/>
            <w:vAlign w:val="bottom"/>
            <w:vMerge w:val="continue"/>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2.5%</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11.9%</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6,296,014</w:t>
            </w:r>
          </w:p>
        </w:tc>
        <w:tc>
          <w:tcPr>
            <w:tcW w:w="2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7,352,700</w:t>
            </w:r>
          </w:p>
        </w:tc>
        <w:tc>
          <w:tcPr>
            <w:tcW w:w="26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16.8%</w:t>
            </w:r>
          </w:p>
        </w:tc>
        <w:tc>
          <w:tcPr>
            <w:tcW w:w="0" w:type="dxa"/>
            <w:vAlign w:val="bottom"/>
          </w:tcPr>
          <w:p>
            <w:pPr>
              <w:spacing w:after="0"/>
              <w:rPr>
                <w:sz w:val="1"/>
                <w:szCs w:val="1"/>
                <w:color w:val="auto"/>
              </w:rPr>
            </w:pPr>
          </w:p>
        </w:tc>
      </w:tr>
      <w:tr>
        <w:trPr>
          <w:trHeight w:val="149"/>
        </w:trPr>
        <w:tc>
          <w:tcPr>
            <w:tcW w:w="2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loans</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2,022,787</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2,123,643</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2,187,431</w:t>
            </w:r>
          </w:p>
        </w:tc>
        <w:tc>
          <w:tcPr>
            <w:tcW w:w="10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3.0%</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8.1%</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5,602,550</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6,388,197</w:t>
            </w:r>
          </w:p>
        </w:tc>
        <w:tc>
          <w:tcPr>
            <w:tcW w:w="26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and dividends on investments</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3,649</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30,348</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2,507</w:t>
            </w:r>
          </w:p>
        </w:tc>
        <w:tc>
          <w:tcPr>
            <w:tcW w:w="10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-91.7%</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-31.3%</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56,633</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51,393</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2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deposits with banks</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14,591</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11,030</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6,613</w:t>
            </w:r>
          </w:p>
        </w:tc>
        <w:tc>
          <w:tcPr>
            <w:tcW w:w="10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-40.0%</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-54.7%</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41,925</w:t>
            </w: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25,258</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on trading securities</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195,211</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223,094</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227,819</w:t>
            </w:r>
          </w:p>
        </w:tc>
        <w:tc>
          <w:tcPr>
            <w:tcW w:w="10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2.1%</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16.7%</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566,375</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669,635</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49"/>
        </w:trPr>
        <w:tc>
          <w:tcPr>
            <w:tcW w:w="2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Other interest income</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13,420</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69,405</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93,593</w:t>
            </w:r>
          </w:p>
        </w:tc>
        <w:tc>
          <w:tcPr>
            <w:tcW w:w="10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34.9%</w:t>
            </w:r>
          </w:p>
        </w:tc>
        <w:tc>
          <w:tcPr>
            <w:tcW w:w="220" w:type="dxa"/>
            <w:vAlign w:val="bottom"/>
          </w:tcPr>
          <w:p>
            <w:pPr>
              <w:spacing w:after="0"/>
              <w:rPr>
                <w:sz w:val="12"/>
                <w:szCs w:val="12"/>
                <w:color w:val="auto"/>
              </w:rPr>
            </w:pPr>
          </w:p>
        </w:tc>
        <w:tc>
          <w:tcPr>
            <w:tcW w:w="8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N/A</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28,531</w:t>
            </w: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218,217</w:t>
            </w:r>
          </w:p>
        </w:tc>
        <w:tc>
          <w:tcPr>
            <w:tcW w:w="10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563,473</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620,320</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651,071</w:t>
            </w: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5.0%</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15.5%</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1,597,606</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1,863,246</w:t>
            </w:r>
          </w:p>
        </w:tc>
        <w:tc>
          <w:tcPr>
            <w:tcW w:w="26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16.6%</w:t>
            </w:r>
          </w:p>
        </w:tc>
        <w:tc>
          <w:tcPr>
            <w:tcW w:w="0" w:type="dxa"/>
            <w:vAlign w:val="bottom"/>
          </w:tcPr>
          <w:p>
            <w:pPr>
              <w:spacing w:after="0"/>
              <w:rPr>
                <w:sz w:val="1"/>
                <w:szCs w:val="1"/>
                <w:color w:val="auto"/>
              </w:rPr>
            </w:pPr>
          </w:p>
        </w:tc>
      </w:tr>
      <w:tr>
        <w:trPr>
          <w:trHeight w:val="149"/>
        </w:trPr>
        <w:tc>
          <w:tcPr>
            <w:tcW w:w="2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deposits</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225,814</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209,408</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206,799</w:t>
            </w:r>
          </w:p>
        </w:tc>
        <w:tc>
          <w:tcPr>
            <w:tcW w:w="10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-8.4%</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602,880</w:t>
            </w: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625,024</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on borrowed funds</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117,435</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185,203</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204,734</w:t>
            </w:r>
          </w:p>
        </w:tc>
        <w:tc>
          <w:tcPr>
            <w:tcW w:w="10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10.5%</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74.3%</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306,382</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547,931</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149"/>
        </w:trPr>
        <w:tc>
          <w:tcPr>
            <w:tcW w:w="2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bonds and subordinated notes</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179,306</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180,087</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192,879</w:t>
            </w:r>
          </w:p>
        </w:tc>
        <w:tc>
          <w:tcPr>
            <w:tcW w:w="10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7.1%</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7.6%</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528,423</w:t>
            </w: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550,758</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2"/>
        </w:trPr>
        <w:tc>
          <w:tcPr>
            <w:tcW w:w="2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interest expense</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40,918</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45,622</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46,659</w:t>
            </w:r>
          </w:p>
        </w:tc>
        <w:tc>
          <w:tcPr>
            <w:tcW w:w="10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2.3%</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14.0%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159,921</w:t>
            </w:r>
          </w:p>
        </w:tc>
        <w:tc>
          <w:tcPr>
            <w:tcW w:w="8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139,533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2"/>
        </w:trPr>
        <w:tc>
          <w:tcPr>
            <w:tcW w:w="290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Net interest income</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1,686,185</w:t>
            </w:r>
          </w:p>
        </w:tc>
        <w:tc>
          <w:tcPr>
            <w:tcW w:w="2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1,837,200</w:t>
            </w:r>
          </w:p>
        </w:tc>
        <w:tc>
          <w:tcPr>
            <w:tcW w:w="2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1,866,892</w:t>
            </w:r>
          </w:p>
        </w:tc>
        <w:tc>
          <w:tcPr>
            <w:tcW w:w="2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ind w:left="560"/>
              <w:spacing w:after="0" w:line="142" w:lineRule="exact"/>
              <w:rPr>
                <w:sz w:val="20"/>
                <w:szCs w:val="20"/>
                <w:color w:val="auto"/>
              </w:rPr>
            </w:pPr>
            <w:r>
              <w:rPr>
                <w:rFonts w:ascii="Arial" w:cs="Arial" w:eastAsia="Arial" w:hAnsi="Arial"/>
                <w:sz w:val="14"/>
                <w:szCs w:val="14"/>
                <w:b w:val="1"/>
                <w:bCs w:val="1"/>
                <w:color w:val="auto"/>
                <w:w w:val="81"/>
              </w:rPr>
              <w:t>1.6</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10.7</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4,698,408</w:t>
            </w:r>
          </w:p>
        </w:tc>
        <w:tc>
          <w:tcPr>
            <w:tcW w:w="2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5,489,454</w:t>
            </w:r>
          </w:p>
        </w:tc>
        <w:tc>
          <w:tcPr>
            <w:tcW w:w="2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16.8</w:t>
            </w:r>
          </w:p>
        </w:tc>
        <w:tc>
          <w:tcPr>
            <w:tcW w:w="1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9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Average interest earning assets</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117,324,842</w:t>
            </w:r>
          </w:p>
        </w:tc>
        <w:tc>
          <w:tcPr>
            <w:tcW w:w="26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129,009,511</w:t>
            </w:r>
          </w:p>
        </w:tc>
        <w:tc>
          <w:tcPr>
            <w:tcW w:w="26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135,942,787</w:t>
            </w:r>
          </w:p>
        </w:tc>
        <w:tc>
          <w:tcPr>
            <w:tcW w:w="26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w w:val="81"/>
              </w:rPr>
              <w:t>5.4</w:t>
            </w: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w:t>
            </w: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111,657,892</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131,526,437</w:t>
            </w:r>
          </w:p>
        </w:tc>
        <w:tc>
          <w:tcPr>
            <w:tcW w:w="260" w:type="dxa"/>
            <w:vAlign w:val="bottom"/>
            <w:tcBorders>
              <w:right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17.8</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9"/>
        </w:trPr>
        <w:tc>
          <w:tcPr>
            <w:tcW w:w="2900" w:type="dxa"/>
            <w:vAlign w:val="bottom"/>
            <w:gridSpan w:val="2"/>
          </w:tcPr>
          <w:p>
            <w:pPr>
              <w:spacing w:after="0" w:line="169" w:lineRule="exact"/>
              <w:rPr>
                <w:sz w:val="20"/>
                <w:szCs w:val="20"/>
                <w:color w:val="auto"/>
              </w:rPr>
            </w:pPr>
            <w:r>
              <w:rPr>
                <w:rFonts w:ascii="Arial" w:cs="Arial" w:eastAsia="Arial" w:hAnsi="Arial"/>
                <w:sz w:val="12"/>
                <w:szCs w:val="12"/>
                <w:b w:val="1"/>
                <w:bCs w:val="1"/>
                <w:color w:val="auto"/>
              </w:rPr>
              <w:t xml:space="preserve">Net interest margin </w:t>
            </w:r>
            <w:r>
              <w:rPr>
                <w:rFonts w:ascii="Arial" w:cs="Arial" w:eastAsia="Arial" w:hAnsi="Arial"/>
                <w:sz w:val="19"/>
                <w:szCs w:val="19"/>
                <w:b w:val="1"/>
                <w:bCs w:val="1"/>
                <w:color w:val="auto"/>
                <w:vertAlign w:val="superscript"/>
              </w:rPr>
              <w:t>(1)</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5.75%</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5.70%</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5.49%</w:t>
            </w:r>
          </w:p>
        </w:tc>
        <w:tc>
          <w:tcPr>
            <w:tcW w:w="1220" w:type="dxa"/>
            <w:vAlign w:val="bottom"/>
            <w:gridSpan w:val="3"/>
          </w:tcPr>
          <w:p>
            <w:pPr>
              <w:ind w:left="300"/>
              <w:spacing w:after="0"/>
              <w:rPr>
                <w:sz w:val="20"/>
                <w:szCs w:val="20"/>
                <w:color w:val="auto"/>
              </w:rPr>
            </w:pPr>
            <w:r>
              <w:rPr>
                <w:rFonts w:ascii="Arial" w:cs="Arial" w:eastAsia="Arial" w:hAnsi="Arial"/>
                <w:sz w:val="14"/>
                <w:szCs w:val="14"/>
                <w:b w:val="1"/>
                <w:bCs w:val="1"/>
                <w:color w:val="auto"/>
              </w:rPr>
              <w:t>-21 bps</w:t>
            </w:r>
          </w:p>
        </w:tc>
        <w:tc>
          <w:tcPr>
            <w:tcW w:w="8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-26 bps</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5.61%</w:t>
            </w:r>
          </w:p>
        </w:tc>
        <w:tc>
          <w:tcPr>
            <w:tcW w:w="8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5.56%</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-5 bps</w:t>
            </w:r>
          </w:p>
        </w:tc>
        <w:tc>
          <w:tcPr>
            <w:tcW w:w="0" w:type="dxa"/>
            <w:vAlign w:val="bottom"/>
          </w:tcPr>
          <w:p>
            <w:pPr>
              <w:spacing w:after="0"/>
              <w:rPr>
                <w:sz w:val="1"/>
                <w:szCs w:val="1"/>
                <w:color w:val="auto"/>
              </w:rPr>
            </w:pPr>
          </w:p>
        </w:tc>
      </w:tr>
      <w:tr>
        <w:trPr>
          <w:trHeight w:val="203"/>
        </w:trPr>
        <w:tc>
          <w:tcPr>
            <w:tcW w:w="29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Net interest margin after provisions </w:t>
            </w:r>
            <w:r>
              <w:rPr>
                <w:rFonts w:ascii="Arial" w:cs="Arial" w:eastAsia="Arial" w:hAnsi="Arial"/>
                <w:sz w:val="23"/>
                <w:szCs w:val="23"/>
                <w:b w:val="1"/>
                <w:bCs w:val="1"/>
                <w:color w:val="auto"/>
                <w:vertAlign w:val="superscript"/>
              </w:rPr>
              <w:t>(1)</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4.27%</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4.36%</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4.22%</w:t>
            </w:r>
          </w:p>
        </w:tc>
        <w:tc>
          <w:tcPr>
            <w:tcW w:w="1220" w:type="dxa"/>
            <w:vAlign w:val="bottom"/>
            <w:gridSpan w:val="3"/>
            <w:shd w:val="clear" w:color="auto" w:fill="CCEEFF"/>
          </w:tcPr>
          <w:p>
            <w:pPr>
              <w:ind w:left="300"/>
              <w:spacing w:after="0"/>
              <w:rPr>
                <w:sz w:val="20"/>
                <w:szCs w:val="20"/>
                <w:color w:val="auto"/>
              </w:rPr>
            </w:pPr>
            <w:r>
              <w:rPr>
                <w:rFonts w:ascii="Arial" w:cs="Arial" w:eastAsia="Arial" w:hAnsi="Arial"/>
                <w:sz w:val="14"/>
                <w:szCs w:val="14"/>
                <w:b w:val="1"/>
                <w:bCs w:val="1"/>
                <w:color w:val="auto"/>
              </w:rPr>
              <w:t>-14 bps</w:t>
            </w:r>
          </w:p>
        </w:tc>
        <w:tc>
          <w:tcPr>
            <w:tcW w:w="80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-5 bps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4.08%</w:t>
            </w:r>
          </w:p>
        </w:tc>
        <w:tc>
          <w:tcPr>
            <w:tcW w:w="8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4.17%</w:t>
            </w: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 bps</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(1) Annualized.</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Interest Income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increased +2.5% QoQ, which was primarily due to growth in interest income on loans (+3.0% QoQ), followed by higher income on derivatives, which is reported on the Other Interest Income line (+34.9% QoQ).</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Growth of +3.0% QoQ in </w:t>
      </w:r>
      <w:r>
        <w:rPr>
          <w:rFonts w:ascii="Arial" w:cs="Arial" w:eastAsia="Arial" w:hAnsi="Arial"/>
          <w:sz w:val="18"/>
          <w:szCs w:val="18"/>
          <w:b w:val="1"/>
          <w:bCs w:val="1"/>
          <w:color w:val="auto"/>
        </w:rPr>
        <w:t>interest income on loans</w:t>
      </w:r>
      <w:r>
        <w:rPr>
          <w:rFonts w:ascii="Arial" w:cs="Arial" w:eastAsia="Arial" w:hAnsi="Arial"/>
          <w:sz w:val="18"/>
          <w:szCs w:val="18"/>
          <w:color w:val="auto"/>
        </w:rPr>
        <w:t xml:space="preserve"> was attributable to the +3.3% QoQ loan expansion in average daily balances, which was in turn due to growth in BCP Stand-Alone’s portfolio. The latter was due primarily to growth in Middle-Market Banking (+5.4% QoQ) and in Corporate Banking (+2.5% QoQ) due to an increase in financing for working capital and for mid and long-term loans, which were mainly disbursed in LC; and to the increase in SME-Business loans (+9.1% QoQ), which was in line with the year-end campaigns.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Other Interest Income</w:t>
      </w:r>
      <w:r>
        <w:rPr>
          <w:rFonts w:ascii="Arial" w:cs="Arial" w:eastAsia="Arial" w:hAnsi="Arial"/>
          <w:sz w:val="18"/>
          <w:szCs w:val="18"/>
          <w:color w:val="auto"/>
        </w:rPr>
        <w:t xml:space="preserve"> (+34.9% QoQ) was generated by net earnings on forwards with BCRP (exchange rate swaps), which are made to close the position of forward trades made by private institutional clients (mainly foreign clients). It is important to note that these instruments are used mainly by BCP and are in line with BCRP’s policy to reduce excessive exchange rate volatility. It is also good to keep in mind that BCRP has set limits for the forward business that have decreased this business’s volume.</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Income on </w:t>
      </w:r>
      <w:r>
        <w:rPr>
          <w:rFonts w:ascii="Arial" w:cs="Arial" w:eastAsia="Arial" w:hAnsi="Arial"/>
          <w:sz w:val="18"/>
          <w:szCs w:val="18"/>
          <w:b w:val="1"/>
          <w:bCs w:val="1"/>
          <w:color w:val="auto"/>
        </w:rPr>
        <w:t>Interest and Dividends on Investments</w:t>
      </w:r>
      <w:r>
        <w:rPr>
          <w:rFonts w:ascii="Arial" w:cs="Arial" w:eastAsia="Arial" w:hAnsi="Arial"/>
          <w:sz w:val="18"/>
          <w:szCs w:val="18"/>
          <w:color w:val="auto"/>
        </w:rPr>
        <w:t xml:space="preserve"> fell -91.7% QoQ, which was attributable to higher dividend income registered on 2Q15, mainly at Grupo Pacifico (April 2015).</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YoY analysis reveals that net interest income grew +11.9%, which was mainly due to (i) higher income from loans (+8.1%), which was attributable to a +16.8% YoY expansion in average daily loan balances at Credicorp; (ii) the increase in Other Income, which was associated with an increase in investment in exchange rate swaps with BCRP; and (iii) the increase in income from interest on securities.</w:t>
      </w:r>
    </w:p>
    <w:p>
      <w:pPr>
        <w:spacing w:after="0" w:line="390"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spacing w:after="0"/>
        <w:tabs>
          <w:tab w:leader="none" w:pos="6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Interest Expenses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Interest expenses increased +5.0% QoQ due primarily to an increase in </w:t>
      </w:r>
      <w:r>
        <w:rPr>
          <w:rFonts w:ascii="Arial" w:cs="Arial" w:eastAsia="Arial" w:hAnsi="Arial"/>
          <w:sz w:val="18"/>
          <w:szCs w:val="18"/>
          <w:b w:val="1"/>
          <w:bCs w:val="1"/>
          <w:color w:val="auto"/>
        </w:rPr>
        <w:t>expenses on Interest on borrowed funds</w:t>
      </w:r>
      <w:r>
        <w:rPr>
          <w:rFonts w:ascii="Arial" w:cs="Arial" w:eastAsia="Arial" w:hAnsi="Arial"/>
          <w:sz w:val="18"/>
          <w:szCs w:val="18"/>
          <w:color w:val="auto"/>
        </w:rPr>
        <w:t xml:space="preserve"> (+10.5% QoQ), due mainly to higher Due to banks and correspondents. This growth was associated with more use of BCRP Instruments (+18.5% QoQ), primarily at BCP and Mibanco, as discussed in the section on Funding Cost.</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Interest expenses </w:t>
      </w:r>
      <w:r>
        <w:rPr>
          <w:rFonts w:ascii="Arial" w:cs="Arial" w:eastAsia="Arial" w:hAnsi="Arial"/>
          <w:sz w:val="18"/>
          <w:szCs w:val="18"/>
          <w:b w:val="1"/>
          <w:bCs w:val="1"/>
          <w:color w:val="auto"/>
        </w:rPr>
        <w:t>on Bonds and Subordinated Notes</w:t>
      </w:r>
      <w:r>
        <w:rPr>
          <w:rFonts w:ascii="Arial" w:cs="Arial" w:eastAsia="Arial" w:hAnsi="Arial"/>
          <w:sz w:val="18"/>
          <w:szCs w:val="18"/>
          <w:color w:val="auto"/>
        </w:rPr>
        <w:t xml:space="preserve"> increased +7.1% QoQ, which was in line with growth in bonds and subordinated debt (2.7% QoQ). It is important to remember that this increase is also associated with the appreciation of the US Dollar (+1.42% QoQ) because the majority of these instruments are denominated in dollars.</w:t>
      </w:r>
    </w:p>
    <w:p>
      <w:pPr>
        <w:spacing w:after="0" w:line="17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 xml:space="preserve">Interest expenses </w:t>
      </w:r>
      <w:r>
        <w:rPr>
          <w:rFonts w:ascii="Arial" w:cs="Arial" w:eastAsia="Arial" w:hAnsi="Arial"/>
          <w:sz w:val="17"/>
          <w:szCs w:val="17"/>
          <w:b w:val="1"/>
          <w:bCs w:val="1"/>
          <w:color w:val="auto"/>
        </w:rPr>
        <w:t>on Deposits</w:t>
      </w:r>
      <w:r>
        <w:rPr>
          <w:rFonts w:ascii="Arial" w:cs="Arial" w:eastAsia="Arial" w:hAnsi="Arial"/>
          <w:sz w:val="17"/>
          <w:szCs w:val="17"/>
          <w:color w:val="auto"/>
        </w:rPr>
        <w:t xml:space="preserve"> fell slightly QoQ (-1.2%) despite the fact that deposits increased this quarter, because deposits increase was due to growth in specific time deposits of Private Banking at the end of the quarter. As such, they had little impact on interest expenses for the whole quarter.</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the YoY analysis, interest expenses increased +15.5%. This was primarily due to growth in expenses for </w:t>
      </w:r>
      <w:r>
        <w:rPr>
          <w:rFonts w:ascii="Arial" w:cs="Arial" w:eastAsia="Arial" w:hAnsi="Arial"/>
          <w:sz w:val="18"/>
          <w:szCs w:val="18"/>
          <w:b w:val="1"/>
          <w:bCs w:val="1"/>
          <w:color w:val="auto"/>
        </w:rPr>
        <w:t>Interest on Borrowed Funds</w:t>
      </w:r>
      <w:r>
        <w:rPr>
          <w:rFonts w:ascii="Arial" w:cs="Arial" w:eastAsia="Arial" w:hAnsi="Arial"/>
          <w:sz w:val="18"/>
          <w:szCs w:val="18"/>
          <w:color w:val="auto"/>
        </w:rPr>
        <w:t xml:space="preserve"> (+74.3% YoY) due to increased use of BCRP instruments in 2015. The aforementioned was mitigated by a decrease in the expense on </w:t>
      </w:r>
      <w:r>
        <w:rPr>
          <w:rFonts w:ascii="Arial" w:cs="Arial" w:eastAsia="Arial" w:hAnsi="Arial"/>
          <w:sz w:val="18"/>
          <w:szCs w:val="18"/>
          <w:b w:val="1"/>
          <w:bCs w:val="1"/>
          <w:color w:val="auto"/>
        </w:rPr>
        <w:t>Interest on Deposits</w:t>
      </w:r>
      <w:r>
        <w:rPr>
          <w:rFonts w:ascii="Arial" w:cs="Arial" w:eastAsia="Arial" w:hAnsi="Arial"/>
          <w:sz w:val="18"/>
          <w:szCs w:val="18"/>
          <w:color w:val="auto"/>
        </w:rPr>
        <w:t xml:space="preserve"> (-8.4% YoY), as explained above.</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color w:val="auto"/>
        </w:rPr>
        <w:t>Net Interest Margin (NIM)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Credicorp’s NIM vs. Adjusted NIM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Adjusted NIM = (Net interest margin)*4 / [Average (Interest earning assets – Restricted-deposits related to BCRP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Net interest margin decreased -21 bps QoQ and -26 YoY to reach 5.49%, which is below the 5.70% reported in 2Q15, and the 5.75% registered in 3Q14.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latter is explained by:</w:t>
      </w:r>
    </w:p>
    <w:p>
      <w:pPr>
        <w:spacing w:after="0" w:line="211" w:lineRule="exact"/>
        <w:rPr>
          <w:sz w:val="20"/>
          <w:szCs w:val="20"/>
          <w:color w:val="auto"/>
        </w:rPr>
      </w:pPr>
    </w:p>
    <w:p>
      <w:pPr>
        <w:ind w:left="760" w:hanging="509"/>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More use of BCRP instruments, which inflated interest-earning-assets (IEA) because of the restricted-deposits that are required;</w:t>
      </w:r>
    </w:p>
    <w:p>
      <w:pPr>
        <w:spacing w:after="0" w:line="23" w:lineRule="exact"/>
        <w:rPr>
          <w:rFonts w:ascii="Arial" w:cs="Arial" w:eastAsia="Arial" w:hAnsi="Arial"/>
          <w:sz w:val="18"/>
          <w:szCs w:val="18"/>
          <w:color w:val="auto"/>
        </w:rPr>
      </w:pPr>
    </w:p>
    <w:p>
      <w:pPr>
        <w:ind w:left="760" w:hanging="509"/>
        <w:spacing w:after="0" w:line="265" w:lineRule="auto"/>
        <w:tabs>
          <w:tab w:leader="none" w:pos="7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Higher loan disbursements towards the end of the quarter that resulted in higher growth in average IEA (the average of period-beginning and period-end balances is used in the NIM calculation) than in average daily balances of the IEA (which are related to NII generation);</w:t>
      </w:r>
    </w:p>
    <w:p>
      <w:pPr>
        <w:ind w:left="760" w:hanging="509"/>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expansion of total loans, led by low-margin business segments such as Wholesale Banking and Mortgage; and</w:t>
      </w:r>
    </w:p>
    <w:p>
      <w:pPr>
        <w:spacing w:after="0" w:line="9" w:lineRule="exact"/>
        <w:rPr>
          <w:rFonts w:ascii="Arial" w:cs="Arial" w:eastAsia="Arial" w:hAnsi="Arial"/>
          <w:sz w:val="18"/>
          <w:szCs w:val="18"/>
          <w:color w:val="auto"/>
        </w:rPr>
      </w:pPr>
    </w:p>
    <w:p>
      <w:pPr>
        <w:ind w:left="760" w:hanging="509"/>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slight increase in the funding cost.</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 is important to mention that the first element has a material effect on NIM’s reduction QoQ. Thus, NIM adjusted by eliminating from interest-earning-assets the amount of restricted-deposits required in the Central Bank’s repo trades, dropped -13 bps QoQ.</w:t>
      </w:r>
    </w:p>
    <w:p>
      <w:pPr>
        <w:spacing w:after="0" w:line="379"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Credicorp’s NIM</w:t>
      </w:r>
      <w:r>
        <w:rPr>
          <w:rFonts w:ascii="Arial" w:cs="Arial" w:eastAsia="Arial" w:hAnsi="Arial"/>
          <w:sz w:val="30"/>
          <w:szCs w:val="30"/>
          <w:b w:val="1"/>
          <w:bCs w:val="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90170</wp:posOffset>
            </wp:positionV>
            <wp:extent cx="5574030" cy="14408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74030"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NIM on loans</w:t>
      </w:r>
      <w:r>
        <w:rPr>
          <w:rFonts w:ascii="Arial" w:cs="Arial" w:eastAsia="Arial" w:hAnsi="Arial"/>
          <w:sz w:val="18"/>
          <w:szCs w:val="18"/>
          <w:color w:val="auto"/>
        </w:rPr>
        <w:t xml:space="preserve"> dropped -7 bps QoQ in line with the change in the loan portfolio mix in 2015. The </w:t>
      </w:r>
      <w:r>
        <w:rPr>
          <w:rFonts w:ascii="Arial" w:cs="Arial" w:eastAsia="Arial" w:hAnsi="Arial"/>
          <w:sz w:val="18"/>
          <w:szCs w:val="18"/>
          <w:b w:val="1"/>
          <w:bCs w:val="1"/>
          <w:color w:val="auto"/>
        </w:rPr>
        <w:t>NIM after provisions</w:t>
      </w:r>
      <w:r>
        <w:rPr>
          <w:rFonts w:ascii="Arial" w:cs="Arial" w:eastAsia="Arial" w:hAnsi="Arial"/>
          <w:sz w:val="18"/>
          <w:szCs w:val="18"/>
          <w:color w:val="auto"/>
        </w:rPr>
        <w:t xml:space="preserve"> registered a decrease of -14 bps QoQ. The QoQ evolution was due primarily to an increase in average interest-earning assets (+5.4% QoQ), which expanded at a higher pace than net interest income (+1.6% QoQ).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It is important to analyze NIM on a per subsidiary basis. The chart below shows the interest margins for each of Credicorp’s main subsidiaries: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NIM Breakdown</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BCP Stand-alone</w:t>
            </w:r>
          </w:p>
        </w:tc>
        <w:tc>
          <w:tcPr>
            <w:tcW w:w="2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Mibanco</w:t>
            </w:r>
          </w:p>
        </w:tc>
        <w:tc>
          <w:tcPr>
            <w:tcW w:w="2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8"/>
              </w:rPr>
              <w:t>BCP Bolivia</w:t>
            </w:r>
          </w:p>
        </w:tc>
        <w:tc>
          <w:tcPr>
            <w:tcW w:w="28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ASB</w:t>
            </w:r>
          </w:p>
        </w:tc>
        <w:tc>
          <w:tcPr>
            <w:tcW w:w="2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7"/>
              </w:rPr>
              <w:t>Pacífico</w:t>
            </w:r>
            <w:r>
              <w:rPr>
                <w:rFonts w:ascii="Arial" w:cs="Arial" w:eastAsia="Arial" w:hAnsi="Arial"/>
                <w:sz w:val="30"/>
                <w:szCs w:val="30"/>
                <w:color w:val="auto"/>
                <w:w w:val="97"/>
                <w:vertAlign w:val="superscript"/>
              </w:rPr>
              <w:t>(1)</w:t>
            </w:r>
          </w:p>
        </w:tc>
        <w:tc>
          <w:tcPr>
            <w:tcW w:w="28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9"/>
              </w:rPr>
              <w:t>Credicorp</w:t>
            </w:r>
            <w:r>
              <w:rPr>
                <w:rFonts w:ascii="Arial" w:cs="Arial" w:eastAsia="Arial" w:hAnsi="Arial"/>
                <w:sz w:val="30"/>
                <w:szCs w:val="30"/>
                <w:b w:val="1"/>
                <w:bCs w:val="1"/>
                <w:color w:val="auto"/>
                <w:w w:val="89"/>
                <w:vertAlign w:val="superscript"/>
              </w:rPr>
              <w:t>(2)</w:t>
            </w:r>
          </w:p>
        </w:tc>
        <w:tc>
          <w:tcPr>
            <w:tcW w:w="180" w:type="dxa"/>
            <w:vAlign w:val="bottom"/>
            <w:tcBorders>
              <w:bottom w:val="single" w:sz="8" w:color="CCEEFF"/>
            </w:tcBorders>
          </w:tcPr>
          <w:p>
            <w:pPr>
              <w:spacing w:after="0"/>
              <w:rPr>
                <w:sz w:val="24"/>
                <w:szCs w:val="24"/>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NIM for 3Q14</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5.75%</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NIM for 2Q15</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4.94%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14.16%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4.45%</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2.19%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5.91%</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5.70%</w:t>
            </w:r>
          </w:p>
        </w:tc>
      </w:tr>
      <w:tr>
        <w:trPr>
          <w:trHeight w:val="230"/>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NIM for 3Q15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5.49%</w:t>
            </w: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Pacifico's NIM arises from Pacifico Vida's financial income from its investments.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Credicorp also includes Credicorp Capital, Prima, Grupo Crédito and Eliminations for consolidation purposes.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evolution of global NIM by subsidiary shows a decrease of -21bps QoQ at the Credicorp level. This result was associated primarily with this indicator’s evolution at BCP Stand-Alone, which represents 69% of the net interest income generated by Credicorp and whose NIM fell -19pbs QoQ. This was mainly due to higher loan growth in lower margin segments such as Wholesale Banking (both Corporate and Middle Market) and Mortgages.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Mibanco’s NIM increased +33bps QoQ due to higher net interest income this quarter, which was in line with an increase in loans in terms of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120" w:hanging="112"/>
        <w:spacing w:after="0"/>
        <w:tabs>
          <w:tab w:leader="none" w:pos="12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NIM on loans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137160</wp:posOffset>
            </wp:positionV>
            <wp:extent cx="4356735"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5673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379"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Non-Financial Income</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Non-financial income grew +3.0% QoQ due primarily to the increase of +17.6% QoQ in Net gain on foreign exchange transactions, followed by the growth of Net gain from subsidiaries. The latter offset the contraction of -2.0% QoQ in Fee income. The YoY evolution reported +3.9% growth due to an increase in Fee income, which is the main source of non-financial income, and the growth of Net gain on foreign exchange transactions.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Non-financial income</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tcPr>
          <w:p>
            <w:pPr>
              <w:ind w:left="740"/>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20"/>
                <w:szCs w:val="20"/>
                <w:color w:val="auto"/>
              </w:rPr>
            </w:pPr>
            <w:r>
              <w:rPr>
                <w:rFonts w:ascii="Arial" w:cs="Arial" w:eastAsia="Arial" w:hAnsi="Arial"/>
                <w:sz w:val="14"/>
                <w:szCs w:val="14"/>
                <w:color w:val="auto"/>
              </w:rPr>
              <w:t>S/.000</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3Q14</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2Q15</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3Q15</w:t>
            </w:r>
          </w:p>
        </w:tc>
        <w:tc>
          <w:tcPr>
            <w:tcW w:w="220" w:type="dxa"/>
            <w:vAlign w:val="bottom"/>
          </w:tcPr>
          <w:p>
            <w:pPr>
              <w:spacing w:after="0"/>
              <w:rPr>
                <w:sz w:val="14"/>
                <w:szCs w:val="1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14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w w:val="97"/>
              </w:rPr>
              <w:t>Sep 15</w:t>
            </w:r>
          </w:p>
        </w:tc>
        <w:tc>
          <w:tcPr>
            <w:tcW w:w="100" w:type="dxa"/>
            <w:vAlign w:val="bottom"/>
          </w:tcPr>
          <w:p>
            <w:pPr>
              <w:spacing w:after="0"/>
              <w:rPr>
                <w:sz w:val="14"/>
                <w:szCs w:val="14"/>
                <w:color w:val="auto"/>
              </w:rPr>
            </w:pPr>
          </w:p>
        </w:tc>
        <w:tc>
          <w:tcPr>
            <w:tcW w:w="11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Sep 15 / Sep 14</w:t>
            </w:r>
          </w:p>
        </w:tc>
        <w:tc>
          <w:tcPr>
            <w:tcW w:w="0" w:type="dxa"/>
            <w:vAlign w:val="bottom"/>
          </w:tcPr>
          <w:p>
            <w:pPr>
              <w:spacing w:after="0"/>
              <w:rPr>
                <w:sz w:val="1"/>
                <w:szCs w:val="1"/>
                <w:color w:val="auto"/>
              </w:rPr>
            </w:pPr>
          </w:p>
        </w:tc>
      </w:tr>
      <w:tr>
        <w:trPr>
          <w:trHeight w:val="20"/>
        </w:trPr>
        <w:tc>
          <w:tcPr>
            <w:tcW w:w="31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Fee income, net</w:t>
            </w:r>
          </w:p>
        </w:tc>
        <w:tc>
          <w:tcPr>
            <w:tcW w:w="12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614,777</w:t>
            </w:r>
          </w:p>
        </w:tc>
        <w:tc>
          <w:tcPr>
            <w:tcW w:w="22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663,206</w:t>
            </w:r>
          </w:p>
        </w:tc>
        <w:tc>
          <w:tcPr>
            <w:tcW w:w="22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650,195</w:t>
            </w:r>
          </w:p>
        </w:tc>
        <w:tc>
          <w:tcPr>
            <w:tcW w:w="220" w:type="dxa"/>
            <w:vAlign w:val="bottom"/>
            <w:vMerge w:val="continue"/>
            <w:shd w:val="clear" w:color="auto" w:fill="CCEEFF"/>
          </w:tcPr>
          <w:p>
            <w:pPr>
              <w:spacing w:after="0"/>
              <w:rPr>
                <w:sz w:val="12"/>
                <w:szCs w:val="12"/>
                <w:color w:val="auto"/>
              </w:rPr>
            </w:pPr>
          </w:p>
        </w:tc>
        <w:tc>
          <w:tcPr>
            <w:tcW w:w="10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5.8%</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1,836,467</w:t>
            </w:r>
          </w:p>
        </w:tc>
        <w:tc>
          <w:tcPr>
            <w:tcW w:w="2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1,957,027</w:t>
            </w:r>
          </w:p>
        </w:tc>
        <w:tc>
          <w:tcPr>
            <w:tcW w:w="100" w:type="dxa"/>
            <w:vAlign w:val="bottom"/>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164,097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168,285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197,902</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17.6%</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20.6%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437,125</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566,633</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gain on sales of securities</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75,592</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20,743</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29,200</w:t>
            </w: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40.8%</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-61.4%</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251,214</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74,828</w:t>
            </w:r>
          </w:p>
        </w:tc>
        <w:tc>
          <w:tcPr>
            <w:tcW w:w="1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89"/>
        </w:trPr>
        <w:tc>
          <w:tcPr>
            <w:tcW w:w="3280" w:type="dxa"/>
            <w:vAlign w:val="bottom"/>
            <w:gridSpan w:val="2"/>
          </w:tcPr>
          <w:p>
            <w:pPr>
              <w:spacing w:after="0" w:line="189" w:lineRule="exact"/>
              <w:rPr>
                <w:sz w:val="20"/>
                <w:szCs w:val="20"/>
                <w:color w:val="auto"/>
              </w:rPr>
            </w:pPr>
            <w:r>
              <w:rPr>
                <w:rFonts w:ascii="Arial" w:cs="Arial" w:eastAsia="Arial" w:hAnsi="Arial"/>
                <w:sz w:val="13"/>
                <w:szCs w:val="13"/>
                <w:color w:val="auto"/>
              </w:rPr>
              <w:t>Net gain from subsidiaries</w:t>
            </w:r>
            <w:r>
              <w:rPr>
                <w:rFonts w:ascii="Arial" w:cs="Arial" w:eastAsia="Arial" w:hAnsi="Arial"/>
                <w:sz w:val="21"/>
                <w:szCs w:val="21"/>
                <w:color w:val="auto"/>
                <w:vertAlign w:val="superscript"/>
              </w:rPr>
              <w:t>(1)</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(227)</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3,172</w:t>
            </w:r>
          </w:p>
        </w:tc>
        <w:tc>
          <w:tcPr>
            <w:tcW w:w="1260" w:type="dxa"/>
            <w:vAlign w:val="bottom"/>
            <w:gridSpan w:val="3"/>
          </w:tcPr>
          <w:p>
            <w:pPr>
              <w:ind w:left="540"/>
              <w:spacing w:after="0"/>
              <w:rPr>
                <w:sz w:val="20"/>
                <w:szCs w:val="20"/>
                <w:color w:val="auto"/>
              </w:rPr>
            </w:pPr>
            <w:r>
              <w:rPr>
                <w:rFonts w:ascii="Arial" w:cs="Arial" w:eastAsia="Arial" w:hAnsi="Arial"/>
                <w:sz w:val="14"/>
                <w:szCs w:val="14"/>
                <w:color w:val="auto"/>
              </w:rPr>
              <w:t>N/A</w:t>
            </w:r>
          </w:p>
        </w:tc>
        <w:tc>
          <w:tcPr>
            <w:tcW w:w="820" w:type="dxa"/>
            <w:vAlign w:val="bottom"/>
            <w:gridSpan w:val="2"/>
          </w:tcPr>
          <w:p>
            <w:pPr>
              <w:jc w:val="right"/>
              <w:ind w:right="188"/>
              <w:spacing w:after="0"/>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149,763</w:t>
            </w:r>
          </w:p>
        </w:tc>
        <w:tc>
          <w:tcPr>
            <w:tcW w:w="120" w:type="dxa"/>
            <w:vAlign w:val="bottom"/>
          </w:tcPr>
          <w:p>
            <w:pPr>
              <w:spacing w:after="0"/>
              <w:rPr>
                <w:sz w:val="16"/>
                <w:szCs w:val="16"/>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Other income</w:t>
            </w:r>
            <w:r>
              <w:rPr>
                <w:rFonts w:ascii="Arial" w:cs="Arial" w:eastAsia="Arial" w:hAnsi="Arial"/>
                <w:sz w:val="23"/>
                <w:szCs w:val="23"/>
                <w:color w:val="auto"/>
                <w:vertAlign w:val="superscript"/>
              </w:rPr>
              <w:t>(2)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26,821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37,724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35,612</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-5.6%</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32.8%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114,485</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114,988</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57"/>
        </w:trPr>
        <w:tc>
          <w:tcPr>
            <w:tcW w:w="328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Total non financial income</w:t>
            </w: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881,287</w:t>
            </w:r>
          </w:p>
        </w:tc>
        <w:tc>
          <w:tcPr>
            <w:tcW w:w="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889,730</w:t>
            </w:r>
          </w:p>
        </w:tc>
        <w:tc>
          <w:tcPr>
            <w:tcW w:w="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916,081</w:t>
            </w:r>
          </w:p>
        </w:tc>
        <w:tc>
          <w:tcPr>
            <w:tcW w:w="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3.0</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3.9</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2,639,290</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2,863,239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8.5</w:t>
            </w:r>
          </w:p>
        </w:tc>
        <w:tc>
          <w:tcPr>
            <w:tcW w:w="1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-8890</wp:posOffset>
            </wp:positionV>
            <wp:extent cx="50768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Mainly includes the JV between Grupo Pacífico and Banmédica.</w:t>
      </w:r>
    </w:p>
    <w:p>
      <w:pPr>
        <w:spacing w:after="0" w:line="7" w:lineRule="exact"/>
        <w:rPr>
          <w:rFonts w:ascii="Arial" w:cs="Arial" w:eastAsia="Arial" w:hAnsi="Arial"/>
          <w:sz w:val="18"/>
          <w:szCs w:val="18"/>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2Q15 figures differ from the previously reported, consider figures on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Fee income, </w:t>
      </w:r>
      <w:r>
        <w:rPr>
          <w:rFonts w:ascii="Arial" w:cs="Arial" w:eastAsia="Arial" w:hAnsi="Arial"/>
          <w:sz w:val="18"/>
          <w:szCs w:val="18"/>
          <w:color w:val="auto"/>
        </w:rPr>
        <w:t>which is the main source of non-financial income (71% of total non-financial income), posted a slight decrease, -2.0% QoQ.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 income evolution QoQ, by subsidiary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74030" cy="1672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74030" cy="167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 Others include Grupo Pacificio and eliminations for consolidation purposes.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Banking fee income increased quarter over quarter, as shown in the above graph. Nevertheless, in the financial-statement consolidation process, the bancassurance business generated by Pacifico, BCP and Mibanco results in a decrease in the fee income reported at BCP stand-alone and Mibanco, and a reduction of the acquisition cost within the insurance underwriting result.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Banking fee income increased +3.7% QoQ, which came mainly from BCP (main source of this type of income). It is important to note growth of +8.1% QoQ in miscellaneous accounts, due to higher volume of transactions in savings accounts, checking accounts, debit cards and others. It is also noticeable the increase of +26.4% QoQ in Mortgages’ fee income, due to the expansion of the local currency portfolio (+5.8% QoQ). Other items that also contributed to the growth of BCP’s fee income were: (i) Drafts and transfers (+12.2% QoQ), (ii) Payments and collections (+3.1% TaT), among others, in line with the higher number of transactions registered during the quarter.</w:t>
      </w:r>
    </w:p>
    <w:p>
      <w:pPr>
        <w:spacing w:after="0" w:line="397"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following table includes a breakdown of the fee income in the banking business: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the fee income in the banking business</w:t>
      </w:r>
    </w:p>
    <w:p>
      <w:pPr>
        <w:spacing w:after="0" w:line="225"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Fee Income</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Quarter</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3Q14</w:t>
            </w:r>
          </w:p>
        </w:tc>
        <w:tc>
          <w:tcPr>
            <w:tcW w:w="1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2Q15</w:t>
            </w: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3Q15</w:t>
            </w:r>
          </w:p>
        </w:tc>
        <w:tc>
          <w:tcPr>
            <w:tcW w:w="1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50"/>
        </w:trPr>
        <w:tc>
          <w:tcPr>
            <w:tcW w:w="406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Miscellaneous accounts </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141,313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155,499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168,041</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57"/>
        </w:trPr>
        <w:tc>
          <w:tcPr>
            <w:tcW w:w="41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Credit cards </w:t>
            </w:r>
            <w:r>
              <w:rPr>
                <w:rFonts w:ascii="Arial" w:cs="Arial" w:eastAsia="Arial" w:hAnsi="Arial"/>
                <w:sz w:val="29"/>
                <w:szCs w:val="29"/>
                <w:color w:val="auto"/>
                <w:vertAlign w:val="superscript"/>
              </w:rPr>
              <w:t>(2)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62,917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65,090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64,744</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-0.5%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Drafts and transfers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28,573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31,975</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35,877</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57"/>
        </w:trPr>
        <w:tc>
          <w:tcPr>
            <w:tcW w:w="41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Personal loans </w:t>
            </w:r>
            <w:r>
              <w:rPr>
                <w:rFonts w:ascii="Arial" w:cs="Arial" w:eastAsia="Arial" w:hAnsi="Arial"/>
                <w:sz w:val="29"/>
                <w:szCs w:val="29"/>
                <w:color w:val="auto"/>
                <w:vertAlign w:val="superscript"/>
              </w:rPr>
              <w:t>(2)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17,576</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24,138</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24,674</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2.2%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40.4%</w:t>
            </w:r>
          </w:p>
        </w:tc>
      </w:tr>
      <w:tr>
        <w:trPr>
          <w:trHeight w:val="257"/>
        </w:trPr>
        <w:tc>
          <w:tcPr>
            <w:tcW w:w="41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SME loans </w:t>
            </w:r>
            <w:r>
              <w:rPr>
                <w:rFonts w:ascii="Arial" w:cs="Arial" w:eastAsia="Arial" w:hAnsi="Arial"/>
                <w:sz w:val="29"/>
                <w:szCs w:val="29"/>
                <w:color w:val="auto"/>
                <w:vertAlign w:val="superscript"/>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17,638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18,640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16,000</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57"/>
        </w:trPr>
        <w:tc>
          <w:tcPr>
            <w:tcW w:w="41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Insurance </w:t>
            </w:r>
            <w:r>
              <w:rPr>
                <w:rFonts w:ascii="Arial" w:cs="Arial" w:eastAsia="Arial" w:hAnsi="Arial"/>
                <w:sz w:val="29"/>
                <w:szCs w:val="29"/>
                <w:color w:val="auto"/>
                <w:vertAlign w:val="superscript"/>
              </w:rPr>
              <w:t>(2)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15,841</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18,425</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19,016</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57"/>
        </w:trPr>
        <w:tc>
          <w:tcPr>
            <w:tcW w:w="41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Mortgage loans </w:t>
            </w:r>
            <w:r>
              <w:rPr>
                <w:rFonts w:ascii="Arial" w:cs="Arial" w:eastAsia="Arial" w:hAnsi="Arial"/>
                <w:sz w:val="29"/>
                <w:szCs w:val="29"/>
                <w:color w:val="auto"/>
                <w:vertAlign w:val="superscript"/>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9,838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9,244</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11,685</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57"/>
        </w:trPr>
        <w:tc>
          <w:tcPr>
            <w:tcW w:w="41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Off-balance sheet </w:t>
            </w:r>
            <w:r>
              <w:rPr>
                <w:rFonts w:ascii="Arial" w:cs="Arial" w:eastAsia="Arial" w:hAnsi="Arial"/>
                <w:sz w:val="29"/>
                <w:szCs w:val="29"/>
                <w:color w:val="auto"/>
                <w:vertAlign w:val="superscript"/>
              </w:rPr>
              <w:t>(3)</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35,433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38,704</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38,504</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-0.5%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57"/>
        </w:trPr>
        <w:tc>
          <w:tcPr>
            <w:tcW w:w="41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Payments and collections </w:t>
            </w:r>
            <w:r>
              <w:rPr>
                <w:rFonts w:ascii="Arial" w:cs="Arial" w:eastAsia="Arial" w:hAnsi="Arial"/>
                <w:sz w:val="29"/>
                <w:szCs w:val="29"/>
                <w:color w:val="auto"/>
                <w:vertAlign w:val="superscript"/>
              </w:rPr>
              <w:t>(3)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78,315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90,507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93,355</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57"/>
        </w:trPr>
        <w:tc>
          <w:tcPr>
            <w:tcW w:w="41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Commercial loans </w:t>
            </w:r>
            <w:r>
              <w:rPr>
                <w:rFonts w:ascii="Arial" w:cs="Arial" w:eastAsia="Arial" w:hAnsi="Arial"/>
                <w:sz w:val="29"/>
                <w:szCs w:val="29"/>
                <w:color w:val="auto"/>
                <w:vertAlign w:val="superscript"/>
              </w:rPr>
              <w:t>(3)</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10,223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16,871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16,245</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-3.7%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58.9%</w:t>
            </w:r>
          </w:p>
        </w:tc>
      </w:tr>
      <w:tr>
        <w:trPr>
          <w:trHeight w:val="257"/>
        </w:trPr>
        <w:tc>
          <w:tcPr>
            <w:tcW w:w="41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Foreign trade </w:t>
            </w:r>
            <w:r>
              <w:rPr>
                <w:rFonts w:ascii="Arial" w:cs="Arial" w:eastAsia="Arial" w:hAnsi="Arial"/>
                <w:sz w:val="29"/>
                <w:szCs w:val="29"/>
                <w:color w:val="auto"/>
                <w:vertAlign w:val="superscript"/>
              </w:rPr>
              <w:t>(3)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10,032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10,484</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10,942</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Corporate finance</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18,767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10,804</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11,312</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4.7%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-39.7%</w:t>
            </w: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ASB</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5,707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7,195</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5,761</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70"/>
        </w:trPr>
        <w:tc>
          <w:tcPr>
            <w:tcW w:w="414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30"/>
                <w:szCs w:val="30"/>
                <w:color w:val="auto"/>
                <w:vertAlign w:val="superscript"/>
              </w:rPr>
              <w:t>(4)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38,075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39,542</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40,740</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3.0%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10"/>
        </w:trPr>
        <w:tc>
          <w:tcPr>
            <w:tcW w:w="4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fee income</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490,248</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537,120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556,898</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ind w:left="1240" w:hanging="260"/>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Saving accounts, current accounts, debit card and master account.</w:t>
      </w:r>
    </w:p>
    <w:p>
      <w:pPr>
        <w:spacing w:after="0" w:line="9" w:lineRule="exact"/>
        <w:rPr>
          <w:rFonts w:ascii="Arial" w:cs="Arial" w:eastAsia="Arial" w:hAnsi="Arial"/>
          <w:sz w:val="18"/>
          <w:szCs w:val="18"/>
          <w:color w:val="auto"/>
        </w:rPr>
      </w:pPr>
    </w:p>
    <w:p>
      <w:pPr>
        <w:ind w:left="1240" w:hanging="260"/>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Mainly Retail fees.</w:t>
      </w:r>
    </w:p>
    <w:p>
      <w:pPr>
        <w:spacing w:after="0" w:line="9" w:lineRule="exact"/>
        <w:rPr>
          <w:rFonts w:ascii="Arial" w:cs="Arial" w:eastAsia="Arial" w:hAnsi="Arial"/>
          <w:sz w:val="18"/>
          <w:szCs w:val="18"/>
          <w:color w:val="auto"/>
        </w:rPr>
      </w:pPr>
    </w:p>
    <w:p>
      <w:pPr>
        <w:ind w:left="1240" w:hanging="260"/>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Mainly Wholesale fees.</w:t>
      </w:r>
    </w:p>
    <w:p>
      <w:pPr>
        <w:spacing w:after="0" w:line="9" w:lineRule="exact"/>
        <w:rPr>
          <w:rFonts w:ascii="Arial" w:cs="Arial" w:eastAsia="Arial" w:hAnsi="Arial"/>
          <w:sz w:val="18"/>
          <w:szCs w:val="18"/>
          <w:color w:val="auto"/>
        </w:rPr>
      </w:pPr>
    </w:p>
    <w:p>
      <w:pPr>
        <w:ind w:left="1240" w:hanging="260"/>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fees from BCP Bolivia, Mibanco, Edyficar, network usage and other services to third parties, among others.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growth of BCP’s fee income helped to balance the reduction in Credicorp Capital’s one, due to lower income registered during the quarter in Asset Management and in the Sales and Trading business, in line with poor market conditions in the three countries (Colombia, Chile, Perú) in which it operates. ASB also registered lower levels of entry and administration fees, as well as custody income, in line with the smaller level of AuMs QoQ.</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Net gains on foreign exchange transactions </w:t>
      </w:r>
      <w:r>
        <w:rPr>
          <w:rFonts w:ascii="Arial" w:cs="Arial" w:eastAsia="Arial" w:hAnsi="Arial"/>
          <w:sz w:val="18"/>
          <w:szCs w:val="18"/>
          <w:color w:val="auto"/>
        </w:rPr>
        <w:t>grew +17.6% QoQ mainly due to: (i) BCP, which registered a larger volume of these kind of transactions,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line with high exchange rate volatility during the second half of August and the first days of September; and (ii) Credicorp Capital, due to higher gains in positions taken and in arbitrage transactions to take advantage of higher volatility of the US Dollar against the Colombian and Chilean Peso. The YoY analysis shows an increase of +20.6% as a result of higher exchange rate volatility too.</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Net gain from subsidiaries,</w:t>
      </w:r>
      <w:r>
        <w:rPr>
          <w:rFonts w:ascii="Arial" w:cs="Arial" w:eastAsia="Arial" w:hAnsi="Arial"/>
          <w:sz w:val="18"/>
          <w:szCs w:val="18"/>
          <w:color w:val="auto"/>
        </w:rPr>
        <w:t xml:space="preserve"> which comes from the JV between Grupo Pacífico and Banmédica for the health businesses, is composed of the following elements:</w:t>
      </w:r>
    </w:p>
    <w:p>
      <w:pPr>
        <w:spacing w:after="0" w:line="166" w:lineRule="exact"/>
        <w:rPr>
          <w:sz w:val="20"/>
          <w:szCs w:val="20"/>
          <w:color w:val="auto"/>
        </w:rPr>
      </w:pPr>
    </w:p>
    <w:p>
      <w:pPr>
        <w:ind w:left="980" w:hanging="648"/>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contribution of 50% of the net income generated by the corporate health insurance and medical services businesses that is now managed by Banmédica, which was equivalent to S/. 6.6 million and grew +41.3% QoQ;</w:t>
      </w:r>
    </w:p>
    <w:p>
      <w:pPr>
        <w:spacing w:after="0" w:line="170"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50% deduction of the net income generated by the private health insurance given that Grupo Pacífico manages this business. The deduction in 3Q15 was S/. 3.4 million and grew +5.1% QoQ.</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Net gains on sale of securities </w:t>
      </w:r>
      <w:r>
        <w:rPr>
          <w:rFonts w:ascii="Arial" w:cs="Arial" w:eastAsia="Arial" w:hAnsi="Arial"/>
          <w:sz w:val="18"/>
          <w:szCs w:val="18"/>
          <w:color w:val="auto"/>
        </w:rPr>
        <w:t>improved QoQ, due to the non-recurring income registered in ASB, which offset loss for lower MtM of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portfolios, mainly in Grupo Pacifico, as we mentioned before, and in BCP and Credicorp Capital.</w:t>
      </w:r>
    </w:p>
    <w:p>
      <w:pPr>
        <w:spacing w:after="0" w:line="375"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underwriting result</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insurance underwriting result increased +4.1% QoQ mainly due to a decrease in the acquisition cost in Property &amp; Casualty</w:t>
      </w:r>
      <w:r>
        <w:rPr>
          <w:rFonts w:ascii="Arial" w:cs="Arial" w:eastAsia="Arial" w:hAnsi="Arial"/>
          <w:sz w:val="26"/>
          <w:szCs w:val="26"/>
          <w:i w:val="1"/>
          <w:iCs w:val="1"/>
          <w:color w:val="auto"/>
          <w:vertAlign w:val="superscript"/>
        </w:rPr>
        <w:t>6</w:t>
      </w:r>
      <w:r>
        <w:rPr>
          <w:rFonts w:ascii="Arial" w:cs="Arial" w:eastAsia="Arial" w:hAnsi="Arial"/>
          <w:sz w:val="16"/>
          <w:szCs w:val="16"/>
          <w:i w:val="1"/>
          <w:iCs w:val="1"/>
          <w:color w:val="auto"/>
        </w:rPr>
        <w:t xml:space="preserve"> (P&amp;C) and an increase in life insurance business. This effect offset a higher level of claims in P&amp;C (car and private health insurance) QoQ. In the YoY analysis, it is important to</w:t>
      </w:r>
    </w:p>
    <w:p>
      <w:pPr>
        <w:ind w:right="20"/>
        <w:spacing w:after="0" w:line="205" w:lineRule="auto"/>
        <w:rPr>
          <w:sz w:val="20"/>
          <w:szCs w:val="20"/>
          <w:color w:val="auto"/>
        </w:rPr>
      </w:pPr>
      <w:r>
        <w:rPr>
          <w:rFonts w:ascii="Arial" w:cs="Arial" w:eastAsia="Arial" w:hAnsi="Arial"/>
          <w:sz w:val="18"/>
          <w:szCs w:val="18"/>
          <w:i w:val="1"/>
          <w:iCs w:val="1"/>
          <w:color w:val="auto"/>
        </w:rPr>
        <w:t>mention that results incorporate the accounting effect</w:t>
      </w:r>
      <w:r>
        <w:rPr>
          <w:rFonts w:ascii="Arial" w:cs="Arial" w:eastAsia="Arial" w:hAnsi="Arial"/>
          <w:sz w:val="30"/>
          <w:szCs w:val="30"/>
          <w:i w:val="1"/>
          <w:iCs w:val="1"/>
          <w:color w:val="auto"/>
          <w:vertAlign w:val="superscript"/>
        </w:rPr>
        <w:t>7</w:t>
      </w:r>
      <w:r>
        <w:rPr>
          <w:rFonts w:ascii="Arial" w:cs="Arial" w:eastAsia="Arial" w:hAnsi="Arial"/>
          <w:sz w:val="18"/>
          <w:szCs w:val="18"/>
          <w:i w:val="1"/>
          <w:iCs w:val="1"/>
          <w:color w:val="auto"/>
        </w:rPr>
        <w:t xml:space="preserve"> of the joint venture with Banmedica; however, the underwriting result increased 6.5% mainly due to a decrease in claims and in the acquisition cost, which offset lower net earned premiums.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Insurance underwriting result</w:t>
            </w:r>
            <w:r>
              <w:rPr>
                <w:rFonts w:ascii="Arial" w:cs="Arial" w:eastAsia="Arial" w:hAnsi="Arial"/>
                <w:sz w:val="23"/>
                <w:szCs w:val="23"/>
                <w:b w:val="1"/>
                <w:bCs w:val="1"/>
                <w:color w:val="auto"/>
                <w:vertAlign w:val="superscript"/>
              </w:rPr>
              <w:t>(1)</w:t>
            </w: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3"/>
          </w:tcPr>
          <w:p>
            <w:pPr>
              <w:ind w:left="740"/>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20"/>
                <w:szCs w:val="20"/>
                <w:color w:val="auto"/>
              </w:rPr>
            </w:pPr>
            <w:r>
              <w:rPr>
                <w:rFonts w:ascii="Arial" w:cs="Arial" w:eastAsia="Arial" w:hAnsi="Arial"/>
                <w:sz w:val="14"/>
                <w:szCs w:val="14"/>
                <w:color w:val="auto"/>
              </w:rPr>
              <w:t>S/.000</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3Q14</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2Q15</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3Q15</w:t>
            </w:r>
          </w:p>
        </w:tc>
        <w:tc>
          <w:tcPr>
            <w:tcW w:w="220" w:type="dxa"/>
            <w:vAlign w:val="bottom"/>
          </w:tcPr>
          <w:p>
            <w:pPr>
              <w:spacing w:after="0"/>
              <w:rPr>
                <w:sz w:val="14"/>
                <w:szCs w:val="1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14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w w:val="97"/>
              </w:rPr>
              <w:t>Sep 15</w:t>
            </w:r>
          </w:p>
        </w:tc>
        <w:tc>
          <w:tcPr>
            <w:tcW w:w="120" w:type="dxa"/>
            <w:vAlign w:val="bottom"/>
          </w:tcPr>
          <w:p>
            <w:pPr>
              <w:spacing w:after="0"/>
              <w:rPr>
                <w:sz w:val="14"/>
                <w:szCs w:val="14"/>
                <w:color w:val="auto"/>
              </w:rPr>
            </w:pPr>
          </w:p>
        </w:tc>
        <w:tc>
          <w:tcPr>
            <w:tcW w:w="116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w w:val="98"/>
              </w:rPr>
              <w:t>Sep 15 / Sep 14</w:t>
            </w:r>
          </w:p>
        </w:tc>
        <w:tc>
          <w:tcPr>
            <w:tcW w:w="0" w:type="dxa"/>
            <w:vAlign w:val="bottom"/>
          </w:tcPr>
          <w:p>
            <w:pPr>
              <w:spacing w:after="0"/>
              <w:rPr>
                <w:sz w:val="1"/>
                <w:szCs w:val="1"/>
                <w:color w:val="auto"/>
              </w:rPr>
            </w:pPr>
          </w:p>
        </w:tc>
      </w:tr>
      <w:tr>
        <w:trPr>
          <w:trHeight w:val="20"/>
        </w:trPr>
        <w:tc>
          <w:tcPr>
            <w:tcW w:w="31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earned premiums</w:t>
            </w:r>
          </w:p>
        </w:tc>
        <w:tc>
          <w:tcPr>
            <w:tcW w:w="12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555,160</w:t>
            </w:r>
          </w:p>
        </w:tc>
        <w:tc>
          <w:tcPr>
            <w:tcW w:w="22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427,044</w:t>
            </w:r>
          </w:p>
        </w:tc>
        <w:tc>
          <w:tcPr>
            <w:tcW w:w="22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432,777</w:t>
            </w:r>
          </w:p>
        </w:tc>
        <w:tc>
          <w:tcPr>
            <w:tcW w:w="220" w:type="dxa"/>
            <w:vAlign w:val="bottom"/>
            <w:vMerge w:val="continue"/>
            <w:shd w:val="clear" w:color="auto" w:fill="CCEEFF"/>
          </w:tcPr>
          <w:p>
            <w:pPr>
              <w:spacing w:after="0"/>
              <w:rPr>
                <w:sz w:val="12"/>
                <w:szCs w:val="12"/>
                <w:color w:val="auto"/>
              </w:rPr>
            </w:pPr>
          </w:p>
        </w:tc>
        <w:tc>
          <w:tcPr>
            <w:tcW w:w="10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1.3%</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-22.0%</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1,618,388</w:t>
            </w:r>
          </w:p>
        </w:tc>
        <w:tc>
          <w:tcPr>
            <w:tcW w:w="2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1,264,317</w:t>
            </w:r>
          </w:p>
        </w:tc>
        <w:tc>
          <w:tcPr>
            <w:tcW w:w="12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Net claims</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(358,492)</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(255,382)</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(265,648)</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4.0%</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-25.9%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(1,051,677)</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(753,305)</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Acquisition cost </w:t>
            </w:r>
            <w:r>
              <w:rPr>
                <w:rFonts w:ascii="Arial" w:cs="Arial" w:eastAsia="Arial" w:hAnsi="Arial"/>
                <w:sz w:val="23"/>
                <w:szCs w:val="23"/>
                <w:color w:val="auto"/>
                <w:vertAlign w:val="superscript"/>
              </w:rPr>
              <w:t>(2)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(79,030)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(51,314)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(41,884)</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-18.4%</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-47.0%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(247,806)</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(169,169)</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57"/>
        </w:trPr>
        <w:tc>
          <w:tcPr>
            <w:tcW w:w="328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Total insurance underwriting result</w:t>
            </w: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117,638</w:t>
            </w:r>
          </w:p>
        </w:tc>
        <w:tc>
          <w:tcPr>
            <w:tcW w:w="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120,348</w:t>
            </w:r>
          </w:p>
        </w:tc>
        <w:tc>
          <w:tcPr>
            <w:tcW w:w="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125,245</w:t>
            </w:r>
          </w:p>
        </w:tc>
        <w:tc>
          <w:tcPr>
            <w:tcW w:w="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4.1</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6.5</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318,905</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341,843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7.2</w:t>
            </w:r>
          </w:p>
        </w:tc>
        <w:tc>
          <w:tcPr>
            <w:tcW w:w="1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-8890</wp:posOffset>
            </wp:positionV>
            <wp:extent cx="50768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Figures differ from those previously reported. The correct figures are published on this report.</w:t>
      </w:r>
    </w:p>
    <w:p>
      <w:pPr>
        <w:spacing w:after="0" w:line="7"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net fees and underwriting expenses.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underwriting result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142875</wp:posOffset>
            </wp:positionV>
            <wp:extent cx="3567430" cy="2058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6743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1) Includes medical assistance for dependents and medical services.</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(2) The underwriting result is usually negative because the major source of income comes from its financial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8097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58" w:lineRule="exact"/>
        <w:rPr>
          <w:sz w:val="20"/>
          <w:szCs w:val="20"/>
          <w:color w:val="auto"/>
        </w:rPr>
      </w:pPr>
    </w:p>
    <w:p>
      <w:pPr>
        <w:ind w:right="400" w:firstLine="8"/>
        <w:spacing w:after="0" w:line="194" w:lineRule="auto"/>
        <w:tabs>
          <w:tab w:leader="none" w:pos="120" w:val="left"/>
        </w:tabs>
        <w:numPr>
          <w:ilvl w:val="0"/>
          <w:numId w:val="43"/>
        </w:numPr>
        <w:rPr>
          <w:rFonts w:ascii="Arial" w:cs="Arial" w:eastAsia="Arial" w:hAnsi="Arial"/>
          <w:sz w:val="30"/>
          <w:szCs w:val="30"/>
          <w:color w:val="auto"/>
          <w:vertAlign w:val="superscript"/>
        </w:rPr>
      </w:pPr>
      <w:r>
        <w:rPr>
          <w:rFonts w:ascii="Arial" w:cs="Arial" w:eastAsia="Arial" w:hAnsi="Arial"/>
          <w:sz w:val="18"/>
          <w:szCs w:val="18"/>
          <w:color w:val="auto"/>
        </w:rPr>
        <w:t>P&amp;C includes car insurance, private health insurance and traditional property and casualty. The private health insurance is managed by Pacifico and for which Banmedica receives 50% of net earnings, due to the joint venture agreement.</w:t>
      </w:r>
    </w:p>
    <w:p>
      <w:pPr>
        <w:spacing w:after="0" w:line="27" w:lineRule="exact"/>
        <w:rPr>
          <w:sz w:val="20"/>
          <w:szCs w:val="20"/>
          <w:color w:val="auto"/>
        </w:rPr>
      </w:pPr>
    </w:p>
    <w:p>
      <w:pPr>
        <w:ind w:right="520" w:firstLine="8"/>
        <w:spacing w:after="0" w:line="209" w:lineRule="auto"/>
        <w:tabs>
          <w:tab w:leader="none" w:pos="120" w:val="left"/>
        </w:tabs>
        <w:numPr>
          <w:ilvl w:val="0"/>
          <w:numId w:val="44"/>
        </w:numPr>
        <w:rPr>
          <w:rFonts w:ascii="Arial" w:cs="Arial" w:eastAsia="Arial" w:hAnsi="Arial"/>
          <w:sz w:val="30"/>
          <w:szCs w:val="30"/>
          <w:color w:val="auto"/>
          <w:vertAlign w:val="superscript"/>
        </w:rPr>
      </w:pPr>
      <w:r>
        <w:rPr>
          <w:rFonts w:ascii="Arial" w:cs="Arial" w:eastAsia="Arial" w:hAnsi="Arial"/>
          <w:sz w:val="18"/>
          <w:szCs w:val="18"/>
          <w:color w:val="auto"/>
        </w:rPr>
        <w:t>The joint venture agreement with Banmedica stipulates that the corporate health insurance business and medical services (network of clinics, medical centers and laboratories) is registered as an investment in subsidiaries. Both businesses are managed by Banmedica, and Pacifico receives 50% of net earnings.</w:t>
      </w:r>
    </w:p>
    <w:p>
      <w:pPr>
        <w:spacing w:after="0" w:line="200" w:lineRule="exact"/>
        <w:rPr>
          <w:sz w:val="20"/>
          <w:szCs w:val="20"/>
          <w:color w:val="auto"/>
        </w:rPr>
      </w:pPr>
    </w:p>
    <w:p>
      <w:pPr>
        <w:spacing w:after="0" w:line="212"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6.1</w:t>
            </w:r>
          </w:p>
        </w:tc>
        <w:tc>
          <w:tcPr>
            <w:tcW w:w="5240" w:type="dxa"/>
            <w:vAlign w:val="bottom"/>
          </w:tcPr>
          <w:p>
            <w:pPr>
              <w:ind w:left="220"/>
              <w:spacing w:after="0"/>
              <w:rPr>
                <w:sz w:val="20"/>
                <w:szCs w:val="20"/>
                <w:color w:val="auto"/>
              </w:rPr>
            </w:pPr>
            <w:r>
              <w:rPr>
                <w:rFonts w:ascii="Arial" w:cs="Arial" w:eastAsia="Arial" w:hAnsi="Arial"/>
                <w:sz w:val="18"/>
                <w:szCs w:val="18"/>
                <w:b w:val="1"/>
                <w:bCs w:val="1"/>
                <w:color w:val="auto"/>
              </w:rPr>
              <w:t>Net earned premiums</w:t>
            </w:r>
          </w:p>
        </w:tc>
        <w:tc>
          <w:tcPr>
            <w:tcW w:w="4240" w:type="dxa"/>
            <w:vAlign w:val="bottom"/>
          </w:tcPr>
          <w:p>
            <w:pPr>
              <w:spacing w:after="0"/>
              <w:rPr>
                <w:sz w:val="20"/>
                <w:szCs w:val="20"/>
                <w:color w:val="auto"/>
              </w:rPr>
            </w:pPr>
          </w:p>
        </w:tc>
      </w:tr>
      <w:tr>
        <w:trPr>
          <w:trHeight w:val="418"/>
        </w:trPr>
        <w:tc>
          <w:tcPr>
            <w:tcW w:w="440" w:type="dxa"/>
            <w:vAlign w:val="bottom"/>
          </w:tcPr>
          <w:p>
            <w:pPr>
              <w:spacing w:after="0"/>
              <w:rPr>
                <w:sz w:val="24"/>
                <w:szCs w:val="24"/>
                <w:color w:val="auto"/>
              </w:rPr>
            </w:pPr>
          </w:p>
        </w:tc>
        <w:tc>
          <w:tcPr>
            <w:tcW w:w="524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Written premiums by business</w:t>
            </w:r>
          </w:p>
        </w:tc>
        <w:tc>
          <w:tcPr>
            <w:tcW w:w="4240" w:type="dxa"/>
            <w:vAlign w:val="bottom"/>
          </w:tcPr>
          <w:p>
            <w:pPr>
              <w:jc w:val="center"/>
              <w:ind w:left="1570"/>
              <w:spacing w:after="0"/>
              <w:rPr>
                <w:sz w:val="20"/>
                <w:szCs w:val="20"/>
                <w:color w:val="auto"/>
              </w:rPr>
            </w:pPr>
            <w:r>
              <w:rPr>
                <w:rFonts w:ascii="Arial" w:cs="Arial" w:eastAsia="Arial" w:hAnsi="Arial"/>
                <w:sz w:val="18"/>
                <w:szCs w:val="18"/>
                <w:b w:val="1"/>
                <w:bCs w:val="1"/>
                <w:color w:val="auto"/>
                <w:w w:val="88"/>
              </w:rPr>
              <w:t>Net earned premiums by business</w:t>
            </w:r>
          </w:p>
        </w:tc>
      </w:tr>
      <w:tr>
        <w:trPr>
          <w:trHeight w:val="230"/>
        </w:trPr>
        <w:tc>
          <w:tcPr>
            <w:tcW w:w="440" w:type="dxa"/>
            <w:vAlign w:val="bottom"/>
          </w:tcPr>
          <w:p>
            <w:pPr>
              <w:spacing w:after="0"/>
              <w:rPr>
                <w:sz w:val="20"/>
                <w:szCs w:val="20"/>
                <w:color w:val="auto"/>
              </w:rPr>
            </w:pPr>
          </w:p>
        </w:tc>
        <w:tc>
          <w:tcPr>
            <w:tcW w:w="5240" w:type="dxa"/>
            <w:vAlign w:val="bottom"/>
          </w:tcPr>
          <w:p>
            <w:pPr>
              <w:jc w:val="center"/>
              <w:ind w:right="290"/>
              <w:spacing w:after="0"/>
              <w:rPr>
                <w:sz w:val="20"/>
                <w:szCs w:val="20"/>
                <w:color w:val="auto"/>
              </w:rPr>
            </w:pPr>
            <w:r>
              <w:rPr>
                <w:rFonts w:ascii="Arial" w:cs="Arial" w:eastAsia="Arial" w:hAnsi="Arial"/>
                <w:sz w:val="18"/>
                <w:szCs w:val="18"/>
                <w:color w:val="auto"/>
                <w:w w:val="94"/>
              </w:rPr>
              <w:t>(S/. millons)</w:t>
            </w:r>
          </w:p>
        </w:tc>
        <w:tc>
          <w:tcPr>
            <w:tcW w:w="4240" w:type="dxa"/>
            <w:vAlign w:val="bottom"/>
          </w:tcPr>
          <w:p>
            <w:pPr>
              <w:jc w:val="center"/>
              <w:ind w:left="1570"/>
              <w:spacing w:after="0"/>
              <w:rPr>
                <w:sz w:val="20"/>
                <w:szCs w:val="20"/>
                <w:color w:val="auto"/>
              </w:rPr>
            </w:pPr>
            <w:r>
              <w:rPr>
                <w:rFonts w:ascii="Arial" w:cs="Arial" w:eastAsia="Arial" w:hAnsi="Arial"/>
                <w:sz w:val="18"/>
                <w:szCs w:val="18"/>
                <w:color w:val="auto"/>
                <w:w w:val="94"/>
              </w:rPr>
              <w:t>(S/. millons)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137160</wp:posOffset>
            </wp:positionV>
            <wp:extent cx="6491605" cy="14922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91605"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(1) Includes medical assistance for dependents and medical services.</w:t>
      </w:r>
    </w:p>
    <w:p>
      <w:pPr>
        <w:spacing w:after="0" w:line="229" w:lineRule="exact"/>
        <w:rPr>
          <w:sz w:val="20"/>
          <w:szCs w:val="20"/>
          <w:color w:val="auto"/>
        </w:rPr>
      </w:pPr>
    </w:p>
    <w:p>
      <w:pPr>
        <w:jc w:val="both"/>
        <w:spacing w:after="0" w:line="227" w:lineRule="auto"/>
        <w:rPr>
          <w:sz w:val="20"/>
          <w:szCs w:val="20"/>
          <w:color w:val="auto"/>
        </w:rPr>
      </w:pPr>
      <w:r>
        <w:rPr>
          <w:rFonts w:ascii="Arial" w:cs="Arial" w:eastAsia="Arial" w:hAnsi="Arial"/>
          <w:sz w:val="16"/>
          <w:szCs w:val="16"/>
          <w:b w:val="1"/>
          <w:bCs w:val="1"/>
          <w:color w:val="auto"/>
        </w:rPr>
        <w:t xml:space="preserve">Written premiums </w:t>
      </w:r>
      <w:r>
        <w:rPr>
          <w:rFonts w:ascii="Arial" w:cs="Arial" w:eastAsia="Arial" w:hAnsi="Arial"/>
          <w:sz w:val="16"/>
          <w:szCs w:val="16"/>
          <w:color w:val="auto"/>
        </w:rPr>
        <w:t>increased + 5.8% QoQ, life insurance business The latter was due to an improvement in individual annuities business</w:t>
      </w:r>
      <w:r>
        <w:rPr>
          <w:rFonts w:ascii="Arial" w:cs="Arial" w:eastAsia="Arial" w:hAnsi="Arial"/>
          <w:sz w:val="26"/>
          <w:szCs w:val="26"/>
          <w:color w:val="auto"/>
          <w:vertAlign w:val="superscript"/>
        </w:rPr>
        <w:t>8</w:t>
      </w:r>
      <w:r>
        <w:rPr>
          <w:rFonts w:ascii="Arial" w:cs="Arial" w:eastAsia="Arial" w:hAnsi="Arial"/>
          <w:sz w:val="16"/>
          <w:szCs w:val="16"/>
          <w:color w:val="auto"/>
        </w:rPr>
        <w:t>, which posted the</w:t>
      </w:r>
      <w:r>
        <w:rPr>
          <w:rFonts w:ascii="Arial" w:cs="Arial" w:eastAsia="Arial" w:hAnsi="Arial"/>
          <w:sz w:val="16"/>
          <w:szCs w:val="16"/>
          <w:b w:val="1"/>
          <w:bCs w:val="1"/>
          <w:color w:val="auto"/>
        </w:rPr>
        <w:t xml:space="preserve"> </w:t>
      </w:r>
      <w:r>
        <w:rPr>
          <w:rFonts w:ascii="Arial" w:cs="Arial" w:eastAsia="Arial" w:hAnsi="Arial"/>
          <w:sz w:val="16"/>
          <w:szCs w:val="16"/>
          <w:color w:val="auto"/>
        </w:rPr>
        <w:t>highest turnover level in 3T15 followed by individual life</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premiums, which rose due to renewals, and Credit life</w:t>
      </w:r>
      <w:r>
        <w:rPr>
          <w:rFonts w:ascii="Arial" w:cs="Arial" w:eastAsia="Arial" w:hAnsi="Arial"/>
          <w:sz w:val="26"/>
          <w:szCs w:val="26"/>
          <w:color w:val="auto"/>
          <w:vertAlign w:val="superscript"/>
        </w:rPr>
        <w:t>10</w:t>
      </w:r>
      <w:r>
        <w:rPr>
          <w:rFonts w:ascii="Arial" w:cs="Arial" w:eastAsia="Arial" w:hAnsi="Arial"/>
          <w:sz w:val="16"/>
          <w:szCs w:val="16"/>
          <w:color w:val="auto"/>
        </w:rPr>
        <w:t>, where expansion was attributable to the Mibanco bancassurance portfolio. P&amp;C’s written premiums decreased QoQ, mainly due to a decline in the traditional property &amp; casualty business.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important to mention that individual annuities represent a long-term business where once premiums are registered; reserves have to be constituted for similar amounts. Income generation in this business is long-term and stems from financial income. This effect is not reflected in the underwriting result and is instead registered as non-financial income at Credicorp. In this context, a significant increase in gross premiums in the annuities business is offset by higher reserves.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Net earned premiums </w:t>
      </w:r>
      <w:r>
        <w:rPr>
          <w:rFonts w:ascii="Arial" w:cs="Arial" w:eastAsia="Arial" w:hAnsi="Arial"/>
          <w:sz w:val="18"/>
          <w:szCs w:val="18"/>
          <w:color w:val="auto"/>
        </w:rPr>
        <w:t>increased only + 1.3% QoQ and were driven by higher premiums in the life insurance business in particular and in Group life and</w:t>
      </w:r>
      <w:r>
        <w:rPr>
          <w:rFonts w:ascii="Arial" w:cs="Arial" w:eastAsia="Arial" w:hAnsi="Arial"/>
          <w:sz w:val="18"/>
          <w:szCs w:val="18"/>
          <w:b w:val="1"/>
          <w:bCs w:val="1"/>
          <w:color w:val="auto"/>
        </w:rPr>
        <w:t xml:space="preserve"> </w:t>
      </w:r>
      <w:r>
        <w:rPr>
          <w:rFonts w:ascii="Arial" w:cs="Arial" w:eastAsia="Arial" w:hAnsi="Arial"/>
          <w:sz w:val="18"/>
          <w:szCs w:val="18"/>
          <w:color w:val="auto"/>
        </w:rPr>
        <w:t>Credit life. In contrast, P&amp;C business remained stable QoQ due to higher premiums in private health insurance and car insurance, which were offset by lower premiums in the traditional property and casualty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8097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3" w:lineRule="exact"/>
        <w:rPr>
          <w:sz w:val="20"/>
          <w:szCs w:val="20"/>
          <w:color w:val="auto"/>
        </w:rPr>
      </w:pPr>
    </w:p>
    <w:p>
      <w:pPr>
        <w:ind w:left="120" w:hanging="112"/>
        <w:spacing w:after="0"/>
        <w:tabs>
          <w:tab w:leader="none" w:pos="120" w:val="left"/>
        </w:tabs>
        <w:numPr>
          <w:ilvl w:val="0"/>
          <w:numId w:val="45"/>
        </w:numPr>
        <w:rPr>
          <w:rFonts w:ascii="Arial" w:cs="Arial" w:eastAsia="Arial" w:hAnsi="Arial"/>
          <w:sz w:val="30"/>
          <w:szCs w:val="30"/>
          <w:color w:val="auto"/>
          <w:vertAlign w:val="superscript"/>
        </w:rPr>
      </w:pPr>
      <w:r>
        <w:rPr>
          <w:rFonts w:ascii="Arial" w:cs="Arial" w:eastAsia="Arial" w:hAnsi="Arial"/>
          <w:sz w:val="18"/>
          <w:szCs w:val="18"/>
          <w:color w:val="auto"/>
        </w:rPr>
        <w:t>Life insurance for individuals with a retirement, disability and survivorship pension.</w:t>
      </w:r>
    </w:p>
    <w:p>
      <w:pPr>
        <w:spacing w:after="0" w:line="42" w:lineRule="exact"/>
        <w:rPr>
          <w:rFonts w:ascii="Arial" w:cs="Arial" w:eastAsia="Arial" w:hAnsi="Arial"/>
          <w:sz w:val="30"/>
          <w:szCs w:val="30"/>
          <w:color w:val="auto"/>
          <w:vertAlign w:val="superscript"/>
        </w:rPr>
      </w:pP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9</w:t>
      </w:r>
      <w:r>
        <w:rPr>
          <w:rFonts w:ascii="Arial" w:cs="Arial" w:eastAsia="Arial" w:hAnsi="Arial"/>
          <w:sz w:val="18"/>
          <w:szCs w:val="18"/>
          <w:color w:val="auto"/>
        </w:rPr>
        <w:t xml:space="preserve"> Life insurance for individuals.</w:t>
      </w:r>
    </w:p>
    <w:p>
      <w:pPr>
        <w:spacing w:after="0" w:line="234"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10</w:t>
      </w:r>
      <w:r>
        <w:rPr>
          <w:rFonts w:ascii="Arial" w:cs="Arial" w:eastAsia="Arial" w:hAnsi="Arial"/>
          <w:sz w:val="18"/>
          <w:szCs w:val="18"/>
          <w:color w:val="auto"/>
        </w:rPr>
        <w:t xml:space="preserve"> Life insurance for individuals granted together with a loan.</w:t>
      </w:r>
    </w:p>
    <w:p>
      <w:pPr>
        <w:spacing w:after="0" w:line="289"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spacing w:after="0"/>
        <w:tabs>
          <w:tab w:leader="none" w:pos="6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Net claims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Net claims by business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142875</wp:posOffset>
            </wp:positionV>
            <wp:extent cx="3249930" cy="16465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49930"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(1) Includes medical assistance for dependents and medical services.</w:t>
      </w:r>
    </w:p>
    <w:p>
      <w:pPr>
        <w:spacing w:after="0" w:line="225"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Net claims increased +4% QoQ due to higher claims in P&amp;C, specifically in the private health insurance, due to an increase in out-patient services and in the car insurance business. Claims in the life insurance business registered a slight increase QoQ due to a higher volume of SISCO</w:t>
      </w:r>
      <w:r>
        <w:rPr>
          <w:rFonts w:ascii="Arial" w:cs="Arial" w:eastAsia="Arial" w:hAnsi="Arial"/>
          <w:sz w:val="30"/>
          <w:szCs w:val="30"/>
          <w:color w:val="auto"/>
          <w:vertAlign w:val="superscript"/>
        </w:rPr>
        <w:t>11</w:t>
      </w:r>
      <w:r>
        <w:rPr>
          <w:rFonts w:ascii="Arial" w:cs="Arial" w:eastAsia="Arial" w:hAnsi="Arial"/>
          <w:sz w:val="18"/>
          <w:szCs w:val="18"/>
          <w:color w:val="auto"/>
        </w:rPr>
        <w:t>-related and individual life claims, which were offset by lower claims in personal accidents and group life.</w:t>
      </w:r>
    </w:p>
    <w:p>
      <w:pPr>
        <w:spacing w:after="0" w:line="19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Acquisition cost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Acquisition cost by Business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142875</wp:posOffset>
            </wp:positionV>
            <wp:extent cx="2984500" cy="15347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8450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(1) Includes medical assistance for dependents and medical services.</w:t>
      </w:r>
    </w:p>
    <w:p>
      <w:pPr>
        <w:spacing w:after="0" w:line="229" w:lineRule="exact"/>
        <w:rPr>
          <w:sz w:val="20"/>
          <w:szCs w:val="20"/>
          <w:color w:val="auto"/>
        </w:rPr>
      </w:pPr>
    </w:p>
    <w:p>
      <w:pPr>
        <w:spacing w:after="0" w:line="210" w:lineRule="auto"/>
        <w:rPr>
          <w:sz w:val="20"/>
          <w:szCs w:val="20"/>
          <w:color w:val="auto"/>
        </w:rPr>
      </w:pPr>
      <w:r>
        <w:rPr>
          <w:rFonts w:ascii="Arial" w:cs="Arial" w:eastAsia="Arial" w:hAnsi="Arial"/>
          <w:sz w:val="18"/>
          <w:szCs w:val="18"/>
          <w:color w:val="auto"/>
        </w:rPr>
        <w:t>The acquisition cost, which is composed of net fees and net underwriting expenses</w:t>
      </w:r>
      <w:r>
        <w:rPr>
          <w:rFonts w:ascii="Arial" w:cs="Arial" w:eastAsia="Arial" w:hAnsi="Arial"/>
          <w:sz w:val="30"/>
          <w:szCs w:val="30"/>
          <w:color w:val="auto"/>
          <w:vertAlign w:val="superscript"/>
        </w:rPr>
        <w:t>12</w:t>
      </w:r>
      <w:r>
        <w:rPr>
          <w:rFonts w:ascii="Arial" w:cs="Arial" w:eastAsia="Arial" w:hAnsi="Arial"/>
          <w:sz w:val="18"/>
          <w:szCs w:val="18"/>
          <w:color w:val="auto"/>
        </w:rPr>
        <w:t>, decreased -18.4% QoQ due to a decrease in net fees that offset the slight increase in net underwriting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reduction of net fees was mainly explained by the regularization of eliminations from transactions among affiliates in the financial consolidation process.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slight increase in net underwriting expenses came from the life insurance business (individual life and group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18097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00" w:hanging="192"/>
        <w:spacing w:after="0"/>
        <w:tabs>
          <w:tab w:leader="none" w:pos="200" w:val="left"/>
        </w:tabs>
        <w:numPr>
          <w:ilvl w:val="0"/>
          <w:numId w:val="46"/>
        </w:numPr>
        <w:rPr>
          <w:rFonts w:ascii="Arial" w:cs="Arial" w:eastAsia="Arial" w:hAnsi="Arial"/>
          <w:sz w:val="25"/>
          <w:szCs w:val="25"/>
          <w:color w:val="auto"/>
          <w:vertAlign w:val="superscript"/>
        </w:rPr>
      </w:pPr>
      <w:r>
        <w:rPr>
          <w:rFonts w:ascii="Arial" w:cs="Arial" w:eastAsia="Arial" w:hAnsi="Arial"/>
          <w:sz w:val="16"/>
          <w:szCs w:val="16"/>
          <w:color w:val="auto"/>
        </w:rPr>
        <w:t>Disability insurance, survivors and funeral expenses with AFP.</w:t>
      </w:r>
    </w:p>
    <w:p>
      <w:pPr>
        <w:spacing w:after="0" w:line="42" w:lineRule="exact"/>
        <w:rPr>
          <w:rFonts w:ascii="Arial" w:cs="Arial" w:eastAsia="Arial" w:hAnsi="Arial"/>
          <w:sz w:val="25"/>
          <w:szCs w:val="25"/>
          <w:color w:val="auto"/>
          <w:vertAlign w:val="superscript"/>
        </w:rPr>
      </w:pPr>
    </w:p>
    <w:p>
      <w:pPr>
        <w:ind w:left="200" w:hanging="192"/>
        <w:spacing w:after="0" w:line="186" w:lineRule="auto"/>
        <w:tabs>
          <w:tab w:leader="none" w:pos="200" w:val="left"/>
        </w:tabs>
        <w:numPr>
          <w:ilvl w:val="0"/>
          <w:numId w:val="46"/>
        </w:numPr>
        <w:rPr>
          <w:rFonts w:ascii="Arial" w:cs="Arial" w:eastAsia="Arial" w:hAnsi="Arial"/>
          <w:sz w:val="24"/>
          <w:szCs w:val="24"/>
          <w:color w:val="auto"/>
          <w:vertAlign w:val="superscript"/>
        </w:rPr>
      </w:pPr>
      <w:r>
        <w:rPr>
          <w:rFonts w:ascii="Arial" w:cs="Arial" w:eastAsia="Arial" w:hAnsi="Arial"/>
          <w:sz w:val="15"/>
          <w:szCs w:val="15"/>
          <w:color w:val="auto"/>
        </w:rPr>
        <w:t>Net underwriting expenses = underwriting income + underwriting expense.</w:t>
      </w:r>
    </w:p>
    <w:p>
      <w:pPr>
        <w:spacing w:after="0" w:line="200" w:lineRule="exact"/>
        <w:rPr>
          <w:sz w:val="20"/>
          <w:szCs w:val="20"/>
          <w:color w:val="auto"/>
        </w:rPr>
      </w:pPr>
    </w:p>
    <w:p>
      <w:pPr>
        <w:spacing w:after="0" w:line="211"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 and efficiency</w:t>
      </w:r>
    </w:p>
    <w:p>
      <w:pPr>
        <w:spacing w:after="0" w:line="23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i w:val="1"/>
          <w:iCs w:val="1"/>
          <w:color w:val="auto"/>
        </w:rPr>
        <w:t>The efficiency ratio</w:t>
      </w:r>
      <w:r>
        <w:rPr>
          <w:rFonts w:ascii="Arial" w:cs="Arial" w:eastAsia="Arial" w:hAnsi="Arial"/>
          <w:sz w:val="28"/>
          <w:szCs w:val="28"/>
          <w:i w:val="1"/>
          <w:iCs w:val="1"/>
          <w:color w:val="auto"/>
          <w:vertAlign w:val="superscript"/>
        </w:rPr>
        <w:t>12</w:t>
      </w:r>
      <w:r>
        <w:rPr>
          <w:rFonts w:ascii="Arial" w:cs="Arial" w:eastAsia="Arial" w:hAnsi="Arial"/>
          <w:sz w:val="17"/>
          <w:szCs w:val="17"/>
          <w:i w:val="1"/>
          <w:iCs w:val="1"/>
          <w:color w:val="auto"/>
        </w:rPr>
        <w:t xml:space="preserve"> was situated at 41.7%, which register a reduction of 60 bps than the figure posted in 2Q15, in line with the efforts made through the Efficiency program. The aforementioned was attributable to lower expenses in Salaries and employees benefits and the increase in operating income; the latter was mainly associated to the major dynamism of the second half of the year. In YoY terms, operating expenses increased only +20 bps, due to the lower non-financial income during this quarter. Year to date, the efficiency ratio reduced 30 bps, in line with a higher operating income.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 change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ind w:left="760"/>
              <w:spacing w:after="0"/>
              <w:rPr>
                <w:sz w:val="20"/>
                <w:szCs w:val="20"/>
                <w:color w:val="auto"/>
              </w:rPr>
            </w:pPr>
            <w:r>
              <w:rPr>
                <w:rFonts w:ascii="Arial" w:cs="Arial" w:eastAsia="Arial" w:hAnsi="Arial"/>
                <w:sz w:val="14"/>
                <w:szCs w:val="14"/>
                <w:b w:val="1"/>
                <w:bCs w:val="1"/>
                <w:color w:val="auto"/>
              </w:rPr>
              <w:t>YTD</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20"/>
                <w:szCs w:val="20"/>
                <w:color w:val="auto"/>
              </w:rPr>
            </w:pPr>
            <w:r>
              <w:rPr>
                <w:rFonts w:ascii="Arial" w:cs="Arial" w:eastAsia="Arial" w:hAnsi="Arial"/>
                <w:sz w:val="14"/>
                <w:szCs w:val="14"/>
                <w:color w:val="auto"/>
              </w:rPr>
              <w:t>S/. 000</w:t>
            </w:r>
          </w:p>
        </w:tc>
        <w:tc>
          <w:tcPr>
            <w:tcW w:w="1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3Q14</w:t>
            </w:r>
          </w:p>
        </w:tc>
        <w:tc>
          <w:tcPr>
            <w:tcW w:w="2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2Q15</w:t>
            </w:r>
          </w:p>
        </w:tc>
        <w:tc>
          <w:tcPr>
            <w:tcW w:w="2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3Q15</w:t>
            </w:r>
          </w:p>
        </w:tc>
        <w:tc>
          <w:tcPr>
            <w:tcW w:w="260" w:type="dxa"/>
            <w:vAlign w:val="bottom"/>
          </w:tcPr>
          <w:p>
            <w:pPr>
              <w:spacing w:after="0"/>
              <w:rPr>
                <w:sz w:val="14"/>
                <w:szCs w:val="14"/>
                <w:color w:val="auto"/>
              </w:rPr>
            </w:pPr>
          </w:p>
        </w:tc>
        <w:tc>
          <w:tcPr>
            <w:tcW w:w="780" w:type="dxa"/>
            <w:vAlign w:val="bottom"/>
          </w:tcPr>
          <w:p>
            <w:pPr>
              <w:ind w:left="240"/>
              <w:spacing w:after="0"/>
              <w:rPr>
                <w:sz w:val="20"/>
                <w:szCs w:val="20"/>
                <w:color w:val="auto"/>
              </w:rPr>
            </w:pPr>
            <w:r>
              <w:rPr>
                <w:rFonts w:ascii="Arial" w:cs="Arial" w:eastAsia="Arial" w:hAnsi="Arial"/>
                <w:sz w:val="14"/>
                <w:szCs w:val="14"/>
                <w:b w:val="1"/>
                <w:bCs w:val="1"/>
                <w:color w:val="auto"/>
              </w:rPr>
              <w:t>QoQ</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14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15</w:t>
            </w:r>
          </w:p>
        </w:tc>
        <w:tc>
          <w:tcPr>
            <w:tcW w:w="26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88"/>
              </w:rPr>
              <w:t>Sep 15 / Sep 14</w:t>
            </w:r>
          </w:p>
        </w:tc>
        <w:tc>
          <w:tcPr>
            <w:tcW w:w="0" w:type="dxa"/>
            <w:vAlign w:val="bottom"/>
          </w:tcPr>
          <w:p>
            <w:pPr>
              <w:spacing w:after="0"/>
              <w:rPr>
                <w:sz w:val="1"/>
                <w:szCs w:val="1"/>
                <w:color w:val="auto"/>
              </w:rPr>
            </w:pPr>
          </w:p>
        </w:tc>
      </w:tr>
      <w:tr>
        <w:trPr>
          <w:trHeight w:val="20"/>
        </w:trPr>
        <w:tc>
          <w:tcPr>
            <w:tcW w:w="30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Salaries and employees benefits</w:t>
            </w:r>
          </w:p>
        </w:tc>
        <w:tc>
          <w:tcPr>
            <w:tcW w:w="10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672,540</w:t>
            </w:r>
          </w:p>
        </w:tc>
        <w:tc>
          <w:tcPr>
            <w:tcW w:w="26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718,214</w:t>
            </w:r>
          </w:p>
        </w:tc>
        <w:tc>
          <w:tcPr>
            <w:tcW w:w="26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703,985</w:t>
            </w:r>
          </w:p>
        </w:tc>
        <w:tc>
          <w:tcPr>
            <w:tcW w:w="260" w:type="dxa"/>
            <w:vAlign w:val="bottom"/>
            <w:vMerge w:val="continue"/>
            <w:shd w:val="clear" w:color="auto" w:fill="CCEEFF"/>
          </w:tcPr>
          <w:p>
            <w:pPr>
              <w:spacing w:after="0"/>
              <w:rPr>
                <w:sz w:val="12"/>
                <w:szCs w:val="12"/>
                <w:color w:val="auto"/>
              </w:rPr>
            </w:pPr>
          </w:p>
        </w:tc>
        <w:tc>
          <w:tcPr>
            <w:tcW w:w="10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4.7%</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1,978,785</w:t>
            </w:r>
          </w:p>
        </w:tc>
        <w:tc>
          <w:tcPr>
            <w:tcW w:w="2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2,137,394</w:t>
            </w:r>
          </w:p>
        </w:tc>
        <w:tc>
          <w:tcPr>
            <w:tcW w:w="26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Administrative, general and tax expenses</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487,216</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481,985</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496,163</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2.9%</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1,364,020</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1,409,315</w:t>
            </w:r>
          </w:p>
        </w:tc>
        <w:tc>
          <w:tcPr>
            <w:tcW w:w="26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amortizacion</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105,443</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110,699</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111,966</w:t>
            </w:r>
          </w:p>
        </w:tc>
        <w:tc>
          <w:tcPr>
            <w:tcW w:w="10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6.2%</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304,171</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331,058</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62"/>
        </w:trPr>
        <w:tc>
          <w:tcPr>
            <w:tcW w:w="3100" w:type="dxa"/>
            <w:vAlign w:val="bottom"/>
            <w:gridSpan w:val="2"/>
          </w:tcPr>
          <w:p>
            <w:pPr>
              <w:spacing w:after="0"/>
              <w:rPr>
                <w:sz w:val="20"/>
                <w:szCs w:val="20"/>
                <w:color w:val="auto"/>
              </w:rPr>
            </w:pPr>
            <w:r>
              <w:rPr>
                <w:rFonts w:ascii="Arial" w:cs="Arial" w:eastAsia="Arial" w:hAnsi="Arial"/>
                <w:sz w:val="14"/>
                <w:szCs w:val="14"/>
                <w:color w:val="auto"/>
              </w:rPr>
              <w:t>Other expenses</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84,368</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55,280</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25,688</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-53.5%</w:t>
            </w:r>
          </w:p>
        </w:tc>
        <w:tc>
          <w:tcPr>
            <w:tcW w:w="220" w:type="dxa"/>
            <w:vAlign w:val="bottom"/>
          </w:tcPr>
          <w:p>
            <w:pPr>
              <w:spacing w:after="0"/>
              <w:rPr>
                <w:sz w:val="14"/>
                <w:szCs w:val="14"/>
                <w:color w:val="auto"/>
              </w:rPr>
            </w:pPr>
          </w:p>
        </w:tc>
        <w:tc>
          <w:tcPr>
            <w:tcW w:w="820" w:type="dxa"/>
            <w:vAlign w:val="bottom"/>
            <w:gridSpan w:val="2"/>
          </w:tcPr>
          <w:p>
            <w:pPr>
              <w:jc w:val="right"/>
              <w:ind w:right="68"/>
              <w:spacing w:after="0"/>
              <w:rPr>
                <w:sz w:val="20"/>
                <w:szCs w:val="20"/>
                <w:color w:val="auto"/>
              </w:rPr>
            </w:pPr>
            <w:r>
              <w:rPr>
                <w:rFonts w:ascii="Arial" w:cs="Arial" w:eastAsia="Arial" w:hAnsi="Arial"/>
                <w:sz w:val="14"/>
                <w:szCs w:val="14"/>
                <w:color w:val="auto"/>
              </w:rPr>
              <w:t>-69.6%</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159,569</w:t>
            </w: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122,083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operating expenses</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1,349,566</w:t>
            </w: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1,366,178</w:t>
            </w: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1,337,802</w:t>
            </w: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-0.9</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3,806,544</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3,999,850</w:t>
            </w:r>
          </w:p>
        </w:tc>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5.1</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100" w:type="dxa"/>
            <w:vAlign w:val="bottom"/>
            <w:gridSpan w:val="2"/>
          </w:tcPr>
          <w:p>
            <w:pPr>
              <w:spacing w:after="0" w:line="142" w:lineRule="exact"/>
              <w:rPr>
                <w:sz w:val="20"/>
                <w:szCs w:val="20"/>
                <w:color w:val="auto"/>
              </w:rPr>
            </w:pPr>
            <w:r>
              <w:rPr>
                <w:rFonts w:ascii="Arial" w:cs="Arial" w:eastAsia="Arial" w:hAnsi="Arial"/>
                <w:sz w:val="14"/>
                <w:szCs w:val="14"/>
                <w:color w:val="auto"/>
              </w:rPr>
              <w:t>Operating income</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3,049,031</w:t>
            </w:r>
          </w:p>
        </w:tc>
        <w:tc>
          <w:tcPr>
            <w:tcW w:w="2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3,095,734</w:t>
            </w:r>
          </w:p>
        </w:tc>
        <w:tc>
          <w:tcPr>
            <w:tcW w:w="2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3,147,767</w:t>
            </w:r>
          </w:p>
        </w:tc>
        <w:tc>
          <w:tcPr>
            <w:tcW w:w="260" w:type="dxa"/>
            <w:vAlign w:val="bottom"/>
          </w:tcPr>
          <w:p>
            <w:pPr>
              <w:spacing w:after="0"/>
              <w:rPr>
                <w:sz w:val="12"/>
                <w:szCs w:val="12"/>
                <w:color w:val="auto"/>
              </w:rPr>
            </w:pPr>
          </w:p>
        </w:tc>
        <w:tc>
          <w:tcPr>
            <w:tcW w:w="1020" w:type="dxa"/>
            <w:vAlign w:val="bottom"/>
            <w:gridSpan w:val="2"/>
          </w:tcPr>
          <w:p>
            <w:pPr>
              <w:jc w:val="right"/>
              <w:ind w:right="48"/>
              <w:spacing w:after="0" w:line="142"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3.2%</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8,665,152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9,277,432</w:t>
            </w:r>
          </w:p>
        </w:tc>
        <w:tc>
          <w:tcPr>
            <w:tcW w:w="26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62"/>
        </w:trPr>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1,265,198</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1,310,898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1,312,114</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3,646,975</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3,877,767</w:t>
            </w:r>
          </w:p>
        </w:tc>
        <w:tc>
          <w:tcPr>
            <w:tcW w:w="260" w:type="dxa"/>
            <w:vAlign w:val="bottom"/>
            <w:tcBorders>
              <w:right w:val="single" w:sz="8" w:color="CCEEFF"/>
            </w:tcBorders>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line="202" w:lineRule="exact"/>
              <w:rPr>
                <w:sz w:val="20"/>
                <w:szCs w:val="20"/>
                <w:color w:val="auto"/>
              </w:rPr>
            </w:pPr>
            <w:r>
              <w:rPr>
                <w:rFonts w:ascii="Arial" w:cs="Arial" w:eastAsia="Arial" w:hAnsi="Arial"/>
                <w:sz w:val="14"/>
                <w:szCs w:val="14"/>
                <w:b w:val="1"/>
                <w:bCs w:val="1"/>
                <w:color w:val="auto"/>
              </w:rPr>
              <w:t xml:space="preserve">Reported efficiency ratio </w:t>
            </w:r>
            <w:r>
              <w:rPr>
                <w:rFonts w:ascii="Arial" w:cs="Arial" w:eastAsia="Arial" w:hAnsi="Arial"/>
                <w:sz w:val="23"/>
                <w:szCs w:val="23"/>
                <w:b w:val="1"/>
                <w:bCs w:val="1"/>
                <w:color w:val="auto"/>
                <w:vertAlign w:val="superscript"/>
              </w:rPr>
              <w:t>(1)(2)</w:t>
            </w: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00" w:type="dxa"/>
            <w:vAlign w:val="bottom"/>
            <w:gridSpan w:val="2"/>
            <w:vMerge w:val="continue"/>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41.5%</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42.3%</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41.7%</w:t>
            </w:r>
          </w:p>
        </w:tc>
        <w:tc>
          <w:tcPr>
            <w:tcW w:w="1240" w:type="dxa"/>
            <w:vAlign w:val="bottom"/>
            <w:gridSpan w:val="3"/>
          </w:tcPr>
          <w:p>
            <w:pPr>
              <w:ind w:left="320"/>
              <w:spacing w:after="0"/>
              <w:rPr>
                <w:sz w:val="20"/>
                <w:szCs w:val="20"/>
                <w:color w:val="auto"/>
              </w:rPr>
            </w:pPr>
            <w:r>
              <w:rPr>
                <w:rFonts w:ascii="Arial" w:cs="Arial" w:eastAsia="Arial" w:hAnsi="Arial"/>
                <w:sz w:val="14"/>
                <w:szCs w:val="14"/>
                <w:b w:val="1"/>
                <w:bCs w:val="1"/>
                <w:color w:val="auto"/>
              </w:rPr>
              <w:t>-60 bps</w:t>
            </w:r>
          </w:p>
        </w:tc>
        <w:tc>
          <w:tcPr>
            <w:tcW w:w="8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 bps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42.1%</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41.8%</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-30 bps</w:t>
            </w:r>
          </w:p>
        </w:tc>
        <w:tc>
          <w:tcPr>
            <w:tcW w:w="0" w:type="dxa"/>
            <w:vAlign w:val="bottom"/>
          </w:tcPr>
          <w:p>
            <w:pPr>
              <w:spacing w:after="0"/>
              <w:rPr>
                <w:sz w:val="1"/>
                <w:szCs w:val="1"/>
                <w:color w:val="auto"/>
              </w:rPr>
            </w:pPr>
          </w:p>
        </w:tc>
      </w:tr>
      <w:tr>
        <w:trPr>
          <w:trHeight w:val="20"/>
        </w:trPr>
        <w:tc>
          <w:tcPr>
            <w:tcW w:w="3100" w:type="dxa"/>
            <w:vAlign w:val="bottom"/>
            <w:gridSpan w:val="2"/>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Operating expenses / Total average assets </w:t>
            </w:r>
            <w:r>
              <w:rPr>
                <w:rFonts w:ascii="Arial" w:cs="Arial" w:eastAsia="Arial" w:hAnsi="Arial"/>
                <w:sz w:val="23"/>
                <w:szCs w:val="23"/>
                <w:b w:val="1"/>
                <w:bCs w:val="1"/>
                <w:color w:val="auto"/>
                <w:vertAlign w:val="superscript"/>
              </w:rPr>
              <w:t>(3)</w:t>
            </w: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0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3.5%</w:t>
            </w:r>
          </w:p>
        </w:tc>
        <w:tc>
          <w:tcPr>
            <w:tcW w:w="1240" w:type="dxa"/>
            <w:vAlign w:val="bottom"/>
            <w:gridSpan w:val="3"/>
            <w:shd w:val="clear" w:color="auto" w:fill="CCEEFF"/>
          </w:tcPr>
          <w:p>
            <w:pPr>
              <w:ind w:left="320"/>
              <w:spacing w:after="0"/>
              <w:rPr>
                <w:sz w:val="20"/>
                <w:szCs w:val="20"/>
                <w:color w:val="auto"/>
              </w:rPr>
            </w:pPr>
            <w:r>
              <w:rPr>
                <w:rFonts w:ascii="Arial" w:cs="Arial" w:eastAsia="Arial" w:hAnsi="Arial"/>
                <w:sz w:val="14"/>
                <w:szCs w:val="14"/>
                <w:b w:val="1"/>
                <w:bCs w:val="1"/>
                <w:color w:val="auto"/>
              </w:rPr>
              <w:t>-20 bps</w:t>
            </w:r>
          </w:p>
        </w:tc>
        <w:tc>
          <w:tcPr>
            <w:tcW w:w="82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-40 bps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3.9%</w:t>
            </w:r>
          </w:p>
        </w:tc>
        <w:tc>
          <w:tcPr>
            <w:tcW w:w="100" w:type="dxa"/>
            <w:vAlign w:val="bottom"/>
            <w:shd w:val="clear" w:color="auto" w:fill="CCEEFF"/>
          </w:tcPr>
          <w:p>
            <w:pPr>
              <w:spacing w:after="0"/>
              <w:rPr>
                <w:sz w:val="15"/>
                <w:szCs w:val="15"/>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3.6%</w:t>
            </w: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-30 bps</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420" w:firstLine="8"/>
        <w:spacing w:after="0" w:line="250"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(Operating expenses - Other expenses) / (Net interest income + Fee income + Gain on foreign exchange transactions + Net premiums earned + Gross margin from medical services).</w:t>
      </w: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2Q15 figure differ from previously reported, please consider the data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(Operating expenses - Other expenses) annualized / Average of Total Assets. Averages are calculated with period-beginning and period-ending balances.</w:t>
      </w:r>
    </w:p>
    <w:p>
      <w:pPr>
        <w:spacing w:after="0" w:line="23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Total operating expenses reduced -2.1% QoQ in line with the Efficiency Program implemented at BCP Stand–alone and the several efforts made in other subsidiaries to achieve efficient growth. Moreover, the increase in operating income</w:t>
      </w:r>
      <w:r>
        <w:rPr>
          <w:rFonts w:ascii="Arial" w:cs="Arial" w:eastAsia="Arial" w:hAnsi="Arial"/>
          <w:sz w:val="30"/>
          <w:szCs w:val="30"/>
          <w:color w:val="auto"/>
          <w:vertAlign w:val="superscript"/>
        </w:rPr>
        <w:t>13</w:t>
      </w:r>
      <w:r>
        <w:rPr>
          <w:rFonts w:ascii="Arial" w:cs="Arial" w:eastAsia="Arial" w:hAnsi="Arial"/>
          <w:sz w:val="18"/>
          <w:szCs w:val="18"/>
          <w:color w:val="auto"/>
        </w:rPr>
        <w:t xml:space="preserve"> (+1.7 QoQ) was higher in comparison to the slight increase in operating expenses</w:t>
      </w:r>
      <w:r>
        <w:rPr>
          <w:rFonts w:ascii="Arial" w:cs="Arial" w:eastAsia="Arial" w:hAnsi="Arial"/>
          <w:sz w:val="30"/>
          <w:szCs w:val="30"/>
          <w:color w:val="auto"/>
          <w:vertAlign w:val="superscript"/>
        </w:rPr>
        <w:t>14</w:t>
      </w:r>
      <w:r>
        <w:rPr>
          <w:rFonts w:ascii="Arial" w:cs="Arial" w:eastAsia="Arial" w:hAnsi="Arial"/>
          <w:sz w:val="18"/>
          <w:szCs w:val="18"/>
          <w:color w:val="auto"/>
        </w:rPr>
        <w:t xml:space="preserve"> (+0.1% QoQ).</w:t>
      </w:r>
    </w:p>
    <w:p>
      <w:pPr>
        <w:spacing w:after="0" w:line="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The quarterly reduction in the efficiency ratio (-60 bps) is mainly explained by the lower expenses in </w:t>
      </w:r>
      <w:r>
        <w:rPr>
          <w:rFonts w:ascii="Arial" w:cs="Arial" w:eastAsia="Arial" w:hAnsi="Arial"/>
          <w:sz w:val="17"/>
          <w:szCs w:val="17"/>
          <w:b w:val="1"/>
          <w:bCs w:val="1"/>
          <w:color w:val="auto"/>
        </w:rPr>
        <w:t>Salaries and employee benefits</w:t>
      </w:r>
      <w:r>
        <w:rPr>
          <w:rFonts w:ascii="Arial" w:cs="Arial" w:eastAsia="Arial" w:hAnsi="Arial"/>
          <w:sz w:val="17"/>
          <w:szCs w:val="17"/>
          <w:color w:val="auto"/>
        </w:rPr>
        <w:t xml:space="preserve"> (-2.0% QoQ), which is explained by lower variable compensation paid to employees during the quarter, mainly through Credicorp Capital. Despite this reduction, the number of employees at Credicorp increased QoQ: 33,426 employees at the end of 3T15 vs. 32,828 employees at the end of 2T15.</w:t>
      </w:r>
    </w:p>
    <w:p>
      <w:pPr>
        <w:spacing w:after="0" w:line="15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Administrative, general and tax expenses </w:t>
      </w:r>
      <w:r>
        <w:rPr>
          <w:rFonts w:ascii="Arial" w:cs="Arial" w:eastAsia="Arial" w:hAnsi="Arial"/>
          <w:sz w:val="18"/>
          <w:szCs w:val="18"/>
          <w:color w:val="auto"/>
        </w:rPr>
        <w:t>grew +2.9% QoQ, which was mainly due to higher expenses in Marketing, IT outsourcing, rent, programs and</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as we will explain below.</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analysis of Total operating expenses YoY, shows a slight reduction of -0.9%, in line with the efforts to improve operational efficiency through the efficiency project that started in the third quarter of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1" w:lineRule="exact"/>
        <w:rPr>
          <w:sz w:val="20"/>
          <w:szCs w:val="20"/>
          <w:color w:val="auto"/>
        </w:rPr>
      </w:pPr>
    </w:p>
    <w:p>
      <w:pPr>
        <w:ind w:left="200" w:hanging="192"/>
        <w:spacing w:after="0"/>
        <w:tabs>
          <w:tab w:leader="none" w:pos="200" w:val="left"/>
        </w:tabs>
        <w:numPr>
          <w:ilvl w:val="0"/>
          <w:numId w:val="49"/>
        </w:numPr>
        <w:rPr>
          <w:rFonts w:ascii="Arial" w:cs="Arial" w:eastAsia="Arial" w:hAnsi="Arial"/>
          <w:sz w:val="25"/>
          <w:szCs w:val="25"/>
          <w:color w:val="auto"/>
          <w:vertAlign w:val="superscript"/>
        </w:rPr>
      </w:pPr>
      <w:r>
        <w:rPr>
          <w:rFonts w:ascii="Arial" w:cs="Arial" w:eastAsia="Arial" w:hAnsi="Arial"/>
          <w:sz w:val="16"/>
          <w:szCs w:val="16"/>
          <w:color w:val="auto"/>
        </w:rPr>
        <w:t>The efficiency ratio is calculated using the following formula:</w:t>
      </w:r>
    </w:p>
    <w:p>
      <w:pPr>
        <w:spacing w:after="0" w:line="200" w:lineRule="exact"/>
        <w:rPr>
          <w:rFonts w:ascii="Arial" w:cs="Arial" w:eastAsia="Arial" w:hAnsi="Arial"/>
          <w:sz w:val="25"/>
          <w:szCs w:val="25"/>
          <w:color w:val="auto"/>
          <w:vertAlign w:val="superscript"/>
        </w:rPr>
      </w:pPr>
    </w:p>
    <w:p>
      <w:pPr>
        <w:spacing w:after="0" w:line="200" w:lineRule="exact"/>
        <w:rPr>
          <w:rFonts w:ascii="Arial" w:cs="Arial" w:eastAsia="Arial" w:hAnsi="Arial"/>
          <w:sz w:val="25"/>
          <w:szCs w:val="25"/>
          <w:color w:val="auto"/>
          <w:vertAlign w:val="superscript"/>
        </w:rPr>
      </w:pPr>
    </w:p>
    <w:p>
      <w:pPr>
        <w:spacing w:after="0" w:line="244" w:lineRule="exact"/>
        <w:rPr>
          <w:rFonts w:ascii="Arial" w:cs="Arial" w:eastAsia="Arial" w:hAnsi="Arial"/>
          <w:sz w:val="25"/>
          <w:szCs w:val="25"/>
          <w:color w:val="auto"/>
          <w:vertAlign w:val="superscript"/>
        </w:rPr>
      </w:pPr>
    </w:p>
    <w:p>
      <w:pPr>
        <w:ind w:left="200" w:hanging="192"/>
        <w:spacing w:after="0"/>
        <w:tabs>
          <w:tab w:leader="none" w:pos="200" w:val="left"/>
        </w:tabs>
        <w:numPr>
          <w:ilvl w:val="0"/>
          <w:numId w:val="49"/>
        </w:numPr>
        <w:rPr>
          <w:rFonts w:ascii="Arial" w:cs="Arial" w:eastAsia="Arial" w:hAnsi="Arial"/>
          <w:sz w:val="25"/>
          <w:szCs w:val="25"/>
          <w:color w:val="auto"/>
          <w:vertAlign w:val="superscript"/>
        </w:rPr>
      </w:pPr>
      <w:r>
        <w:rPr>
          <w:rFonts w:ascii="Arial" w:cs="Arial" w:eastAsia="Arial" w:hAnsi="Arial"/>
          <w:sz w:val="16"/>
          <w:szCs w:val="16"/>
          <w:color w:val="auto"/>
        </w:rPr>
        <w:t>Includes the following accounts: Net interest income, Fee Income, Net gain on foreign exchange transactions and Net earned premiums.</w:t>
      </w:r>
    </w:p>
    <w:p>
      <w:pPr>
        <w:spacing w:after="0" w:line="42" w:lineRule="exact"/>
        <w:rPr>
          <w:rFonts w:ascii="Arial" w:cs="Arial" w:eastAsia="Arial" w:hAnsi="Arial"/>
          <w:sz w:val="25"/>
          <w:szCs w:val="25"/>
          <w:color w:val="auto"/>
          <w:vertAlign w:val="superscript"/>
        </w:rPr>
      </w:pPr>
    </w:p>
    <w:p>
      <w:pPr>
        <w:ind w:left="200" w:hanging="192"/>
        <w:spacing w:after="0" w:line="186" w:lineRule="auto"/>
        <w:tabs>
          <w:tab w:leader="none" w:pos="200" w:val="left"/>
        </w:tabs>
        <w:numPr>
          <w:ilvl w:val="0"/>
          <w:numId w:val="49"/>
        </w:numPr>
        <w:rPr>
          <w:rFonts w:ascii="Arial" w:cs="Arial" w:eastAsia="Arial" w:hAnsi="Arial"/>
          <w:sz w:val="24"/>
          <w:szCs w:val="24"/>
          <w:color w:val="auto"/>
          <w:vertAlign w:val="superscript"/>
        </w:rPr>
      </w:pPr>
      <w:r>
        <w:rPr>
          <w:rFonts w:ascii="Arial" w:cs="Arial" w:eastAsia="Arial" w:hAnsi="Arial"/>
          <w:sz w:val="15"/>
          <w:szCs w:val="15"/>
          <w:color w:val="auto"/>
        </w:rPr>
        <w:t>Includes the following accounts: Salaries and employees benefits, Administrative, general and tax expenses and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247015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70150" cy="154305"/>
                    </a:xfrm>
                    <a:prstGeom prst="rect">
                      <a:avLst/>
                    </a:prstGeom>
                    <a:noFill/>
                  </pic:spPr>
                </pic:pic>
              </a:graphicData>
            </a:graphic>
          </wp:anchor>
        </w:drawing>
      </w:r>
    </w:p>
    <w:p>
      <w:pPr>
        <w:spacing w:after="0" w:line="391"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 xml:space="preserve">The following table contains information on </w:t>
      </w:r>
      <w:r>
        <w:rPr>
          <w:rFonts w:ascii="Arial" w:cs="Arial" w:eastAsia="Arial" w:hAnsi="Arial"/>
          <w:sz w:val="18"/>
          <w:szCs w:val="18"/>
          <w:b w:val="1"/>
          <w:bCs w:val="1"/>
          <w:color w:val="auto"/>
        </w:rPr>
        <w:t>Administrative and general expenses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w w:val="97"/>
              </w:rPr>
              <w:t>Administrative and general expenses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3"/>
          </w:tcPr>
          <w:p>
            <w:pPr>
              <w:ind w:left="560"/>
              <w:spacing w:after="0"/>
              <w:rPr>
                <w:sz w:val="20"/>
                <w:szCs w:val="20"/>
                <w:color w:val="auto"/>
              </w:rPr>
            </w:pPr>
            <w:r>
              <w:rPr>
                <w:rFonts w:ascii="Arial" w:cs="Arial" w:eastAsia="Arial" w:hAnsi="Arial"/>
                <w:sz w:val="18"/>
                <w:szCs w:val="18"/>
                <w:b w:val="1"/>
                <w:bCs w:val="1"/>
                <w:color w:val="auto"/>
                <w:w w:val="98"/>
              </w:rPr>
              <w:t>Quarter</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ind w:left="600"/>
              <w:spacing w:after="0"/>
              <w:rPr>
                <w:sz w:val="20"/>
                <w:szCs w:val="20"/>
                <w:color w:val="auto"/>
              </w:rPr>
            </w:pPr>
            <w:r>
              <w:rPr>
                <w:rFonts w:ascii="Arial" w:cs="Arial" w:eastAsia="Arial" w:hAnsi="Arial"/>
                <w:sz w:val="18"/>
                <w:szCs w:val="18"/>
                <w:b w:val="1"/>
                <w:bCs w:val="1"/>
                <w:color w:val="auto"/>
                <w:w w:val="90"/>
              </w:rPr>
              <w:t>Change</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71"/>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8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3Q14</w:t>
            </w:r>
          </w:p>
        </w:tc>
        <w:tc>
          <w:tcPr>
            <w:tcW w:w="22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jc w:val="right"/>
              <w:spacing w:after="0" w:line="271" w:lineRule="exact"/>
              <w:rPr>
                <w:sz w:val="20"/>
                <w:szCs w:val="20"/>
                <w:color w:val="auto"/>
              </w:rPr>
            </w:pPr>
            <w:r>
              <w:rPr>
                <w:rFonts w:ascii="Arial" w:cs="Arial" w:eastAsia="Arial" w:hAnsi="Arial"/>
                <w:sz w:val="18"/>
                <w:szCs w:val="18"/>
                <w:b w:val="1"/>
                <w:bCs w:val="1"/>
                <w:color w:val="auto"/>
                <w:w w:val="92"/>
              </w:rPr>
              <w:t xml:space="preserve">2Q15 </w:t>
            </w:r>
            <w:r>
              <w:rPr>
                <w:rFonts w:ascii="Arial" w:cs="Arial" w:eastAsia="Arial" w:hAnsi="Arial"/>
                <w:sz w:val="30"/>
                <w:szCs w:val="30"/>
                <w:b w:val="1"/>
                <w:bCs w:val="1"/>
                <w:color w:val="auto"/>
                <w:w w:val="92"/>
                <w:vertAlign w:val="superscript"/>
              </w:rPr>
              <w:t>(1)</w:t>
            </w:r>
          </w:p>
        </w:tc>
        <w:tc>
          <w:tcPr>
            <w:tcW w:w="2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3Q15</w:t>
            </w:r>
          </w:p>
        </w:tc>
        <w:tc>
          <w:tcPr>
            <w:tcW w:w="2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23"/>
                <w:szCs w:val="23"/>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Taxes and contributions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50,758</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56,091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50,846</w:t>
            </w:r>
          </w:p>
        </w:tc>
        <w:tc>
          <w:tcPr>
            <w:tcW w:w="4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Insfrastructure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54,621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60,097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57,480</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Minor expenses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68,119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66,880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60,788</w:t>
            </w:r>
          </w:p>
        </w:tc>
        <w:tc>
          <w:tcPr>
            <w:tcW w:w="4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Systems outsourcing</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47,113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48,850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55,767</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Programs and systems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49,841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49,357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54,528</w:t>
            </w:r>
          </w:p>
        </w:tc>
        <w:tc>
          <w:tcPr>
            <w:tcW w:w="4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26,520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26,699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30,012</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Rent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41,481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40,624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47,327</w:t>
            </w:r>
          </w:p>
        </w:tc>
        <w:tc>
          <w:tcPr>
            <w:tcW w:w="4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30,022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26,058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21,217</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Channels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45,275</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43,796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43,493</w:t>
            </w:r>
          </w:p>
        </w:tc>
        <w:tc>
          <w:tcPr>
            <w:tcW w:w="4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31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Others</w:t>
            </w:r>
            <w:r>
              <w:rPr>
                <w:rFonts w:ascii="Arial" w:cs="Arial" w:eastAsia="Arial" w:hAnsi="Arial"/>
                <w:sz w:val="30"/>
                <w:szCs w:val="30"/>
                <w:color w:val="auto"/>
                <w:vertAlign w:val="superscript"/>
              </w:rPr>
              <w:t>(2)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3,892</w:t>
            </w:r>
          </w:p>
        </w:tc>
        <w:tc>
          <w:tcPr>
            <w:tcW w:w="4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178"/>
        </w:trPr>
        <w:tc>
          <w:tcPr>
            <w:tcW w:w="312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Total administrative and general</w:t>
            </w: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48"/>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487,216</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760" w:type="dxa"/>
            <w:vAlign w:val="bottom"/>
          </w:tcPr>
          <w:p>
            <w:pPr>
              <w:jc w:val="right"/>
              <w:spacing w:after="0"/>
              <w:rPr>
                <w:sz w:val="20"/>
                <w:szCs w:val="20"/>
                <w:color w:val="auto"/>
              </w:rPr>
            </w:pPr>
            <w:r>
              <w:rPr>
                <w:rFonts w:ascii="Arial" w:cs="Arial" w:eastAsia="Arial" w:hAnsi="Arial"/>
                <w:sz w:val="18"/>
                <w:szCs w:val="18"/>
                <w:color w:val="auto"/>
              </w:rPr>
              <w:t>481,985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496,163</w:t>
            </w:r>
          </w:p>
        </w:tc>
        <w:tc>
          <w:tcPr>
            <w:tcW w:w="480" w:type="dxa"/>
            <w:vAlign w:val="bottom"/>
          </w:tcPr>
          <w:p>
            <w:pPr>
              <w:spacing w:after="0"/>
              <w:rPr>
                <w:sz w:val="21"/>
                <w:szCs w:val="2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w:t>
            </w:r>
          </w:p>
        </w:tc>
      </w:tr>
    </w:tbl>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2" w:lineRule="exact"/>
        <w:rPr>
          <w:rFonts w:ascii="Arial" w:cs="Arial" w:eastAsia="Arial" w:hAnsi="Arial"/>
          <w:sz w:val="18"/>
          <w:szCs w:val="18"/>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Others include ASB, BCP Bolivia, Grupo Crédito and eliminations for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-276860</wp:posOffset>
            </wp:positionV>
            <wp:extent cx="49396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If we analyze the administrative and general expenses by expenditure type, it is important to note that the QoQ variation was due to:</w:t>
      </w:r>
    </w:p>
    <w:p>
      <w:pPr>
        <w:spacing w:after="0" w:line="23" w:lineRule="exact"/>
        <w:rPr>
          <w:sz w:val="20"/>
          <w:szCs w:val="20"/>
          <w:color w:val="auto"/>
        </w:rPr>
      </w:pPr>
    </w:p>
    <w:p>
      <w:pPr>
        <w:ind w:left="660" w:right="20" w:hanging="328"/>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increase in the Marketing expenses (24.6% QoQ), which was associated to year-end campaigns (</w:t>
      </w:r>
      <w:r>
        <w:rPr>
          <w:rFonts w:ascii="Arial" w:cs="Arial" w:eastAsia="Arial" w:hAnsi="Arial"/>
          <w:sz w:val="18"/>
          <w:szCs w:val="18"/>
          <w:i w:val="1"/>
          <w:iCs w:val="1"/>
          <w:color w:val="auto"/>
        </w:rPr>
        <w:t>Cuenta sueldo, Cuenta premio y Lanpass</w:t>
      </w:r>
      <w:r>
        <w:rPr>
          <w:rFonts w:ascii="Arial" w:cs="Arial" w:eastAsia="Arial" w:hAnsi="Arial"/>
          <w:sz w:val="18"/>
          <w:szCs w:val="18"/>
          <w:color w:val="auto"/>
        </w:rPr>
        <w:t>) and advertising, focused on the second half of the year, which is the most dynamic period of the year.</w:t>
      </w:r>
    </w:p>
    <w:p>
      <w:pPr>
        <w:jc w:val="both"/>
        <w:ind w:left="660" w:hanging="328"/>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this quarter IT outsourcing expenses increased + 14.2% QoQ mainly due to maintenance of infrastructure, information technology and outsourced applications. It is important to note that these expenses have increased QoQ and YoY due to the benefits that offer the outsourcing, which allows us to improve our operational efficiency.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Rent expanded 16.5% QoQ, explained through BCP Stand-alone, due to the higher rental prices QoQ.</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increase in Programming and systems (+ 10.5% QoQ), mainly due to the renewal of licenses held by the various IT services and programs that support our business platform.</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latter was mitigated by i) lower taxes and contributions (-9.4% QoQ) associated with higher expenses at BCP Bolivia in 2Q15, as a result of the adjustment of income tax in 2014; ii) lower expenses for Consulting -18.6% QoQ, as a result of a higher expense registered in the previous quarter, specifically for consulting to Retail Banking; and iii) a reduction of minor expenses (-9.1% QoQ) due to lower commissions paid to third parties.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expense/asset ratio</w:t>
      </w:r>
      <w:r>
        <w:rPr>
          <w:rFonts w:ascii="Arial" w:cs="Arial" w:eastAsia="Arial" w:hAnsi="Arial"/>
          <w:sz w:val="18"/>
          <w:szCs w:val="18"/>
          <w:color w:val="auto"/>
        </w:rPr>
        <w:t xml:space="preserve"> improved QoQ (-20 bps) and YoY (40 pbs) in line with i) the lower operating expenses, ii) the increase of total assets (+ 6.7% QoQ) and the dynamism of loans in this quarter. Also, in accumulated terms this ratio reflected a reduction of -30 bps.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contains a breakdown of the </w:t>
      </w:r>
      <w:r>
        <w:rPr>
          <w:rFonts w:ascii="Arial" w:cs="Arial" w:eastAsia="Arial" w:hAnsi="Arial"/>
          <w:sz w:val="18"/>
          <w:szCs w:val="18"/>
          <w:b w:val="1"/>
          <w:bCs w:val="1"/>
          <w:color w:val="auto"/>
        </w:rPr>
        <w:t>efficiency ratio reported</w:t>
      </w:r>
      <w:r>
        <w:rPr>
          <w:rFonts w:ascii="Arial" w:cs="Arial" w:eastAsia="Arial" w:hAnsi="Arial"/>
          <w:sz w:val="18"/>
          <w:szCs w:val="18"/>
          <w:color w:val="auto"/>
        </w:rPr>
        <w:t xml:space="preserve"> (expense/income) by subsidiary: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3"/>
              </w:rPr>
              <w:t>BCP Stand-alone</w:t>
            </w:r>
          </w:p>
        </w:tc>
        <w:tc>
          <w:tcPr>
            <w:tcW w:w="240" w:type="dxa"/>
            <w:vAlign w:val="bottom"/>
          </w:tcPr>
          <w:p>
            <w:pPr>
              <w:spacing w:after="0"/>
              <w:rPr>
                <w:sz w:val="14"/>
                <w:szCs w:val="14"/>
                <w:color w:val="auto"/>
              </w:rPr>
            </w:pPr>
          </w:p>
        </w:tc>
        <w:tc>
          <w:tcPr>
            <w:tcW w:w="1000" w:type="dxa"/>
            <w:vAlign w:val="bottom"/>
          </w:tcPr>
          <w:p>
            <w:pPr>
              <w:ind w:left="240"/>
              <w:spacing w:after="0"/>
              <w:rPr>
                <w:sz w:val="20"/>
                <w:szCs w:val="20"/>
                <w:color w:val="auto"/>
              </w:rPr>
            </w:pPr>
            <w:r>
              <w:rPr>
                <w:rFonts w:ascii="Arial" w:cs="Arial" w:eastAsia="Arial" w:hAnsi="Arial"/>
                <w:sz w:val="14"/>
                <w:szCs w:val="14"/>
                <w:b w:val="1"/>
                <w:bCs w:val="1"/>
                <w:color w:val="auto"/>
              </w:rPr>
              <w:t>Mibanco</w:t>
            </w:r>
          </w:p>
        </w:tc>
        <w:tc>
          <w:tcPr>
            <w:tcW w:w="24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b w:val="1"/>
                <w:bCs w:val="1"/>
                <w:color w:val="auto"/>
              </w:rPr>
              <w:t>BCP Bolivia</w:t>
            </w:r>
          </w:p>
        </w:tc>
        <w:tc>
          <w:tcPr>
            <w:tcW w:w="22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Arial" w:cs="Arial" w:eastAsia="Arial" w:hAnsi="Arial"/>
                <w:sz w:val="14"/>
                <w:szCs w:val="14"/>
                <w:b w:val="1"/>
                <w:bCs w:val="1"/>
                <w:color w:val="auto"/>
              </w:rPr>
              <w:t>ASB</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6"/>
              </w:rPr>
              <w:t>Grupo Pacífico</w:t>
            </w:r>
          </w:p>
        </w:tc>
        <w:tc>
          <w:tcPr>
            <w:tcW w:w="220" w:type="dxa"/>
            <w:vAlign w:val="bottom"/>
          </w:tcPr>
          <w:p>
            <w:pPr>
              <w:spacing w:after="0"/>
              <w:rPr>
                <w:sz w:val="14"/>
                <w:szCs w:val="14"/>
                <w:color w:val="auto"/>
              </w:rPr>
            </w:pPr>
          </w:p>
        </w:tc>
        <w:tc>
          <w:tcPr>
            <w:tcW w:w="1020" w:type="dxa"/>
            <w:vAlign w:val="bottom"/>
          </w:tcPr>
          <w:p>
            <w:pPr>
              <w:jc w:val="right"/>
              <w:ind w:right="248"/>
              <w:spacing w:after="0"/>
              <w:rPr>
                <w:sz w:val="20"/>
                <w:szCs w:val="20"/>
                <w:color w:val="auto"/>
              </w:rPr>
            </w:pPr>
            <w:r>
              <w:rPr>
                <w:rFonts w:ascii="Arial" w:cs="Arial" w:eastAsia="Arial" w:hAnsi="Arial"/>
                <w:sz w:val="14"/>
                <w:szCs w:val="14"/>
                <w:b w:val="1"/>
                <w:bCs w:val="1"/>
                <w:color w:val="auto"/>
              </w:rPr>
              <w:t>Prima</w:t>
            </w:r>
          </w:p>
        </w:tc>
        <w:tc>
          <w:tcPr>
            <w:tcW w:w="2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Credicorp Capital</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Credicorp</w:t>
            </w:r>
          </w:p>
        </w:tc>
        <w:tc>
          <w:tcPr>
            <w:tcW w:w="0" w:type="dxa"/>
            <w:vAlign w:val="bottom"/>
          </w:tcPr>
          <w:p>
            <w:pPr>
              <w:spacing w:after="0"/>
              <w:rPr>
                <w:sz w:val="1"/>
                <w:szCs w:val="1"/>
                <w:color w:val="auto"/>
              </w:rPr>
            </w:pPr>
          </w:p>
        </w:tc>
      </w:tr>
      <w:tr>
        <w:trPr>
          <w:trHeight w:val="20"/>
        </w:trPr>
        <w:tc>
          <w:tcPr>
            <w:tcW w:w="1380" w:type="dxa"/>
            <w:vAlign w:val="bottom"/>
            <w:vMerge w:val="restart"/>
            <w:shd w:val="clear" w:color="auto" w:fill="CCEEFF"/>
          </w:tcPr>
          <w:p>
            <w:pPr>
              <w:jc w:val="center"/>
              <w:ind w:right="28"/>
              <w:spacing w:after="0"/>
              <w:rPr>
                <w:sz w:val="20"/>
                <w:szCs w:val="20"/>
                <w:color w:val="auto"/>
              </w:rPr>
            </w:pPr>
            <w:r>
              <w:rPr>
                <w:rFonts w:ascii="Arial" w:cs="Arial" w:eastAsia="Arial" w:hAnsi="Arial"/>
                <w:sz w:val="14"/>
                <w:szCs w:val="14"/>
                <w:b w:val="1"/>
                <w:bCs w:val="1"/>
                <w:color w:val="auto"/>
                <w:w w:val="93"/>
              </w:rPr>
              <w:t>3Q14</w:t>
            </w: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80" w:type="dxa"/>
            <w:vAlign w:val="bottom"/>
            <w:vMerge w:val="continue"/>
            <w:shd w:val="clear" w:color="auto" w:fill="CCEEFF"/>
          </w:tcPr>
          <w:p>
            <w:pPr>
              <w:spacing w:after="0"/>
              <w:rPr>
                <w:sz w:val="12"/>
                <w:szCs w:val="12"/>
                <w:color w:val="auto"/>
              </w:rPr>
            </w:pPr>
          </w:p>
        </w:tc>
        <w:tc>
          <w:tcPr>
            <w:tcW w:w="13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42.2%</w:t>
            </w:r>
          </w:p>
        </w:tc>
        <w:tc>
          <w:tcPr>
            <w:tcW w:w="12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56.3%</w:t>
            </w:r>
          </w:p>
        </w:tc>
        <w:tc>
          <w:tcPr>
            <w:tcW w:w="12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59.8%</w:t>
            </w:r>
          </w:p>
        </w:tc>
        <w:tc>
          <w:tcPr>
            <w:tcW w:w="12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24.1%</w:t>
            </w:r>
          </w:p>
        </w:tc>
        <w:tc>
          <w:tcPr>
            <w:tcW w:w="12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20.8%</w:t>
            </w:r>
          </w:p>
        </w:tc>
        <w:tc>
          <w:tcPr>
            <w:tcW w:w="12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42.2%</w:t>
            </w:r>
          </w:p>
        </w:tc>
        <w:tc>
          <w:tcPr>
            <w:tcW w:w="13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105.5%</w:t>
            </w:r>
          </w:p>
        </w:tc>
        <w:tc>
          <w:tcPr>
            <w:tcW w:w="1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49"/>
        </w:trPr>
        <w:tc>
          <w:tcPr>
            <w:tcW w:w="13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2Q15 (1)</w:t>
            </w:r>
          </w:p>
        </w:tc>
        <w:tc>
          <w:tcPr>
            <w:tcW w:w="1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41.8%</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56.0%</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74.3%</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22.4%</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17.6%</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44.0%</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114.5%</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3Q15</w:t>
            </w:r>
          </w:p>
        </w:tc>
        <w:tc>
          <w:tcPr>
            <w:tcW w:w="13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40.7%</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54.0%</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63.9%</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25.7%</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17.1%</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41.6%</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94.1%</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62"/>
        </w:trPr>
        <w:tc>
          <w:tcPr>
            <w:tcW w:w="1380" w:type="dxa"/>
            <w:vAlign w:val="bottom"/>
          </w:tcPr>
          <w:p>
            <w:pPr>
              <w:ind w:left="360"/>
              <w:spacing w:after="0"/>
              <w:rPr>
                <w:sz w:val="20"/>
                <w:szCs w:val="20"/>
                <w:color w:val="auto"/>
              </w:rPr>
            </w:pPr>
            <w:r>
              <w:rPr>
                <w:rFonts w:ascii="Arial" w:cs="Arial" w:eastAsia="Arial" w:hAnsi="Arial"/>
                <w:sz w:val="14"/>
                <w:szCs w:val="14"/>
                <w:b w:val="1"/>
                <w:bCs w:val="1"/>
                <w:color w:val="auto"/>
              </w:rPr>
              <w:t>Var. YoY</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-150 bps</w:t>
            </w:r>
          </w:p>
        </w:tc>
        <w:tc>
          <w:tcPr>
            <w:tcW w:w="1240" w:type="dxa"/>
            <w:vAlign w:val="bottom"/>
            <w:gridSpan w:val="2"/>
          </w:tcPr>
          <w:p>
            <w:pPr>
              <w:ind w:left="500"/>
              <w:spacing w:after="0"/>
              <w:rPr>
                <w:sz w:val="20"/>
                <w:szCs w:val="20"/>
                <w:color w:val="auto"/>
              </w:rPr>
            </w:pPr>
            <w:r>
              <w:rPr>
                <w:rFonts w:ascii="Arial" w:cs="Arial" w:eastAsia="Arial" w:hAnsi="Arial"/>
                <w:sz w:val="14"/>
                <w:szCs w:val="14"/>
                <w:b w:val="1"/>
                <w:bCs w:val="1"/>
                <w:color w:val="auto"/>
              </w:rPr>
              <w:t>-230 bps</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+410 bps</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+160 bps</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-360 bps</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-70 bps</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-1,140 bps</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 bps</w:t>
            </w:r>
          </w:p>
        </w:tc>
        <w:tc>
          <w:tcPr>
            <w:tcW w:w="0" w:type="dxa"/>
            <w:vAlign w:val="bottom"/>
          </w:tcPr>
          <w:p>
            <w:pPr>
              <w:spacing w:after="0"/>
              <w:rPr>
                <w:sz w:val="1"/>
                <w:szCs w:val="1"/>
                <w:color w:val="auto"/>
              </w:rPr>
            </w:pPr>
          </w:p>
        </w:tc>
      </w:tr>
      <w:tr>
        <w:trPr>
          <w:trHeight w:val="142"/>
        </w:trPr>
        <w:tc>
          <w:tcPr>
            <w:tcW w:w="1380" w:type="dxa"/>
            <w:vAlign w:val="bottom"/>
            <w:tcBorders>
              <w:top w:val="single" w:sz="8" w:color="CCEEFF"/>
            </w:tcBorders>
            <w:shd w:val="clear" w:color="auto" w:fill="CCEEFF"/>
          </w:tcPr>
          <w:p>
            <w:pPr>
              <w:ind w:left="340"/>
              <w:spacing w:after="0" w:line="142" w:lineRule="exact"/>
              <w:rPr>
                <w:sz w:val="20"/>
                <w:szCs w:val="20"/>
                <w:color w:val="auto"/>
              </w:rPr>
            </w:pPr>
            <w:r>
              <w:rPr>
                <w:rFonts w:ascii="Arial" w:cs="Arial" w:eastAsia="Arial" w:hAnsi="Arial"/>
                <w:sz w:val="14"/>
                <w:szCs w:val="14"/>
                <w:b w:val="1"/>
                <w:bCs w:val="1"/>
                <w:color w:val="auto"/>
              </w:rPr>
              <w:t>Var. QoQ</w:t>
            </w: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-110 bps</w:t>
            </w:r>
          </w:p>
        </w:tc>
        <w:tc>
          <w:tcPr>
            <w:tcW w:w="2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ind w:left="500"/>
              <w:spacing w:after="0" w:line="142" w:lineRule="exact"/>
              <w:rPr>
                <w:sz w:val="20"/>
                <w:szCs w:val="20"/>
                <w:color w:val="auto"/>
              </w:rPr>
            </w:pPr>
            <w:r>
              <w:rPr>
                <w:rFonts w:ascii="Arial" w:cs="Arial" w:eastAsia="Arial" w:hAnsi="Arial"/>
                <w:sz w:val="14"/>
                <w:szCs w:val="14"/>
                <w:b w:val="1"/>
                <w:bCs w:val="1"/>
                <w:color w:val="auto"/>
                <w:w w:val="84"/>
              </w:rPr>
              <w:t>-200 bps</w:t>
            </w:r>
          </w:p>
        </w:tc>
        <w:tc>
          <w:tcPr>
            <w:tcW w:w="2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-1040 bps</w:t>
            </w: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+330 bps</w:t>
            </w: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-50 bps</w:t>
            </w: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-240 bps</w:t>
            </w:r>
          </w:p>
        </w:tc>
        <w:tc>
          <w:tcPr>
            <w:tcW w:w="2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-2,050 bps</w:t>
            </w: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-60 bps</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(1) 2Q15 figure of Credicorp differ from previously reported, please consider the data presented on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efficiency ratio was situated at 41.7% at the end of 3Q15, which was -60 bps lower than the 42.3% reported in 2Q15. This evolution was due to:</w:t>
      </w:r>
    </w:p>
    <w:p>
      <w:pPr>
        <w:spacing w:after="0" w:line="200" w:lineRule="exact"/>
        <w:rPr>
          <w:sz w:val="20"/>
          <w:szCs w:val="20"/>
          <w:color w:val="auto"/>
        </w:rPr>
      </w:pPr>
    </w:p>
    <w:p>
      <w:pPr>
        <w:spacing w:after="0" w:line="246"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both"/>
        <w:ind w:left="620" w:hanging="369"/>
        <w:spacing w:after="0" w:line="312" w:lineRule="auto"/>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-110 bps reduction QoQ in the efficiency ratio at BCP stand-alone, attributable to higher operating income, which is in line with the increase of net interest income. YoY the efficiency ratio decrease -150 bps as a result primarily to the implementation of the Efficiency Program at BCP. It is important to note, BCP stand-alone accounts for more than 62% of the income and expenses considered in the calculation of the efficiency ratio.</w:t>
      </w:r>
    </w:p>
    <w:p>
      <w:pPr>
        <w:spacing w:after="0" w:line="146" w:lineRule="exact"/>
        <w:rPr>
          <w:rFonts w:ascii="Arial" w:cs="Arial" w:eastAsia="Arial" w:hAnsi="Arial"/>
          <w:sz w:val="16"/>
          <w:szCs w:val="16"/>
          <w:color w:val="auto"/>
        </w:rPr>
      </w:pPr>
    </w:p>
    <w:p>
      <w:pPr>
        <w:ind w:left="620" w:hanging="369"/>
        <w:spacing w:after="0" w:line="277" w:lineRule="auto"/>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Also, Mibanco record a reduction QoQ in its efficiency ratio of -200 bps associated with the major one-off expenses related to the integration of Edyficar and Mibanco.</w:t>
      </w:r>
    </w:p>
    <w:p>
      <w:pPr>
        <w:spacing w:after="0" w:line="170" w:lineRule="exact"/>
        <w:rPr>
          <w:rFonts w:ascii="Arial" w:cs="Arial" w:eastAsia="Arial" w:hAnsi="Arial"/>
          <w:sz w:val="18"/>
          <w:szCs w:val="18"/>
          <w:color w:val="auto"/>
        </w:rPr>
      </w:pPr>
    </w:p>
    <w:p>
      <w:pPr>
        <w:ind w:left="620" w:right="20" w:hanging="369"/>
        <w:spacing w:after="0" w:line="277" w:lineRule="auto"/>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 is important to note that Credicorp Capital (-2050 bps QoQ), BCP Bolivia (-1040 bps QoQ), Prima AFP (-240 bps) and Pacifico (-60 bps QoQ), recorded an improvement in its ratios, due to several efforts made in those subsidiaries to improve operational efficiency.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YoY evolution, the efficiency ratio increased +20 bps compared to the level registered in the 3Q14, this was a result of: i) higher salaries in BCP Bolivia, in line with the YoY increase in employees (1702 employees at the end of 1643 vs. 3T15 employees at the end of 3T14) and lower operating income; and ii) the efficiency ratio of ASB grew +160 bps, due to higher operating and interest expenses.</w:t>
      </w:r>
    </w:p>
    <w:p>
      <w:pPr>
        <w:spacing w:after="0" w:line="177"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Capital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8.1</w:t>
            </w:r>
          </w:p>
        </w:tc>
        <w:tc>
          <w:tcPr>
            <w:tcW w:w="4580" w:type="dxa"/>
            <w:vAlign w:val="bottom"/>
            <w:gridSpan w:val="2"/>
          </w:tcPr>
          <w:p>
            <w:pPr>
              <w:ind w:left="20"/>
              <w:spacing w:after="0"/>
              <w:rPr>
                <w:sz w:val="20"/>
                <w:szCs w:val="20"/>
                <w:color w:val="auto"/>
              </w:rPr>
            </w:pPr>
            <w:r>
              <w:rPr>
                <w:rFonts w:ascii="Arial" w:cs="Arial" w:eastAsia="Arial" w:hAnsi="Arial"/>
                <w:sz w:val="18"/>
                <w:szCs w:val="18"/>
                <w:b w:val="1"/>
                <w:bCs w:val="1"/>
                <w:color w:val="auto"/>
              </w:rPr>
              <w:t>Regulatory Capital –BAP</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As of</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4"/>
          </w:tcPr>
          <w:p>
            <w:pPr>
              <w:ind w:left="38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640" w:type="dxa"/>
            <w:vAlign w:val="bottom"/>
          </w:tcPr>
          <w:p>
            <w:pPr>
              <w:spacing w:after="0"/>
              <w:rPr>
                <w:sz w:val="20"/>
                <w:szCs w:val="20"/>
                <w:color w:val="auto"/>
              </w:rPr>
            </w:pPr>
            <w:r>
              <w:rPr>
                <w:rFonts w:ascii="Arial" w:cs="Arial" w:eastAsia="Arial" w:hAnsi="Arial"/>
                <w:sz w:val="18"/>
                <w:szCs w:val="18"/>
                <w:color w:val="auto"/>
                <w:w w:val="89"/>
              </w:rPr>
              <w:t>S/. (000)</w:t>
            </w: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Sep 14</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Jun 15</w:t>
            </w: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Sep 15</w:t>
            </w: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rPr>
              <w:t>QoQ</w:t>
            </w:r>
          </w:p>
        </w:tc>
        <w:tc>
          <w:tcPr>
            <w:tcW w:w="840" w:type="dxa"/>
            <w:vAlign w:val="bottom"/>
            <w:gridSpan w:val="2"/>
          </w:tcPr>
          <w:p>
            <w:pPr>
              <w:ind w:left="160"/>
              <w:spacing w:after="0"/>
              <w:rPr>
                <w:sz w:val="20"/>
                <w:szCs w:val="20"/>
                <w:color w:val="auto"/>
              </w:rPr>
            </w:pPr>
            <w:r>
              <w:rPr>
                <w:rFonts w:ascii="Arial" w:cs="Arial" w:eastAsia="Arial" w:hAnsi="Arial"/>
                <w:sz w:val="18"/>
                <w:szCs w:val="18"/>
                <w:b w:val="1"/>
                <w:bCs w:val="1"/>
                <w:color w:val="auto"/>
              </w:rPr>
              <w:t>YoY</w:t>
            </w:r>
          </w:p>
        </w:tc>
      </w:tr>
      <w:tr>
        <w:trPr>
          <w:trHeight w:val="223"/>
        </w:trPr>
        <w:tc>
          <w:tcPr>
            <w:tcW w:w="5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Regulatory Capital (A)</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15,690,887</w:t>
            </w:r>
          </w:p>
        </w:tc>
        <w:tc>
          <w:tcPr>
            <w:tcW w:w="2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17,937,578</w:t>
            </w:r>
          </w:p>
        </w:tc>
        <w:tc>
          <w:tcPr>
            <w:tcW w:w="1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18,085,180</w:t>
            </w:r>
          </w:p>
        </w:tc>
        <w:tc>
          <w:tcPr>
            <w:tcW w:w="1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b w:val="1"/>
                <w:bCs w:val="1"/>
                <w:color w:val="auto"/>
                <w:w w:val="87"/>
              </w:rPr>
              <w:t>0.8</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b w:val="1"/>
                <w:bCs w:val="1"/>
                <w:color w:val="auto"/>
                <w:w w:val="85"/>
              </w:rPr>
              <w:t>15.3</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37"/>
        </w:trPr>
        <w:tc>
          <w:tcPr>
            <w:tcW w:w="640" w:type="dxa"/>
            <w:vAlign w:val="bottom"/>
          </w:tcPr>
          <w:p>
            <w:pPr>
              <w:spacing w:after="0" w:line="236" w:lineRule="exact"/>
              <w:rPr>
                <w:sz w:val="20"/>
                <w:szCs w:val="20"/>
                <w:color w:val="auto"/>
              </w:rPr>
            </w:pPr>
            <w:r>
              <w:rPr>
                <w:rFonts w:ascii="Arial" w:cs="Arial" w:eastAsia="Arial" w:hAnsi="Arial"/>
                <w:sz w:val="17"/>
                <w:szCs w:val="17"/>
                <w:color w:val="auto"/>
                <w:w w:val="94"/>
              </w:rPr>
              <w:t xml:space="preserve">Tier I </w:t>
            </w:r>
            <w:r>
              <w:rPr>
                <w:rFonts w:ascii="Arial" w:cs="Arial" w:eastAsia="Arial" w:hAnsi="Arial"/>
                <w:sz w:val="27"/>
                <w:szCs w:val="27"/>
                <w:color w:val="auto"/>
                <w:w w:val="94"/>
                <w:vertAlign w:val="superscript"/>
              </w:rPr>
              <w:t>(1)</w:t>
            </w: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9,131,803</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10,671,098</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10,697,542</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0.2%</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w w:val="97"/>
              </w:rPr>
              <w:t>17.1%</w:t>
            </w:r>
          </w:p>
        </w:tc>
      </w:tr>
      <w:tr>
        <w:trPr>
          <w:trHeight w:val="270"/>
        </w:trPr>
        <w:tc>
          <w:tcPr>
            <w:tcW w:w="522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II </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Tier III </w:t>
            </w:r>
            <w:r>
              <w:rPr>
                <w:rFonts w:ascii="Arial" w:cs="Arial" w:eastAsia="Arial" w:hAnsi="Arial"/>
                <w:sz w:val="30"/>
                <w:szCs w:val="30"/>
                <w:color w:val="auto"/>
                <w:vertAlign w:val="superscript"/>
              </w:rPr>
              <w:t>(3)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6,559,083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7,266,480</w:t>
            </w: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7,387,638</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1.7%</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12.6%</w:t>
            </w:r>
          </w:p>
        </w:tc>
      </w:tr>
      <w:tr>
        <w:trPr>
          <w:trHeight w:val="210"/>
        </w:trPr>
        <w:tc>
          <w:tcPr>
            <w:tcW w:w="5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Total Regulatory Capital Requirements (B)</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13,856,358</w:t>
            </w:r>
          </w:p>
        </w:tc>
        <w:tc>
          <w:tcPr>
            <w:tcW w:w="2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15,026,343</w:t>
            </w:r>
          </w:p>
        </w:tc>
        <w:tc>
          <w:tcPr>
            <w:tcW w:w="1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15,739,357</w:t>
            </w:r>
          </w:p>
        </w:tc>
        <w:tc>
          <w:tcPr>
            <w:tcW w:w="1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w w:val="87"/>
              </w:rPr>
              <w:t>4.7</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w w:val="85"/>
              </w:rPr>
              <w:t>13.6</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Regulatory Capital Ratio (A) / (B)</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2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65"/>
        </w:trPr>
        <w:tc>
          <w:tcPr>
            <w:tcW w:w="5220" w:type="dxa"/>
            <w:vAlign w:val="bottom"/>
            <w:gridSpan w:val="3"/>
          </w:tcPr>
          <w:p>
            <w:pPr>
              <w:spacing w:after="0" w:line="265" w:lineRule="exact"/>
              <w:rPr>
                <w:sz w:val="20"/>
                <w:szCs w:val="20"/>
                <w:color w:val="auto"/>
              </w:rPr>
            </w:pPr>
            <w:r>
              <w:rPr>
                <w:rFonts w:ascii="Arial" w:cs="Arial" w:eastAsia="Arial" w:hAnsi="Arial"/>
                <w:sz w:val="18"/>
                <w:szCs w:val="18"/>
                <w:b w:val="1"/>
                <w:bCs w:val="1"/>
                <w:color w:val="auto"/>
              </w:rPr>
              <w:t xml:space="preserve">Required Regulatory Capital Ratio </w:t>
            </w:r>
            <w:r>
              <w:rPr>
                <w:rFonts w:ascii="Arial" w:cs="Arial" w:eastAsia="Arial" w:hAnsi="Arial"/>
                <w:sz w:val="30"/>
                <w:szCs w:val="30"/>
                <w:b w:val="1"/>
                <w:bCs w:val="1"/>
                <w:color w:val="auto"/>
                <w:vertAlign w:val="superscript"/>
              </w:rPr>
              <w:t>(4)</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1.00</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1.00</w:t>
            </w: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-8890</wp:posOffset>
            </wp:positionV>
            <wp:extent cx="19640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right="560" w:firstLine="8"/>
        <w:spacing w:after="0" w:line="249"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Tier I = capital + restricted capital reserves + Tier I minority interest - goodwill - (0.5 x investment in equity and subordinated debt of financial and insurance companies) + perpetual subordinated debt.</w:t>
      </w:r>
    </w:p>
    <w:p>
      <w:pPr>
        <w:ind w:firstLine="8"/>
        <w:spacing w:after="0" w:line="250"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Tier II = subordinated debt + TierII minority interest tier + loan loss reserves - (0.5 x investment in equity and subordinated debt of financial and insurance companies).</w:t>
      </w:r>
    </w:p>
    <w:p>
      <w:pPr>
        <w:ind w:left="260" w:hanging="252"/>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Tier III = Subordinated debt covering market risk only.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Capital / Total Regulatory Capital Requirements (legal minimum = 1.00).</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2015, Credicorp posted a comfortable capitalization level that is equivalent to 1.15 times the capital required by the Peruvian regulator.</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ratio slightly decreased QoQ in line with the higher increase in regulatory capital requirement (+ 4.7% QoQ) vs. Credicorp’s total regulatory capital (+ 0.8% QoQ). The former came from the Financial Consolidated Group, which registered a higher capital requirement QoQ. The latter is associated with higher risk weighted assets (RWAs) from credit risk at BCP Stand-alone, in line with the expansion of total loans (+6.1% QoQ, in quarter-end balances and based on results in Peru GAAP).</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slight increase QoQ in regulatory capital is mainly due to a higher level of subordinated debt as a result of an exchange rate effect (+ 1.42% QoQ), and a higher allowance for loan losses QoQ .</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YoY analysis shows an increase in regulatory capital ratio (1.13 in 3T14 vs. to 1.15 in 3T15) as a result of higher increase in regulatory capital (+15.3 % YoY) compared to the increase in capital requirements (+13.6% YoY) .</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Additionally, it is important to note that the Tier 1 represents 59.2% of Credicorp’s total regulatory capital, slightly above the 58.2% level of 3Q14.</w:t>
      </w:r>
    </w:p>
    <w:p>
      <w:pPr>
        <w:spacing w:after="0" w:line="200" w:lineRule="exact"/>
        <w:rPr>
          <w:sz w:val="20"/>
          <w:szCs w:val="20"/>
          <w:color w:val="auto"/>
        </w:rPr>
      </w:pPr>
    </w:p>
    <w:p>
      <w:pPr>
        <w:spacing w:after="0" w:line="246"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8.2</w:t>
            </w:r>
          </w:p>
        </w:tc>
        <w:tc>
          <w:tcPr>
            <w:tcW w:w="4760" w:type="dxa"/>
            <w:vAlign w:val="bottom"/>
            <w:gridSpan w:val="3"/>
          </w:tcPr>
          <w:p>
            <w:pPr>
              <w:ind w:left="40"/>
              <w:spacing w:after="0"/>
              <w:rPr>
                <w:sz w:val="20"/>
                <w:szCs w:val="20"/>
                <w:color w:val="auto"/>
              </w:rPr>
            </w:pPr>
            <w:r>
              <w:rPr>
                <w:rFonts w:ascii="Arial" w:cs="Arial" w:eastAsia="Arial" w:hAnsi="Arial"/>
                <w:sz w:val="18"/>
                <w:szCs w:val="18"/>
                <w:b w:val="1"/>
                <w:bCs w:val="1"/>
                <w:color w:val="auto"/>
                <w:w w:val="92"/>
              </w:rPr>
              <w:t>Regulatory Capital –BCP Stand-alone based on Peru GAAP</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380" w:type="dxa"/>
            <w:vAlign w:val="bottom"/>
            <w:gridSpan w:val="5"/>
          </w:tcPr>
          <w:p>
            <w:pPr>
              <w:spacing w:after="0"/>
              <w:rPr>
                <w:sz w:val="20"/>
                <w:szCs w:val="20"/>
                <w:color w:val="auto"/>
              </w:rPr>
            </w:pPr>
            <w:r>
              <w:rPr>
                <w:rFonts w:ascii="Arial" w:cs="Arial" w:eastAsia="Arial" w:hAnsi="Arial"/>
                <w:sz w:val="16"/>
                <w:szCs w:val="16"/>
                <w:b w:val="1"/>
                <w:bCs w:val="1"/>
                <w:color w:val="auto"/>
              </w:rPr>
              <w:t>Regulatory Capital and Capital Adequacy Ratios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1"/>
              </w:rPr>
              <w:t>Balance as of</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ind w:left="8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7"/>
        </w:trPr>
        <w:tc>
          <w:tcPr>
            <w:tcW w:w="620" w:type="dxa"/>
            <w:vAlign w:val="bottom"/>
            <w:gridSpan w:val="2"/>
          </w:tcPr>
          <w:p>
            <w:pPr>
              <w:spacing w:after="0"/>
              <w:rPr>
                <w:sz w:val="20"/>
                <w:szCs w:val="20"/>
                <w:color w:val="auto"/>
              </w:rPr>
            </w:pPr>
            <w:r>
              <w:rPr>
                <w:rFonts w:ascii="Arial" w:cs="Arial" w:eastAsia="Arial" w:hAnsi="Arial"/>
                <w:sz w:val="16"/>
                <w:szCs w:val="16"/>
                <w:color w:val="auto"/>
              </w:rPr>
              <w:t>S/. 000</w:t>
            </w: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3Q14</w:t>
            </w:r>
          </w:p>
        </w:tc>
        <w:tc>
          <w:tcPr>
            <w:tcW w:w="12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2Q15</w:t>
            </w:r>
          </w:p>
        </w:tc>
        <w:tc>
          <w:tcPr>
            <w:tcW w:w="12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3Q15</w:t>
            </w:r>
          </w:p>
        </w:tc>
        <w:tc>
          <w:tcPr>
            <w:tcW w:w="12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3Q15 / 2Q15</w:t>
            </w:r>
          </w:p>
        </w:tc>
        <w:tc>
          <w:tcPr>
            <w:tcW w:w="1200" w:type="dxa"/>
            <w:vAlign w:val="bottom"/>
            <w:gridSpan w:val="3"/>
          </w:tcPr>
          <w:p>
            <w:pPr>
              <w:ind w:left="80"/>
              <w:spacing w:after="0"/>
              <w:rPr>
                <w:sz w:val="20"/>
                <w:szCs w:val="20"/>
                <w:color w:val="auto"/>
              </w:rPr>
            </w:pPr>
            <w:r>
              <w:rPr>
                <w:rFonts w:ascii="Arial" w:cs="Arial" w:eastAsia="Arial" w:hAnsi="Arial"/>
                <w:sz w:val="16"/>
                <w:szCs w:val="16"/>
                <w:b w:val="1"/>
                <w:bCs w:val="1"/>
                <w:color w:val="auto"/>
              </w:rPr>
              <w:t>3Q15 / 3Q14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Capital Stock</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4,722,752</w:t>
            </w: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5,854,051</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5,854,051</w:t>
            </w:r>
          </w:p>
        </w:tc>
        <w:tc>
          <w:tcPr>
            <w:tcW w:w="2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N/A</w:t>
            </w:r>
          </w:p>
        </w:tc>
        <w:tc>
          <w:tcPr>
            <w:tcW w:w="11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4"/>
          </w:tcPr>
          <w:p>
            <w:pPr>
              <w:spacing w:after="0"/>
              <w:rPr>
                <w:sz w:val="20"/>
                <w:szCs w:val="20"/>
                <w:color w:val="auto"/>
              </w:rPr>
            </w:pPr>
            <w:r>
              <w:rPr>
                <w:rFonts w:ascii="Arial" w:cs="Arial" w:eastAsia="Arial" w:hAnsi="Arial"/>
                <w:sz w:val="16"/>
                <w:szCs w:val="16"/>
                <w:color w:val="auto"/>
              </w:rPr>
              <w:t>Legal and Other capital reserves</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2,761,777</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3,157,900</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3,157,906</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Accumulated earnings w ith capitalization agreement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1,000,000</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gridSpan w:val="4"/>
          </w:tcPr>
          <w:p>
            <w:pPr>
              <w:spacing w:after="0" w:line="242" w:lineRule="exact"/>
              <w:rPr>
                <w:sz w:val="20"/>
                <w:szCs w:val="20"/>
                <w:color w:val="auto"/>
              </w:rPr>
            </w:pPr>
            <w:r>
              <w:rPr>
                <w:rFonts w:ascii="Arial" w:cs="Arial" w:eastAsia="Arial" w:hAnsi="Arial"/>
                <w:sz w:val="16"/>
                <w:szCs w:val="16"/>
                <w:color w:val="auto"/>
              </w:rPr>
              <w:t xml:space="preserve">Loan loss reserves </w:t>
            </w:r>
            <w:r>
              <w:rPr>
                <w:rFonts w:ascii="Arial" w:cs="Arial" w:eastAsia="Arial" w:hAnsi="Arial"/>
                <w:sz w:val="27"/>
                <w:szCs w:val="27"/>
                <w:color w:val="auto"/>
                <w:vertAlign w:val="superscript"/>
              </w:rPr>
              <w:t>(1)</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969,036</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1,055,082</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1,105,826</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4.8%</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Perpetual subordinated debt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722,500</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794,250</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805,500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4"/>
          </w:tcPr>
          <w:p>
            <w:pPr>
              <w:spacing w:after="0"/>
              <w:rPr>
                <w:sz w:val="20"/>
                <w:szCs w:val="20"/>
                <w:color w:val="auto"/>
              </w:rPr>
            </w:pPr>
            <w:r>
              <w:rPr>
                <w:rFonts w:ascii="Arial" w:cs="Arial" w:eastAsia="Arial" w:hAnsi="Arial"/>
                <w:sz w:val="16"/>
                <w:szCs w:val="16"/>
                <w:color w:val="auto"/>
              </w:rPr>
              <w:t>Subordinated Debt</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4,029,410</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4,307,757</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4,361,716</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1.3%</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Unrealized profit (loss)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4"/>
          </w:tcPr>
          <w:p>
            <w:pPr>
              <w:spacing w:after="0"/>
              <w:rPr>
                <w:sz w:val="20"/>
                <w:szCs w:val="20"/>
                <w:color w:val="auto"/>
              </w:rPr>
            </w:pPr>
            <w:r>
              <w:rPr>
                <w:rFonts w:ascii="Arial" w:cs="Arial" w:eastAsia="Arial" w:hAnsi="Arial"/>
                <w:sz w:val="16"/>
                <w:szCs w:val="16"/>
                <w:color w:val="auto"/>
              </w:rPr>
              <w:t>Investment in subsidiaries and others, net of unrealized</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(1,559,612)</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(1,692,746)</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(1,687,497)</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-0.3%</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profit and net income</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4"/>
          </w:tcPr>
          <w:p>
            <w:pPr>
              <w:ind w:left="160"/>
              <w:spacing w:after="0"/>
              <w:rPr>
                <w:sz w:val="20"/>
                <w:szCs w:val="20"/>
                <w:color w:val="auto"/>
              </w:rPr>
            </w:pPr>
            <w:r>
              <w:rPr>
                <w:rFonts w:ascii="Arial" w:cs="Arial" w:eastAsia="Arial" w:hAnsi="Arial"/>
                <w:sz w:val="16"/>
                <w:szCs w:val="16"/>
                <w:color w:val="auto"/>
              </w:rPr>
              <w:t>Investment in subsidiaries and others</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2,211,726</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1,889,914</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1,920,128</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1.6%</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Unrealized profit and net income in subsidiaries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652,114</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197,168</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232,631</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4"/>
          </w:tcPr>
          <w:p>
            <w:pPr>
              <w:spacing w:after="0"/>
              <w:rPr>
                <w:sz w:val="20"/>
                <w:szCs w:val="20"/>
                <w:color w:val="auto"/>
              </w:rPr>
            </w:pPr>
            <w:r>
              <w:rPr>
                <w:rFonts w:ascii="Arial" w:cs="Arial" w:eastAsia="Arial" w:hAnsi="Arial"/>
                <w:sz w:val="16"/>
                <w:szCs w:val="16"/>
                <w:color w:val="auto"/>
              </w:rPr>
              <w:t>Goodw ill</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(122,083)</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(122,083)</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(122,083)</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Total Regulatory Capital</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w w:val="99"/>
              </w:rPr>
              <w:t>12,523,781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13,354,210</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13,475,418</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0.9%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36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Off-balance sheet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24,999,855</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29,044,483</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29,097,439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w w:val="86"/>
              </w:rPr>
              <w:t xml:space="preserve">Tier 1 </w:t>
            </w:r>
            <w:r>
              <w:rPr>
                <w:rFonts w:ascii="Arial" w:cs="Arial" w:eastAsia="Arial" w:hAnsi="Arial"/>
                <w:sz w:val="27"/>
                <w:szCs w:val="27"/>
                <w:color w:val="auto"/>
                <w:w w:val="86"/>
                <w:vertAlign w:val="superscript"/>
              </w:rPr>
              <w:t>(2)</w:t>
            </w:r>
          </w:p>
        </w:tc>
        <w:tc>
          <w:tcPr>
            <w:tcW w:w="4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8,631,197</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8,936,328</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8,967,941</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0.4%</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gridSpan w:val="4"/>
          </w:tcPr>
          <w:p>
            <w:pPr>
              <w:spacing w:after="0" w:line="257" w:lineRule="exact"/>
              <w:rPr>
                <w:sz w:val="20"/>
                <w:szCs w:val="20"/>
                <w:color w:val="auto"/>
              </w:rPr>
            </w:pPr>
            <w:r>
              <w:rPr>
                <w:rFonts w:ascii="Arial" w:cs="Arial" w:eastAsia="Arial" w:hAnsi="Arial"/>
                <w:sz w:val="16"/>
                <w:szCs w:val="16"/>
                <w:color w:val="auto"/>
              </w:rPr>
              <w:t xml:space="preserve">Tier 2 </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 Tier 3 </w:t>
            </w:r>
            <w:r>
              <w:rPr>
                <w:rFonts w:ascii="Arial" w:cs="Arial" w:eastAsia="Arial" w:hAnsi="Arial"/>
                <w:sz w:val="27"/>
                <w:szCs w:val="27"/>
                <w:color w:val="auto"/>
                <w:vertAlign w:val="superscript"/>
              </w:rPr>
              <w:t>(4)</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3,892,584</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4,417,882</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4,507,478</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2.0%</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6"/>
                <w:szCs w:val="16"/>
                <w:b w:val="1"/>
                <w:bCs w:val="1"/>
                <w:color w:val="auto"/>
              </w:rPr>
              <w:t>Total risk-weighted assets</w:t>
            </w:r>
          </w:p>
        </w:tc>
        <w:tc>
          <w:tcPr>
            <w:tcW w:w="1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9"/>
              </w:rPr>
              <w:t>84,717,945</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92,873,376</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97,003,577</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4.4%</w:t>
            </w: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14.5%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gridSpan w:val="3"/>
            <w:vMerge w:val="restart"/>
            <w:shd w:val="clear" w:color="auto" w:fill="CCEEFF"/>
          </w:tcPr>
          <w:p>
            <w:pPr>
              <w:spacing w:after="0" w:line="249" w:lineRule="exact"/>
              <w:rPr>
                <w:sz w:val="20"/>
                <w:szCs w:val="20"/>
                <w:color w:val="auto"/>
              </w:rPr>
            </w:pPr>
            <w:r>
              <w:rPr>
                <w:rFonts w:ascii="Arial" w:cs="Arial" w:eastAsia="Arial" w:hAnsi="Arial"/>
                <w:sz w:val="16"/>
                <w:szCs w:val="16"/>
                <w:color w:val="auto"/>
              </w:rPr>
              <w:t xml:space="preserve">Market risk-w eighted assets </w:t>
            </w:r>
            <w:r>
              <w:rPr>
                <w:rFonts w:ascii="Arial" w:cs="Arial" w:eastAsia="Arial" w:hAnsi="Arial"/>
                <w:sz w:val="27"/>
                <w:szCs w:val="27"/>
                <w:color w:val="auto"/>
                <w:vertAlign w:val="superscript"/>
              </w:rPr>
              <w:t>(5)</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1,270,266</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1,734,216</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1,537,512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-11.3%</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4"/>
          </w:tcPr>
          <w:p>
            <w:pPr>
              <w:spacing w:after="0"/>
              <w:rPr>
                <w:sz w:val="20"/>
                <w:szCs w:val="20"/>
                <w:color w:val="auto"/>
              </w:rPr>
            </w:pPr>
            <w:r>
              <w:rPr>
                <w:rFonts w:ascii="Arial" w:cs="Arial" w:eastAsia="Arial" w:hAnsi="Arial"/>
                <w:sz w:val="16"/>
                <w:szCs w:val="16"/>
                <w:color w:val="auto"/>
              </w:rPr>
              <w:t>Credit risk-w eighted assets</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9"/>
              </w:rPr>
              <w:t>77,522,908</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84,406,557</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88,466,066</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4.8%</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Operational risk-w eighted assets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5,924,771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6,732,602</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6,999,999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Total capital requirement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w w:val="99"/>
              </w:rPr>
              <w:t>10,204,348</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11,076,962</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11,739,677</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gridSpan w:val="3"/>
            <w:vMerge w:val="restart"/>
          </w:tcPr>
          <w:p>
            <w:pPr>
              <w:spacing w:after="0" w:line="242" w:lineRule="exact"/>
              <w:rPr>
                <w:sz w:val="20"/>
                <w:szCs w:val="20"/>
                <w:color w:val="auto"/>
              </w:rPr>
            </w:pPr>
            <w:r>
              <w:rPr>
                <w:rFonts w:ascii="Arial" w:cs="Arial" w:eastAsia="Arial" w:hAnsi="Arial"/>
                <w:sz w:val="16"/>
                <w:szCs w:val="16"/>
                <w:color w:val="auto"/>
              </w:rPr>
              <w:t xml:space="preserve">Market risk capital requirement </w:t>
            </w:r>
            <w:r>
              <w:rPr>
                <w:rFonts w:ascii="Arial" w:cs="Arial" w:eastAsia="Arial" w:hAnsi="Arial"/>
                <w:sz w:val="27"/>
                <w:szCs w:val="27"/>
                <w:color w:val="auto"/>
                <w:vertAlign w:val="superscript"/>
              </w:rPr>
              <w:t>(5)</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127,027</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173,422</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153,751</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-11.3%</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Credit risk capital requirement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7,752,291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8,440,656</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8,846,607</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4"/>
          </w:tcPr>
          <w:p>
            <w:pPr>
              <w:spacing w:after="0"/>
              <w:rPr>
                <w:sz w:val="20"/>
                <w:szCs w:val="20"/>
                <w:color w:val="auto"/>
              </w:rPr>
            </w:pPr>
            <w:r>
              <w:rPr>
                <w:rFonts w:ascii="Arial" w:cs="Arial" w:eastAsia="Arial" w:hAnsi="Arial"/>
                <w:sz w:val="16"/>
                <w:szCs w:val="16"/>
                <w:color w:val="auto"/>
              </w:rPr>
              <w:t>Operational risk capital requirement</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592,477</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673,260</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700,000</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4.0%</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Additional capital requirements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1,732,554</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1,789,625</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2,039,319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Capital ratios</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gridSpan w:val="4"/>
          </w:tcPr>
          <w:p>
            <w:pPr>
              <w:spacing w:after="0" w:line="242" w:lineRule="exact"/>
              <w:rPr>
                <w:sz w:val="20"/>
                <w:szCs w:val="20"/>
                <w:color w:val="auto"/>
              </w:rPr>
            </w:pPr>
            <w:r>
              <w:rPr>
                <w:rFonts w:ascii="Arial" w:cs="Arial" w:eastAsia="Arial" w:hAnsi="Arial"/>
                <w:sz w:val="16"/>
                <w:szCs w:val="16"/>
                <w:color w:val="auto"/>
              </w:rPr>
              <w:t xml:space="preserve">Tier 1 ratio </w:t>
            </w:r>
            <w:r>
              <w:rPr>
                <w:rFonts w:ascii="Arial" w:cs="Arial" w:eastAsia="Arial" w:hAnsi="Arial"/>
                <w:sz w:val="27"/>
                <w:szCs w:val="27"/>
                <w:color w:val="auto"/>
                <w:vertAlign w:val="superscript"/>
              </w:rPr>
              <w:t>(6)</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10.19%</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9.62%</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9.24%</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gridSpan w:val="4"/>
            <w:shd w:val="clear" w:color="auto" w:fill="CCEEFF"/>
          </w:tcPr>
          <w:p>
            <w:pPr>
              <w:spacing w:after="0" w:line="242" w:lineRule="exact"/>
              <w:rPr>
                <w:sz w:val="20"/>
                <w:szCs w:val="20"/>
                <w:color w:val="auto"/>
              </w:rPr>
            </w:pPr>
            <w:r>
              <w:rPr>
                <w:rFonts w:ascii="Arial" w:cs="Arial" w:eastAsia="Arial" w:hAnsi="Arial"/>
                <w:sz w:val="16"/>
                <w:szCs w:val="16"/>
                <w:color w:val="auto"/>
              </w:rPr>
              <w:t xml:space="preserve">Common Equity Tier 1 ratio </w:t>
            </w:r>
            <w:r>
              <w:rPr>
                <w:rFonts w:ascii="Arial" w:cs="Arial" w:eastAsia="Arial" w:hAnsi="Arial"/>
                <w:sz w:val="27"/>
                <w:szCs w:val="27"/>
                <w:color w:val="auto"/>
                <w:vertAlign w:val="superscript"/>
              </w:rPr>
              <w:t>(7)</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9.00%</w:t>
            </w:r>
          </w:p>
        </w:tc>
        <w:tc>
          <w:tcPr>
            <w:tcW w:w="1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gridSpan w:val="4"/>
          </w:tcPr>
          <w:p>
            <w:pPr>
              <w:spacing w:after="0" w:line="242" w:lineRule="exact"/>
              <w:rPr>
                <w:sz w:val="20"/>
                <w:szCs w:val="20"/>
                <w:color w:val="auto"/>
              </w:rPr>
            </w:pPr>
            <w:r>
              <w:rPr>
                <w:rFonts w:ascii="Arial" w:cs="Arial" w:eastAsia="Arial" w:hAnsi="Arial"/>
                <w:sz w:val="16"/>
                <w:szCs w:val="16"/>
                <w:color w:val="auto"/>
              </w:rPr>
              <w:t xml:space="preserve">BIS ratio </w:t>
            </w:r>
            <w:r>
              <w:rPr>
                <w:rFonts w:ascii="Arial" w:cs="Arial" w:eastAsia="Arial" w:hAnsi="Arial"/>
                <w:sz w:val="27"/>
                <w:szCs w:val="27"/>
                <w:color w:val="auto"/>
                <w:vertAlign w:val="superscript"/>
              </w:rPr>
              <w:t>(8)</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14.78%</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14.38%</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13.89%</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80" w:type="dxa"/>
            <w:vAlign w:val="bottom"/>
            <w:gridSpan w:val="3"/>
            <w:shd w:val="clear" w:color="auto" w:fill="CCEEFF"/>
          </w:tcPr>
          <w:p>
            <w:pPr>
              <w:spacing w:after="0" w:line="257" w:lineRule="exact"/>
              <w:rPr>
                <w:sz w:val="20"/>
                <w:szCs w:val="20"/>
                <w:color w:val="auto"/>
              </w:rPr>
            </w:pPr>
            <w:r>
              <w:rPr>
                <w:rFonts w:ascii="Arial" w:cs="Arial" w:eastAsia="Arial" w:hAnsi="Arial"/>
                <w:sz w:val="16"/>
                <w:szCs w:val="16"/>
                <w:color w:val="auto"/>
              </w:rPr>
              <w:t xml:space="preserve">Risk-w eighted assets / Regulatory capital </w:t>
            </w:r>
            <w:r>
              <w:rPr>
                <w:rFonts w:ascii="Arial" w:cs="Arial" w:eastAsia="Arial" w:hAnsi="Arial"/>
                <w:sz w:val="27"/>
                <w:szCs w:val="27"/>
                <w:color w:val="auto"/>
                <w:vertAlign w:val="superscript"/>
              </w:rPr>
              <w:t>(9)</w:t>
            </w: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6.76</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6.95</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7.20</w:t>
            </w:r>
          </w:p>
        </w:tc>
        <w:tc>
          <w:tcPr>
            <w:tcW w:w="10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9" w:lineRule="exact"/>
        <w:rPr>
          <w:rFonts w:ascii="Arial" w:cs="Arial" w:eastAsia="Arial" w:hAnsi="Arial"/>
          <w:sz w:val="18"/>
          <w:szCs w:val="18"/>
          <w:color w:val="auto"/>
        </w:rPr>
      </w:pPr>
    </w:p>
    <w:p>
      <w:pPr>
        <w:ind w:right="400" w:firstLine="8"/>
        <w:spacing w:after="0" w:line="265" w:lineRule="auto"/>
        <w:tabs>
          <w:tab w:leader="none" w:pos="25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Tier 2 = Subordinated debt + Loan loss reserves - (0.5 x Investment in subsidiaries).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Tier 3 = Subordinated debt covering market risk only. Tier 3 exists since 1Q10.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Tier 1 / Risk-weighted assets</w:t>
      </w:r>
    </w:p>
    <w:p>
      <w:pPr>
        <w:spacing w:after="0" w:line="9" w:lineRule="exact"/>
        <w:rPr>
          <w:rFonts w:ascii="Arial" w:cs="Arial" w:eastAsia="Arial" w:hAnsi="Arial"/>
          <w:sz w:val="18"/>
          <w:szCs w:val="18"/>
          <w:color w:val="auto"/>
        </w:rPr>
      </w:pPr>
    </w:p>
    <w:p>
      <w:pPr>
        <w:ind w:right="300" w:firstLine="8"/>
        <w:spacing w:after="0" w:line="250"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deferred tax assets that rely on future profitability) + retained earnings + unrealized gains.</w:t>
      </w: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9" w:lineRule="exact"/>
        <w:rPr>
          <w:rFonts w:ascii="Arial" w:cs="Arial" w:eastAsia="Arial" w:hAnsi="Arial"/>
          <w:sz w:val="18"/>
          <w:szCs w:val="18"/>
          <w:color w:val="auto"/>
        </w:rPr>
      </w:pPr>
    </w:p>
    <w:p>
      <w:pPr>
        <w:ind w:right="40" w:firstLine="8"/>
        <w:spacing w:after="0" w:line="261"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Since July 2012, Risk-weighted assets = Credit risk-weighted assets * 1.00 + Capital requirement to cover market risk * 10 + Capital requirement to cover operational risk * 10 * 1.00 (since July 2014)</w:t>
      </w:r>
    </w:p>
    <w:p>
      <w:pPr>
        <w:spacing w:after="0" w:line="393"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spacing w:after="0" w:line="308" w:lineRule="auto"/>
        <w:rPr>
          <w:sz w:val="20"/>
          <w:szCs w:val="20"/>
          <w:color w:val="auto"/>
        </w:rPr>
      </w:pPr>
      <w:r>
        <w:rPr>
          <w:rFonts w:ascii="Arial" w:cs="Arial" w:eastAsia="Arial" w:hAnsi="Arial"/>
          <w:sz w:val="17"/>
          <w:szCs w:val="17"/>
          <w:color w:val="auto"/>
        </w:rPr>
        <w:t>At the end of 3Q15, the BIS ratio was situated at 13.89%, which fell below the figure reported at the end of 2Q15 (14.38%). This was due primarily to an increase of +4.4% QoQ in Risk Weighted Assets (RWA), which outweighed the slight increase in Regulatory Capital (+0.9% QoQ).</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Growth in RWAs was due primarily to assets associated with Credit risk, which was in line with a +6% QoQ expansion in BCP loans (measured in quarter-end balances and based on Peru GAAP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Tier 1 ratio fell, going from 9.62% in 2Q15 to 9.24% in 3Q15, due to the evolution of RWAs vs. the evolution of Tier 1 (+0.4% QoQ).</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common equity Tier 1 ratio – which is the most rigorous measure of capitalization – registered a significant QoQ improvement, increasing from 8.38% in 2Q15 to 9% in 3Q15. The aforementioned is a result of:</w:t>
      </w:r>
    </w:p>
    <w:p>
      <w:pPr>
        <w:spacing w:after="0" w:line="170" w:lineRule="exact"/>
        <w:rPr>
          <w:sz w:val="20"/>
          <w:szCs w:val="20"/>
          <w:color w:val="auto"/>
        </w:rPr>
      </w:pPr>
    </w:p>
    <w:p>
      <w:pPr>
        <w:ind w:left="760" w:right="20" w:hanging="509"/>
        <w:spacing w:after="0" w:line="277" w:lineRule="auto"/>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Growth in retained earnings due to an increase quarterly revenue, of which approximately 40 bps is associated with the sale of BCI shares to Credicorp; and</w:t>
      </w:r>
    </w:p>
    <w:p>
      <w:pPr>
        <w:spacing w:after="0" w:line="170" w:lineRule="exact"/>
        <w:rPr>
          <w:rFonts w:ascii="Arial" w:cs="Arial" w:eastAsia="Arial" w:hAnsi="Arial"/>
          <w:sz w:val="18"/>
          <w:szCs w:val="18"/>
          <w:color w:val="auto"/>
        </w:rPr>
      </w:pPr>
    </w:p>
    <w:p>
      <w:pPr>
        <w:jc w:val="both"/>
        <w:ind w:left="760" w:hanging="509"/>
        <w:spacing w:after="0" w:line="286" w:lineRule="auto"/>
        <w:tabs>
          <w:tab w:leader="none" w:pos="7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correction in the calculation of Common Equity Tier 1 ratio given that in the past, the calculation incorrectly included a deduction of deferred taxes that were related to VAT deferred taxes from our leasing business. However, Basel III only requires deductions of deferred taxes related to income tax. In 3Q15, this adjustment in the methodology released 30 bps for deductions, which totaled 40 bps in 2015.</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Equity Tier 1 ratio</w:t>
      </w:r>
    </w:p>
    <w:p>
      <w:pPr>
        <w:spacing w:after="0" w:line="244" w:lineRule="exact"/>
        <w:rPr>
          <w:sz w:val="20"/>
          <w:szCs w:val="20"/>
          <w:color w:val="auto"/>
        </w:rPr>
      </w:pPr>
    </w:p>
    <w:tbl>
      <w:tblPr>
        <w:tblLayout w:type="fixed"/>
        <w:tblInd w:w="2480" w:type="dxa"/>
        <w:tblCellMar>
          <w:top w:w="0" w:type="dxa"/>
          <w:left w:w="0" w:type="dxa"/>
          <w:bottom w:w="0" w:type="dxa"/>
          <w:right w:w="0" w:type="dxa"/>
        </w:tblCellMar>
      </w:tblPr>
      <w:tr>
        <w:trPr>
          <w:trHeight w:val="254"/>
        </w:trPr>
        <w:tc>
          <w:tcPr>
            <w:tcW w:w="33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June 2015</w:t>
            </w:r>
          </w:p>
        </w:tc>
        <w:tc>
          <w:tcPr>
            <w:tcW w:w="3440" w:type="dxa"/>
            <w:vAlign w:val="bottom"/>
          </w:tcPr>
          <w:p>
            <w:pPr>
              <w:ind w:left="2200"/>
              <w:spacing w:after="0"/>
              <w:rPr>
                <w:sz w:val="20"/>
                <w:szCs w:val="20"/>
                <w:color w:val="auto"/>
              </w:rPr>
            </w:pPr>
            <w:r>
              <w:rPr>
                <w:rFonts w:ascii="Arial" w:cs="Arial" w:eastAsia="Arial" w:hAnsi="Arial"/>
                <w:sz w:val="18"/>
                <w:szCs w:val="18"/>
                <w:b w:val="1"/>
                <w:bCs w:val="1"/>
                <w:color w:val="auto"/>
                <w:w w:val="88"/>
              </w:rPr>
              <w:t>September 2015</w:t>
            </w:r>
          </w:p>
        </w:tc>
      </w:tr>
      <w:tr>
        <w:trPr>
          <w:trHeight w:val="1960"/>
        </w:trPr>
        <w:tc>
          <w:tcPr>
            <w:tcW w:w="3380" w:type="dxa"/>
            <w:vAlign w:val="bottom"/>
            <w:tcBorders>
              <w:right w:val="single" w:sz="8" w:color="auto"/>
            </w:tcBorders>
          </w:tcPr>
          <w:p>
            <w:pPr>
              <w:spacing w:after="0"/>
              <w:rPr>
                <w:sz w:val="24"/>
                <w:szCs w:val="24"/>
                <w:color w:val="auto"/>
              </w:rPr>
            </w:pPr>
          </w:p>
        </w:tc>
        <w:tc>
          <w:tcPr>
            <w:tcW w:w="3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-1131570</wp:posOffset>
            </wp:positionV>
            <wp:extent cx="6525895" cy="11322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25895" cy="1132205"/>
                    </a:xfrm>
                    <a:prstGeom prst="rect">
                      <a:avLst/>
                    </a:prstGeom>
                    <a:noFill/>
                  </pic:spPr>
                </pic:pic>
              </a:graphicData>
            </a:graphic>
          </wp:anchor>
        </w:drawing>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Common Equity Tier 1</w:t>
            </w:r>
          </w:p>
        </w:tc>
        <w:tc>
          <w:tcPr>
            <w:tcW w:w="1620" w:type="dxa"/>
            <w:vAlign w:val="bottom"/>
            <w:gridSpan w:val="2"/>
            <w:vMerge w:val="restart"/>
          </w:tcPr>
          <w:p>
            <w:pPr>
              <w:jc w:val="right"/>
              <w:ind w:right="640"/>
              <w:spacing w:after="0"/>
              <w:rPr>
                <w:sz w:val="20"/>
                <w:szCs w:val="20"/>
                <w:color w:val="auto"/>
              </w:rPr>
            </w:pPr>
            <w:r>
              <w:rPr>
                <w:rFonts w:ascii="Arial" w:cs="Arial" w:eastAsia="Arial" w:hAnsi="Arial"/>
                <w:sz w:val="18"/>
                <w:szCs w:val="18"/>
                <w:b w:val="1"/>
                <w:bCs w:val="1"/>
                <w:color w:val="auto"/>
              </w:rPr>
              <w:t>Sep 15</w:t>
            </w:r>
          </w:p>
        </w:tc>
        <w:tc>
          <w:tcPr>
            <w:tcW w:w="0" w:type="dxa"/>
            <w:vAlign w:val="bottom"/>
          </w:tcPr>
          <w:p>
            <w:pPr>
              <w:spacing w:after="0"/>
              <w:rPr>
                <w:sz w:val="1"/>
                <w:szCs w:val="1"/>
                <w:color w:val="auto"/>
              </w:rPr>
            </w:pPr>
          </w:p>
        </w:tc>
      </w:tr>
      <w:tr>
        <w:trPr>
          <w:trHeight w:val="230"/>
        </w:trPr>
        <w:tc>
          <w:tcPr>
            <w:tcW w:w="5240" w:type="dxa"/>
            <w:vAlign w:val="bottom"/>
            <w:gridSpan w:val="3"/>
          </w:tcPr>
          <w:p>
            <w:pPr>
              <w:spacing w:after="0"/>
              <w:rPr>
                <w:sz w:val="20"/>
                <w:szCs w:val="20"/>
                <w:color w:val="auto"/>
              </w:rPr>
            </w:pPr>
            <w:r>
              <w:rPr>
                <w:rFonts w:ascii="Arial" w:cs="Arial" w:eastAsia="Arial" w:hAnsi="Arial"/>
                <w:sz w:val="18"/>
                <w:szCs w:val="18"/>
                <w:color w:val="auto"/>
              </w:rPr>
              <w:t>(S/. million)</w:t>
            </w:r>
          </w:p>
        </w:tc>
        <w:tc>
          <w:tcPr>
            <w:tcW w:w="16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 and reserves</w:t>
            </w:r>
          </w:p>
        </w:tc>
        <w:tc>
          <w:tcPr>
            <w:tcW w:w="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9,012</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gains (losses)</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Goodwill and intangibles</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credit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Investments in subsidiaries (1)</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CET1</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8,732</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CET1 ratio</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(1) Includes investments in Mibanco and other subsidiaries.</w:t>
            </w: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ind w:left="500" w:hanging="492"/>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channels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distribution channels at BCP, Mibanco and BCP Bolivia combined totaled 8,693 points of access at the end of 3Q15, which represented an increase of +382 units QoQ.</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 offered a total of 8,019 points of access at the end of 3Q15, which represented slight growth of +395 QoQ. This expansion was attributable to an increase in Agentes BCP (+387 QoQ) and ATMs (+6 QoQ). The main increase in Agentes BCP took place in the provinces (+205 QoQ), where 48% of our total network of access points is located, which is in line with our banking penetration strategy.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Mibanco reduced its number of branches by a small margin, going from 328 in 2Q15 to 319 in 3Q15, in line with its cost reduction strategy. In addition, Mibanco has an agreement with Banco de la Nacion that allows the bank to use all of the latter’s branches around the country, which has reduced operating costs. At the end of 3Q15, branches located in Banco de la Nacion offices represented 12% of the total (38 branches)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BCP Bolivia posted a -4 reduction in channels QoQ that primarily attributable to a decrease in ATMs after some units were shut down to reposition them in areas with more clients. The objective is to make this channel more efficient.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YoY analysis of BCP indicates that Agentes BCP increased +234 while ATMs grew +34. BCP Bolivia posted growth of +11 for Agentes. These growth levels are in line with our banking penetration strategy and expansion plan. In the case of Mibanco, the YoY reduction in ATMs and in Agentes is due primarily to the fact that the contract agreements in place until 2014 for Agentes Mibanco expired and to the decision to shut down Mibanco ATMs. This reflects the synergies that have been created by consolidation efforts, which have given Mibanco access to BCP’s distribution channels.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Quarter</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4"/>
          </w:tcPr>
          <w:p>
            <w:pPr>
              <w:ind w:left="500"/>
              <w:spacing w:after="0"/>
              <w:rPr>
                <w:sz w:val="20"/>
                <w:szCs w:val="20"/>
                <w:color w:val="auto"/>
              </w:rPr>
            </w:pPr>
            <w:r>
              <w:rPr>
                <w:rFonts w:ascii="Arial" w:cs="Arial" w:eastAsia="Arial" w:hAnsi="Arial"/>
                <w:sz w:val="18"/>
                <w:szCs w:val="18"/>
                <w:b w:val="1"/>
                <w:bCs w:val="1"/>
                <w:color w:val="auto"/>
              </w:rPr>
              <w:t>Change (units)</w:t>
            </w:r>
          </w:p>
        </w:tc>
      </w:tr>
      <w:tr>
        <w:trPr>
          <w:trHeight w:val="267"/>
        </w:trPr>
        <w:tc>
          <w:tcPr>
            <w:tcW w:w="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b w:val="1"/>
                <w:bCs w:val="1"/>
                <w:color w:val="auto"/>
              </w:rPr>
              <w:t>3Q14</w:t>
            </w:r>
          </w:p>
        </w:tc>
        <w:tc>
          <w:tcPr>
            <w:tcW w:w="1200" w:type="dxa"/>
            <w:vAlign w:val="bottom"/>
            <w:gridSpan w:val="2"/>
          </w:tcPr>
          <w:p>
            <w:pPr>
              <w:ind w:left="200"/>
              <w:spacing w:after="0" w:line="266" w:lineRule="exact"/>
              <w:rPr>
                <w:sz w:val="20"/>
                <w:szCs w:val="20"/>
                <w:color w:val="auto"/>
              </w:rPr>
            </w:pPr>
            <w:r>
              <w:rPr>
                <w:rFonts w:ascii="Arial" w:cs="Arial" w:eastAsia="Arial" w:hAnsi="Arial"/>
                <w:sz w:val="18"/>
                <w:szCs w:val="18"/>
                <w:b w:val="1"/>
                <w:bCs w:val="1"/>
                <w:color w:val="auto"/>
              </w:rPr>
              <w:t>2Q15</w:t>
            </w:r>
            <w:r>
              <w:rPr>
                <w:rFonts w:ascii="Arial" w:cs="Arial" w:eastAsia="Arial" w:hAnsi="Arial"/>
                <w:sz w:val="30"/>
                <w:szCs w:val="30"/>
                <w:color w:val="auto"/>
                <w:vertAlign w:val="superscript"/>
              </w:rPr>
              <w:t>(1)</w:t>
            </w:r>
          </w:p>
        </w:tc>
        <w:tc>
          <w:tcPr>
            <w:tcW w:w="1200" w:type="dxa"/>
            <w:vAlign w:val="bottom"/>
            <w:gridSpan w:val="2"/>
          </w:tcPr>
          <w:p>
            <w:pPr>
              <w:ind w:left="300"/>
              <w:spacing w:after="0"/>
              <w:rPr>
                <w:sz w:val="20"/>
                <w:szCs w:val="20"/>
                <w:color w:val="auto"/>
              </w:rPr>
            </w:pPr>
            <w:r>
              <w:rPr>
                <w:rFonts w:ascii="Arial" w:cs="Arial" w:eastAsia="Arial" w:hAnsi="Arial"/>
                <w:sz w:val="18"/>
                <w:szCs w:val="18"/>
                <w:b w:val="1"/>
                <w:bCs w:val="1"/>
                <w:color w:val="auto"/>
              </w:rPr>
              <w:t>3Q15</w:t>
            </w:r>
          </w:p>
        </w:tc>
        <w:tc>
          <w:tcPr>
            <w:tcW w:w="1160" w:type="dxa"/>
            <w:vAlign w:val="bottom"/>
            <w:gridSpan w:val="2"/>
          </w:tcPr>
          <w:p>
            <w:pPr>
              <w:ind w:left="30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2"/>
          </w:tcPr>
          <w:p>
            <w:pPr>
              <w:ind w:left="320"/>
              <w:spacing w:after="0"/>
              <w:rPr>
                <w:sz w:val="20"/>
                <w:szCs w:val="20"/>
                <w:color w:val="auto"/>
              </w:rPr>
            </w:pPr>
            <w:r>
              <w:rPr>
                <w:rFonts w:ascii="Arial" w:cs="Arial" w:eastAsia="Arial" w:hAnsi="Arial"/>
                <w:sz w:val="18"/>
                <w:szCs w:val="18"/>
                <w:b w:val="1"/>
                <w:bCs w:val="1"/>
                <w:color w:val="auto"/>
              </w:rPr>
              <w:t>YoY</w:t>
            </w:r>
          </w:p>
        </w:tc>
      </w:tr>
      <w:tr>
        <w:trPr>
          <w:trHeight w:val="210"/>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ATMs</w:t>
            </w:r>
          </w:p>
        </w:tc>
        <w:tc>
          <w:tcPr>
            <w:tcW w:w="1000" w:type="dxa"/>
            <w:vAlign w:val="bottom"/>
          </w:tcPr>
          <w:p>
            <w:pPr>
              <w:jc w:val="right"/>
              <w:spacing w:after="0"/>
              <w:rPr>
                <w:sz w:val="20"/>
                <w:szCs w:val="20"/>
                <w:color w:val="auto"/>
              </w:rPr>
            </w:pPr>
            <w:r>
              <w:rPr>
                <w:rFonts w:ascii="Arial" w:cs="Arial" w:eastAsia="Arial" w:hAnsi="Arial"/>
                <w:sz w:val="18"/>
                <w:szCs w:val="18"/>
                <w:color w:val="auto"/>
              </w:rPr>
              <w:t>2,172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Agentes BCP</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2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2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2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BCP's Network</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7,663</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7,624</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8,019</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w:t>
            </w:r>
          </w:p>
        </w:tc>
        <w:tc>
          <w:tcPr>
            <w:tcW w:w="80" w:type="dxa"/>
            <w:vAlign w:val="bottom"/>
            <w:tcBorders>
              <w:bottom w:val="single" w:sz="8" w:color="CCEEFF"/>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30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Branches</w:t>
            </w:r>
            <w:r>
              <w:rPr>
                <w:rFonts w:ascii="Arial" w:cs="Arial" w:eastAsia="Arial" w:hAnsi="Arial"/>
                <w:sz w:val="27"/>
                <w:szCs w:val="27"/>
                <w:color w:val="auto"/>
                <w:vertAlign w:val="superscript"/>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ATMs</w:t>
            </w: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Agentes Mibanco</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2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Mibanco's Network</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3,237</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Peru's Network</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10,900</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7,952</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8,338</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-2,562</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Branches</w:t>
            </w: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ATMs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Agentes BCP Bolivia</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Bolivia's Network</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Total BCP Consolidated's Network</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11,242</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8,311</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8,693</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w:t>
            </w: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-2,549</w:t>
            </w: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Mibanco 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Edyficar's branches for 3Q14 and branches with el Banco de la Nacion: 3Q14, 2Q15 and 3Q15 were 43, 38 y 38 units respectively.</w:t>
      </w:r>
    </w:p>
    <w:p>
      <w:pPr>
        <w:spacing w:after="0" w:line="200" w:lineRule="exact"/>
        <w:rPr>
          <w:sz w:val="20"/>
          <w:szCs w:val="20"/>
          <w:color w:val="auto"/>
        </w:rPr>
      </w:pPr>
    </w:p>
    <w:p>
      <w:pPr>
        <w:spacing w:after="0" w:line="220"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Transactions by Channel - BCP Stand-alone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60" w:type="dxa"/>
            <w:vAlign w:val="bottom"/>
            <w:vMerge w:val="restart"/>
          </w:tcPr>
          <w:p>
            <w:pPr>
              <w:spacing w:after="0"/>
              <w:rPr>
                <w:sz w:val="20"/>
                <w:szCs w:val="20"/>
                <w:color w:val="auto"/>
              </w:rPr>
            </w:pPr>
            <w:r>
              <w:rPr>
                <w:rFonts w:ascii="Arial" w:cs="Arial" w:eastAsia="Arial" w:hAnsi="Arial"/>
                <w:sz w:val="14"/>
                <w:szCs w:val="14"/>
                <w:b w:val="1"/>
                <w:bCs w:val="1"/>
                <w:color w:val="auto"/>
                <w:w w:val="90"/>
              </w:rPr>
              <w:t>N° of Transactions per channel</w:t>
            </w:r>
            <w:r>
              <w:rPr>
                <w:rFonts w:ascii="Arial" w:cs="Arial" w:eastAsia="Arial" w:hAnsi="Arial"/>
                <w:sz w:val="23"/>
                <w:szCs w:val="23"/>
                <w:b w:val="1"/>
                <w:bCs w:val="1"/>
                <w:color w:val="auto"/>
                <w:w w:val="90"/>
                <w:vertAlign w:val="superscript"/>
              </w:rPr>
              <w:t>(1)</w:t>
            </w:r>
          </w:p>
        </w:tc>
        <w:tc>
          <w:tcPr>
            <w:tcW w:w="100" w:type="dxa"/>
            <w:vAlign w:val="bottom"/>
            <w:vMerge w:val="restart"/>
          </w:tcPr>
          <w:p>
            <w:pPr>
              <w:spacing w:after="0"/>
              <w:rPr>
                <w:sz w:val="16"/>
                <w:szCs w:val="16"/>
                <w:color w:val="auto"/>
              </w:rPr>
            </w:pPr>
          </w:p>
        </w:tc>
        <w:tc>
          <w:tcPr>
            <w:tcW w:w="9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 xml:space="preserve">3Q14 </w:t>
            </w:r>
            <w:r>
              <w:rPr>
                <w:rFonts w:ascii="Arial" w:cs="Arial" w:eastAsia="Arial" w:hAnsi="Arial"/>
                <w:sz w:val="23"/>
                <w:szCs w:val="23"/>
                <w:b w:val="1"/>
                <w:bCs w:val="1"/>
                <w:color w:val="auto"/>
                <w:vertAlign w:val="superscript"/>
              </w:rPr>
              <w:t>(2)</w:t>
            </w:r>
          </w:p>
        </w:tc>
        <w:tc>
          <w:tcPr>
            <w:tcW w:w="2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w w:val="95"/>
              </w:rPr>
              <w:t>Monthly average in each quarter</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ind w:left="700"/>
              <w:spacing w:after="0"/>
              <w:rPr>
                <w:sz w:val="20"/>
                <w:szCs w:val="20"/>
                <w:color w:val="auto"/>
              </w:rPr>
            </w:pPr>
            <w:r>
              <w:rPr>
                <w:rFonts w:ascii="Arial" w:cs="Arial" w:eastAsia="Arial" w:hAnsi="Arial"/>
                <w:sz w:val="14"/>
                <w:szCs w:val="14"/>
                <w:b w:val="1"/>
                <w:bCs w:val="1"/>
                <w:color w:val="auto"/>
              </w:rPr>
              <w:t>% change</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2Q15</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3Q15</w:t>
            </w:r>
          </w:p>
        </w:tc>
        <w:tc>
          <w:tcPr>
            <w:tcW w:w="2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YoY</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Teller</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9,557,126</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11.2%</w:t>
            </w: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9,265,849</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10.5%</w:t>
            </w: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9,449,481</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10.1%</w:t>
            </w:r>
          </w:p>
        </w:tc>
        <w:tc>
          <w:tcPr>
            <w:tcW w:w="11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2.0%</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ATMs</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16,774,054</w:t>
            </w:r>
          </w:p>
        </w:tc>
        <w:tc>
          <w:tcPr>
            <w:tcW w:w="220" w:type="dxa"/>
            <w:vAlign w:val="bottom"/>
          </w:tcPr>
          <w:p>
            <w:pPr>
              <w:spacing w:after="0"/>
              <w:rPr>
                <w:sz w:val="12"/>
                <w:szCs w:val="12"/>
                <w:color w:val="auto"/>
              </w:rPr>
            </w:pP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18.7%</w:t>
            </w: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17,903,189</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20.3%</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19,091,701</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20.3%</w:t>
            </w: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6.6%</w:t>
            </w:r>
          </w:p>
        </w:tc>
        <w:tc>
          <w:tcPr>
            <w:tcW w:w="2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inquiries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3,764,228</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4.7%</w:t>
            </w: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2,880,307</w:t>
            </w:r>
          </w:p>
        </w:tc>
        <w:tc>
          <w:tcPr>
            <w:tcW w:w="11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3.3%</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2,620,944</w:t>
            </w:r>
          </w:p>
        </w:tc>
        <w:tc>
          <w:tcPr>
            <w:tcW w:w="11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2.8%</w:t>
            </w:r>
          </w:p>
        </w:tc>
        <w:tc>
          <w:tcPr>
            <w:tcW w:w="11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-9.0%</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Telephone banking</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1,282,950</w:t>
            </w:r>
          </w:p>
        </w:tc>
        <w:tc>
          <w:tcPr>
            <w:tcW w:w="220" w:type="dxa"/>
            <w:vAlign w:val="bottom"/>
          </w:tcPr>
          <w:p>
            <w:pPr>
              <w:spacing w:after="0"/>
              <w:rPr>
                <w:sz w:val="12"/>
                <w:szCs w:val="12"/>
                <w:color w:val="auto"/>
              </w:rPr>
            </w:pP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1.6%</w:t>
            </w: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2,544,960</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2.9%</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3,015,347</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3.2%</w:t>
            </w: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18.5%</w:t>
            </w:r>
          </w:p>
        </w:tc>
        <w:tc>
          <w:tcPr>
            <w:tcW w:w="2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135.0%</w:t>
            </w: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Internet banking Via BCP</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20,147,378</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22.5%</w:t>
            </w: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19,200,181</w:t>
            </w:r>
          </w:p>
        </w:tc>
        <w:tc>
          <w:tcPr>
            <w:tcW w:w="11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21.8%</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20,291,413</w:t>
            </w:r>
          </w:p>
        </w:tc>
        <w:tc>
          <w:tcPr>
            <w:tcW w:w="11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21.6%</w:t>
            </w:r>
          </w:p>
        </w:tc>
        <w:tc>
          <w:tcPr>
            <w:tcW w:w="11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5.7%</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Agente BCP</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15,584,243</w:t>
            </w:r>
          </w:p>
        </w:tc>
        <w:tc>
          <w:tcPr>
            <w:tcW w:w="220" w:type="dxa"/>
            <w:vAlign w:val="bottom"/>
          </w:tcPr>
          <w:p>
            <w:pPr>
              <w:spacing w:after="0"/>
              <w:rPr>
                <w:sz w:val="12"/>
                <w:szCs w:val="12"/>
                <w:color w:val="auto"/>
              </w:rPr>
            </w:pP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18.3%</w:t>
            </w: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13,256,954</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15.0%</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13,919,990</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14.8%</w:t>
            </w: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5.0%</w:t>
            </w:r>
          </w:p>
        </w:tc>
        <w:tc>
          <w:tcPr>
            <w:tcW w:w="2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Telecrédito</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7,978,804</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9.1%</w:t>
            </w: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8,041,782</w:t>
            </w:r>
          </w:p>
        </w:tc>
        <w:tc>
          <w:tcPr>
            <w:tcW w:w="11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9.1%</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8,571,956</w:t>
            </w:r>
          </w:p>
        </w:tc>
        <w:tc>
          <w:tcPr>
            <w:tcW w:w="11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9.1%</w:t>
            </w:r>
          </w:p>
        </w:tc>
        <w:tc>
          <w:tcPr>
            <w:tcW w:w="11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6.6%</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Mobile banking</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3,544,108</w:t>
            </w:r>
          </w:p>
        </w:tc>
        <w:tc>
          <w:tcPr>
            <w:tcW w:w="220" w:type="dxa"/>
            <w:vAlign w:val="bottom"/>
          </w:tcPr>
          <w:p>
            <w:pPr>
              <w:spacing w:after="0"/>
              <w:rPr>
                <w:sz w:val="12"/>
                <w:szCs w:val="12"/>
                <w:color w:val="auto"/>
              </w:rPr>
            </w:pP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3.4%</w:t>
            </w: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5,954,819</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6.7%</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7,184,904</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7.6%</w:t>
            </w: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20.7%</w:t>
            </w:r>
          </w:p>
        </w:tc>
        <w:tc>
          <w:tcPr>
            <w:tcW w:w="2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 debit</w:t>
            </w: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765,978</w:t>
            </w:r>
          </w:p>
        </w:tc>
        <w:tc>
          <w:tcPr>
            <w:tcW w:w="11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0.9%</w:t>
            </w: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757,648</w:t>
            </w:r>
          </w:p>
        </w:tc>
        <w:tc>
          <w:tcPr>
            <w:tcW w:w="11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0.9%</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776,034</w:t>
            </w:r>
          </w:p>
        </w:tc>
        <w:tc>
          <w:tcPr>
            <w:tcW w:w="11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0.8%</w:t>
            </w:r>
          </w:p>
        </w:tc>
        <w:tc>
          <w:tcPr>
            <w:tcW w:w="11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2.4%</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Points of sale P.O.S.</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8,004,773</w:t>
            </w:r>
          </w:p>
        </w:tc>
        <w:tc>
          <w:tcPr>
            <w:tcW w:w="220" w:type="dxa"/>
            <w:vAlign w:val="bottom"/>
          </w:tcPr>
          <w:p>
            <w:pPr>
              <w:spacing w:after="0"/>
              <w:rPr>
                <w:sz w:val="12"/>
                <w:szCs w:val="12"/>
                <w:color w:val="auto"/>
              </w:rPr>
            </w:pP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9.2%</w:t>
            </w: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8,231,483</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9.3%</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8,858,872</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9.4%</w:t>
            </w: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7.6%</w:t>
            </w:r>
          </w:p>
        </w:tc>
        <w:tc>
          <w:tcPr>
            <w:tcW w:w="2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62"/>
        </w:trPr>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ATMs network</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246,830</w:t>
            </w:r>
          </w:p>
        </w:tc>
        <w:tc>
          <w:tcPr>
            <w:tcW w:w="11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218,502</w:t>
            </w:r>
          </w:p>
        </w:tc>
        <w:tc>
          <w:tcPr>
            <w:tcW w:w="11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226,427</w:t>
            </w:r>
          </w:p>
        </w:tc>
        <w:tc>
          <w:tcPr>
            <w:tcW w:w="11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11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3.6%</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2"/>
        </w:trPr>
        <w:tc>
          <w:tcPr>
            <w:tcW w:w="2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transactions</w:t>
            </w: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87,650,473</w:t>
            </w:r>
          </w:p>
        </w:tc>
        <w:tc>
          <w:tcPr>
            <w:tcW w:w="22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88,255,676</w:t>
            </w:r>
          </w:p>
        </w:tc>
        <w:tc>
          <w:tcPr>
            <w:tcW w:w="20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94,007,069</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6.5</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7.3</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Figures include monetary and non-monetary transactions.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monthly average of transactions increased +6.5% QoQ, which was due mainly to a QoQ increase in transactions through channels that are cost efficient, such as:</w:t>
      </w:r>
    </w:p>
    <w:p>
      <w:pPr>
        <w:spacing w:after="0" w:line="170" w:lineRule="exact"/>
        <w:rPr>
          <w:sz w:val="20"/>
          <w:szCs w:val="20"/>
          <w:color w:val="auto"/>
        </w:rPr>
      </w:pPr>
    </w:p>
    <w:p>
      <w:pPr>
        <w:ind w:left="980" w:hanging="648"/>
        <w:spacing w:after="0" w:line="258"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Mobile Banking (+20.7% QoQ), which continued to increase its share of total transactions through its mobile applications (“BCP Mobile Banking” and “Your BCP Benefits”);</w:t>
      </w:r>
    </w:p>
    <w:p>
      <w:pPr>
        <w:spacing w:after="0" w:line="1" w:lineRule="exact"/>
        <w:rPr>
          <w:rFonts w:ascii="Arial" w:cs="Arial" w:eastAsia="Arial" w:hAnsi="Arial"/>
          <w:sz w:val="18"/>
          <w:szCs w:val="18"/>
          <w:color w:val="auto"/>
        </w:rPr>
      </w:pPr>
    </w:p>
    <w:p>
      <w:pPr>
        <w:ind w:left="980" w:hanging="648"/>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ATMs (+6.6% QoQ), which was in line with the increase in the access points all over the country;</w:t>
      </w:r>
    </w:p>
    <w:p>
      <w:pPr>
        <w:spacing w:after="0" w:line="9" w:lineRule="exact"/>
        <w:rPr>
          <w:rFonts w:ascii="Arial" w:cs="Arial" w:eastAsia="Arial" w:hAnsi="Arial"/>
          <w:sz w:val="18"/>
          <w:szCs w:val="18"/>
          <w:color w:val="auto"/>
        </w:rPr>
      </w:pPr>
    </w:p>
    <w:p>
      <w:pPr>
        <w:ind w:left="980" w:hanging="648"/>
        <w:spacing w:after="0" w:line="261"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Internet Banking (+5.7% QoQ) due to improvements in ViaBCP’s web page and to different campaigns (“Go to BCP without going to BCP”) to promote the use of alternative channels.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only channel that reported a decrease in the number of transactions was Balance Inquiries (-9.0% QoQ) given that clients are now using virtual channels more to check their accounts.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the monthly average of transactions increased +7.3% YoY, which was due primarily to an increase in the transaction volumes registered in: Mobile Banking, ATMs and Telephone Banking. On the contrary, a drop was posted in the use of Agentes BCP, Balance Inquiries and Tellers, which is proof that the bank’s strategy to migrate to more efficient channels is bearing fruit.</w:t>
      </w:r>
    </w:p>
    <w:p>
      <w:pPr>
        <w:spacing w:after="0" w:line="390"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ind w:right="9520" w:firstLine="8"/>
        <w:spacing w:after="0" w:line="566" w:lineRule="auto"/>
        <w:tabs>
          <w:tab w:leader="none" w:pos="500"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Economic outlook Economic activity</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2015, growth will more than likely situate at 2.5% - 3.0% depending on whether there is a second fishing season in 4Q15 and if public investment is able to post its first expansion after six consecutive quarters of decline. In the first three quarters of the year, public investment fell about 20% causing GDP growth to fall by one percentage point.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Next year is expected to be the fifth consecutive year to post a decline in terms of trade and the third year running to register a contraction in private investment. Nonetheless, next year the economy is expected to grow around 3.2%, mainly due to operations start-up at Las Bambas (Apurimac) and expansion at Cerro Verde (Arequipa), which will increase copper production 20% next year. In this scenario, approximately one percentage point of growth will be attributable to mining.</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evolution of domestic demand is expected to be similar to the average observed in 2014-2015. Our baseline scenario for the next year assumes an El Niño phenomenon (ENSO) of moderate intensity; nonetheless an extraordinary ENSO, with similar impacts to the one in 1998, could reduce GDP growth from 3.2% to 1.2% in 2016.</w:t>
      </w:r>
    </w:p>
    <w:p>
      <w:pPr>
        <w:spacing w:after="0" w:line="177" w:lineRule="exact"/>
        <w:rPr>
          <w:sz w:val="20"/>
          <w:szCs w:val="20"/>
          <w:color w:val="auto"/>
        </w:rPr>
      </w:pPr>
    </w:p>
    <w:p>
      <w:pPr>
        <w:ind w:left="2020"/>
        <w:spacing w:after="0"/>
        <w:tabs>
          <w:tab w:leader="none" w:pos="7820" w:val="left"/>
        </w:tabs>
        <w:rPr>
          <w:sz w:val="20"/>
          <w:szCs w:val="20"/>
          <w:color w:val="auto"/>
        </w:rPr>
      </w:pPr>
      <w:r>
        <w:rPr>
          <w:rFonts w:ascii="Arial" w:cs="Arial" w:eastAsia="Arial" w:hAnsi="Arial"/>
          <w:sz w:val="18"/>
          <w:szCs w:val="18"/>
          <w:b w:val="1"/>
          <w:bCs w:val="1"/>
          <w:color w:val="auto"/>
        </w:rPr>
        <w:t>GDP (% change YoY)</w:t>
      </w:r>
      <w:r>
        <w:rPr>
          <w:sz w:val="20"/>
          <w:szCs w:val="20"/>
          <w:color w:val="auto"/>
        </w:rPr>
        <w:tab/>
      </w:r>
      <w:r>
        <w:rPr>
          <w:rFonts w:ascii="Arial" w:cs="Arial" w:eastAsia="Arial" w:hAnsi="Arial"/>
          <w:sz w:val="16"/>
          <w:szCs w:val="16"/>
          <w:color w:val="auto"/>
        </w:rPr>
        <w:t>G</w:t>
      </w:r>
      <w:r>
        <w:rPr>
          <w:rFonts w:ascii="Arial" w:cs="Arial" w:eastAsia="Arial" w:hAnsi="Arial"/>
          <w:sz w:val="16"/>
          <w:szCs w:val="16"/>
          <w:b w:val="1"/>
          <w:bCs w:val="1"/>
          <w:color w:val="auto"/>
        </w:rPr>
        <w:t>DP (% change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154940</wp:posOffset>
            </wp:positionV>
            <wp:extent cx="6260465" cy="19037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6046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and non-primary sectors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3Q15, the primary sectors more than likely grew 5.2% YoY, which falls below the figure registered in 2Q15 (7.4%). These results will be attributable to a contraction in the fishing sector (-33%) which will be due to a decrease in anchovy captures (Jul/Aug-15: -67%), and to a decline in primary manufacturing (-3.6%). In 4Q15, the primary sectors are expected to moderate their pace and growth is expected to situate at 5.0% YoY. A drop in gold production and the sharp decline expected in oil production will be the factors that explain the slowdown.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2015, the primary sectors will grow 4.9% YoY, after falling 2.7% in 2014, and will contribute 1 percentage point (pp). to GDP growth. It is estimated that copper production will climb around 15% this year.</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2016, the primary GDP is expected to expand around 4.2%. The slower pace of growth, compared to 2015, will be attributable to the fact that zero growth is expected in the agricultural sector (0.4%) while the fishing sector is expected to register a decline (-8.4%), due to the El Niño Phenomenon.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Non-primary sectors will more than likely grow 2.4% in 3Q15, which is somewhat higher than the figure posted in 2Q15 (2.0%). This will be attributable to:</w:t>
      </w:r>
    </w:p>
    <w:p>
      <w:pPr>
        <w:spacing w:after="0" w:line="46" w:lineRule="exact"/>
        <w:rPr>
          <w:sz w:val="20"/>
          <w:szCs w:val="20"/>
          <w:color w:val="auto"/>
        </w:rPr>
      </w:pPr>
    </w:p>
    <w:p>
      <w:pPr>
        <w:ind w:firstLine="8"/>
        <w:spacing w:after="0" w:line="261" w:lineRule="auto"/>
        <w:tabs>
          <w:tab w:leader="none" w:pos="2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increase in electricity production (around 6.1%) due to higher demand from mining and manufacturing, and (ii) a slight decline in non-primary manufacturing (-0.3%).</w:t>
      </w:r>
    </w:p>
    <w:p>
      <w:pPr>
        <w:spacing w:after="0" w:line="393"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jc w:val="both"/>
        <w:spacing w:after="0" w:line="264" w:lineRule="auto"/>
        <w:rPr>
          <w:sz w:val="20"/>
          <w:szCs w:val="20"/>
          <w:color w:val="auto"/>
        </w:rPr>
      </w:pPr>
      <w:r>
        <w:rPr>
          <w:rFonts w:ascii="Arial" w:cs="Arial" w:eastAsia="Arial" w:hAnsi="Arial"/>
          <w:sz w:val="18"/>
          <w:szCs w:val="18"/>
          <w:color w:val="auto"/>
        </w:rPr>
        <w:t>In 4Q15, the non-primary sectors are expected to grow 2.8% (the best quarter of the year) and a smaller decline is expected in the construction sector (-2.3%), which will, nonetheless, depend on the evolution of public investment. Thus, the non-primary sectors are expected to advance 2.3% in 2015, which will be the lowest growth since 2009.</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2016, the non-primary sectors will more than likely grow 3.0%. Greater dynamism will be due to a slight recovery in the construction sector (0.6%) and an increase in electricity production (6.6%). An improvement in the construction sector will be due to 8% (approximate) growth in infrastructure investment (Line 2 of the Lima´s Metro, Southern Peruvian Gas Pipeline, among others) and recovery in public investment.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Primary and non-primary GDP (% change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154940</wp:posOffset>
            </wp:positionV>
            <wp:extent cx="2967355" cy="18954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6735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adjusted our forecast upwards this year from 3.5 to 4.2 %. We estimate that just over 1pp. of the increase in prices during the year will be due to the effect of exchange rate depreciation. Inflation should moderate next year, closing at a rate of about 3.5%, but with upside risk. The rate of increase in prices should remain steady during the first half of the year and then cede gradually in 2H16 as far as weather anomalies generated by ENSO dissipate.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Inflation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154940</wp:posOffset>
            </wp:positionV>
            <wp:extent cx="3687445" cy="21183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87445"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Monetary Policy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Central Bank (BCRP) is expected to gradually raise the reference rate from its current level (3.5%) to 4.0% between now and July 2016 in a context where inflation expectations are in the upper limit of the target range. If misaligned expectations continue, the BCRP is expected to raise its rate to 4.25 % before the end of next year.</w:t>
      </w:r>
    </w:p>
    <w:p>
      <w:pPr>
        <w:spacing w:after="0" w:line="390"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Monetary policy rate and inflation expectations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154940</wp:posOffset>
            </wp:positionV>
            <wp:extent cx="3515995" cy="19037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1599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accounts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our forecast of a fiscal deficit of around 2% by the end of this year. In this context, the deficit will register a decline of 1.7pp. year-on-year, of which 0.7pp will be attributable to tax cuts enacted at the end of last year. For 2016, we estimate a fiscal deficit of around 2.5% of GDP given that a change in the National Government may lead to an under-execution of spending in the latter part of the year. Hence, the fiscal deficit would be situated somewhat below the one expected by the government (3% of GDP).</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investment contribution to GDP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154940</wp:posOffset>
            </wp:positionV>
            <wp:extent cx="3284855" cy="1783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8485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accounts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revising our projection for the current account deficit for this year downward from 4.2% to 3.3% of GDP due to a larger decline in imports, which was attributable to even weaker investment and a more rapid decline in investment income. Although copper production will increase about 20% next year, exports in 2016 and the current account deficit are expected to be similar to those posted in 2015, due to the decline expected in metals prices and lower fish exports because of El Niño.</w:t>
      </w:r>
    </w:p>
    <w:p>
      <w:pPr>
        <w:spacing w:after="0" w:line="399"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Current account balance (% of GDP)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154940</wp:posOffset>
            </wp:positionV>
            <wp:extent cx="3378835" cy="19037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7883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maintain our estimate that the exchange rate will be situated at USDPEN 3.25 – 3.30 at the end of 2015. Year to date, the Central Bank has sold US$ 6,933 million in the spot market, which tops the sales recorded in 2014 (US$ 4,228 Millions). Despite this, the Central Bank has one of the highest levels of international reserves in the region, which will position it to effectively handle episodes of volatility in the market.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2016, the exchange rate is expected to close between USDPEN 3.40 - 3.45. The pace of depreciation during the year will more than likely slow down given that the impact of the factors associated with the weakening of the local currency in recent years are expected to attenuate. Hence, we expect: (i) a lower rate of conversion of deposits and other stocks to USD; (ii) the current account deficit to situated at a level similar to that of 2015; (iii) the price of copper to hold at levels similar to those seen currently and (iv) a shorter interest rate spread given that the Central Bank is expected to increase its reference rate at a faster pace than the Fed’s increase in 1H16.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Multilateral real exchange rate index - MRERI (2009=100)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154940</wp:posOffset>
            </wp:positionV>
            <wp:extent cx="3524885" cy="1783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2488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International reserves indicators</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Peru</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2010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2011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2013</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2015/E</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2016/E</w:t>
            </w: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GDP (US$ Millions)</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148,666</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170,759</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192,982</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201,752</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200,772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192,812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Real GDP (% change YoY)</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 Demand (% change YoY)</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Total Consumption (% change YoY)</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3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Investment/GDP</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r>
      <w:tr>
        <w:trPr>
          <w:trHeight w:val="210"/>
        </w:trPr>
        <w:tc>
          <w:tcPr>
            <w:tcW w:w="3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Inflation Rate</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8"/>
                <w:szCs w:val="18"/>
                <w:color w:val="auto"/>
              </w:rPr>
            </w:pPr>
          </w:p>
        </w:tc>
      </w:tr>
      <w:tr>
        <w:trPr>
          <w:trHeight w:val="21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Reference Rate (eop)</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Exchange Rate, eop</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2.81</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2.70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2.98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3.25-3.30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3.40-3.45</w:t>
            </w:r>
          </w:p>
        </w:tc>
      </w:tr>
      <w:tr>
        <w:trPr>
          <w:trHeight w:val="23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average</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r>
      <w:tr>
        <w:trPr>
          <w:trHeight w:val="210"/>
        </w:trPr>
        <w:tc>
          <w:tcPr>
            <w:tcW w:w="3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Fiscal Balance (% of GDP)</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8"/>
                <w:szCs w:val="18"/>
                <w:color w:val="auto"/>
              </w:rPr>
            </w:pPr>
          </w:p>
        </w:tc>
      </w:tr>
      <w:tr>
        <w:trPr>
          <w:trHeight w:val="21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Balance (US$ Million)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00" w:type="dxa"/>
            <w:vAlign w:val="bottom"/>
            <w:shd w:val="clear" w:color="auto" w:fill="CCEEFF"/>
          </w:tcPr>
          <w:p>
            <w:pPr>
              <w:spacing w:after="0"/>
              <w:rPr>
                <w:sz w:val="18"/>
                <w:szCs w:val="18"/>
                <w:color w:val="auto"/>
              </w:rPr>
            </w:pPr>
          </w:p>
        </w:tc>
      </w:tr>
      <w:tr>
        <w:trPr>
          <w:trHeight w:val="216"/>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Exports</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35,803</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46,376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47,411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42,861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39,533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33,722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33,663</w:t>
            </w:r>
          </w:p>
        </w:tc>
      </w:tr>
      <w:tr>
        <w:trPr>
          <w:trHeight w:val="21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Imports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28,815</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37,152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41,135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42,248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40,809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36,229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36,906</w:t>
            </w: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Current Account Balance</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-3,545</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-3,177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-5,237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-8,474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-8,031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-6,355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-6,280</w:t>
            </w:r>
          </w:p>
        </w:tc>
      </w:tr>
      <w:tr>
        <w:trPr>
          <w:trHeight w:val="21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 a % of GDP)</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International Reserves (USD MM)</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44,105</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48,816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63,991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65,663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62,308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60,552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58,421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0</wp:posOffset>
            </wp:positionV>
            <wp:extent cx="49225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Source: INEI, BCR, BCP/Credicorp Capital. F/ Forecasts under available information</w:t>
      </w:r>
    </w:p>
    <w:p>
      <w:pPr>
        <w:spacing w:after="0" w:line="200" w:lineRule="exact"/>
        <w:rPr>
          <w:sz w:val="20"/>
          <w:szCs w:val="20"/>
          <w:color w:val="auto"/>
        </w:rPr>
      </w:pPr>
    </w:p>
    <w:p>
      <w:pPr>
        <w:spacing w:after="0" w:line="233"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0"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spacing w:after="0" w:line="47"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Appendix</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BCP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3Q14</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2Q15</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3Q15</w:t>
            </w:r>
          </w:p>
        </w:tc>
        <w:tc>
          <w:tcPr>
            <w:tcW w:w="190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23,523,820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27,971,752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30,786,855</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30.9%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Cash and BCRP </w:t>
            </w:r>
            <w:r>
              <w:rPr>
                <w:rFonts w:ascii="Arial" w:cs="Arial" w:eastAsia="Arial" w:hAnsi="Arial"/>
                <w:sz w:val="29"/>
                <w:szCs w:val="29"/>
                <w:color w:val="auto"/>
                <w:vertAlign w:val="superscript"/>
              </w:rPr>
              <w:t>(1)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18,797,146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24,818,711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28,343,697</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Deposits in other banks </w:t>
            </w:r>
            <w:r>
              <w:rPr>
                <w:rFonts w:ascii="Arial" w:cs="Arial" w:eastAsia="Arial" w:hAnsi="Arial"/>
                <w:sz w:val="29"/>
                <w:szCs w:val="29"/>
                <w:color w:val="auto"/>
                <w:vertAlign w:val="superscript"/>
              </w:rPr>
              <w:t>(1)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4,286,929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3,151,401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2,381,180</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-24.4%</w:t>
            </w:r>
          </w:p>
        </w:tc>
        <w:tc>
          <w:tcPr>
            <w:tcW w:w="36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Interbanks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435,939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59,332</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3,806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1,613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2,646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64.0%</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Trading securities, net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2,460,868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1,566,051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1,956,192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Loans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73,636,007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81,477,245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86,092,146</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71,675,541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79,203,919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83,837,821</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Past due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1,960,466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2,273,326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2,254,325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 net provisions for possible loan losses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(3,167,014)</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(3,621,117)</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(3,673,609)</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Loans, net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70,468,993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77,856,128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82,418,537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9,336,182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7,768,324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9,286,648</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held to maturiy</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2,122,790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2,970,259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3,161,475</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1,547,011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1,746,215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1,724,844</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from customers acceptances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175,687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151,952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201,357</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4,165,531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4,105,467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4,439,784</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w:t>
            </w:r>
          </w:p>
        </w:tc>
        <w:tc>
          <w:tcPr>
            <w:tcW w:w="3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Total assets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113,800,882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124,136,148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133,975,692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rPr>
              <w:t>LIABILITIES AND NET SHAREHOLDERS'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70,820,125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76,540,620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82,211,845</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7.4%</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Demand deposits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22,766,750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26,574,657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25,464,114</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Saving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19,965,805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21,995,366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22,795,579</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21,466,868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20,576,575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27,171,597</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Severance indemnity deposits (CTS)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6,390,609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7,173,252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6,535,695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payable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230,093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220,770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244,860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BCRP instruments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4,980,531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10,012,756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11,863,340</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12,890,796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10,583,720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11,037,594</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Bonds and subordinated debt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12,644,297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13,522,815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14,093,864</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175,687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151,952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201,357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2,605,866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2,415,437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3,046,093</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26.1%</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Total liabilities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104,117,302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113,227,300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122,454,093</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shareholders' equity</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9,513,534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10,755,017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11,362,177</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4,429,372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5,560,671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5,560,671</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2,542,915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2,939,038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2,939,044</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Unrealized gains and losses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413,285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103,893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35,369</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-66.0%</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631,001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672,147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672,147</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Income for the year</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1,496,961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1,479,268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2,154,946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45.7%</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170,046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153,831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159,422</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Total equity</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9,683,580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10,908,848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11,521,599</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Total liabilities and total equity</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113,800,882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124,136,148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133,975,692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Off-balance sheet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52,342,183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59,199,912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62,114,812</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Figures differ from those previously reported. The correct figures are published on this report.</w:t>
      </w:r>
    </w:p>
    <w:p>
      <w:pPr>
        <w:spacing w:after="0" w:line="7" w:lineRule="exact"/>
        <w:rPr>
          <w:rFonts w:ascii="Arial" w:cs="Arial" w:eastAsia="Arial" w:hAnsi="Arial"/>
          <w:sz w:val="18"/>
          <w:szCs w:val="18"/>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200" w:lineRule="exact"/>
        <w:rPr>
          <w:sz w:val="20"/>
          <w:szCs w:val="20"/>
          <w:color w:val="auto"/>
        </w:rPr>
      </w:pPr>
    </w:p>
    <w:p>
      <w:pPr>
        <w:spacing w:after="0" w:line="220"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p>
    <w:p>
      <w:pPr>
        <w:sectPr>
          <w:pgSz w:w="11900" w:h="16886" w:orient="portrait"/>
          <w:cols w:equalWidth="0" w:num="1">
            <w:col w:w="11420"/>
          </w:cols>
          <w:pgMar w:left="240" w:top="905" w:right="239" w:bottom="0" w:gutter="0" w:footer="0" w:header="0"/>
        </w:sectPr>
      </w:pPr>
    </w:p>
    <w:bookmarkStart w:id="51" w:name="page52"/>
    <w:bookmarkEnd w:id="5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ind w:left="720"/>
              <w:spacing w:after="0"/>
              <w:rPr>
                <w:sz w:val="20"/>
                <w:szCs w:val="20"/>
                <w:color w:val="auto"/>
              </w:rPr>
            </w:pPr>
            <w:r>
              <w:rPr>
                <w:rFonts w:ascii="Arial" w:cs="Arial" w:eastAsia="Arial" w:hAnsi="Arial"/>
                <w:sz w:val="14"/>
                <w:szCs w:val="14"/>
                <w:b w:val="1"/>
                <w:bCs w:val="1"/>
                <w:color w:val="auto"/>
              </w:rPr>
              <w:t>% change</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ind w:left="960"/>
              <w:spacing w:after="0"/>
              <w:rPr>
                <w:sz w:val="20"/>
                <w:szCs w:val="20"/>
                <w:color w:val="auto"/>
              </w:rPr>
            </w:pPr>
            <w:r>
              <w:rPr>
                <w:rFonts w:ascii="Arial" w:cs="Arial" w:eastAsia="Arial" w:hAnsi="Arial"/>
                <w:sz w:val="14"/>
                <w:szCs w:val="14"/>
                <w:b w:val="1"/>
                <w:bCs w:val="1"/>
                <w:color w:val="auto"/>
              </w:rPr>
              <w:t>YTD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3Q14</w:t>
            </w: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2Q15</w:t>
            </w: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3Q15</w:t>
            </w:r>
          </w:p>
        </w:tc>
        <w:tc>
          <w:tcPr>
            <w:tcW w:w="1400" w:type="dxa"/>
            <w:vAlign w:val="bottom"/>
            <w:gridSpan w:val="3"/>
          </w:tcPr>
          <w:p>
            <w:pPr>
              <w:ind w:left="300"/>
              <w:spacing w:after="0"/>
              <w:rPr>
                <w:sz w:val="20"/>
                <w:szCs w:val="20"/>
                <w:color w:val="auto"/>
              </w:rPr>
            </w:pPr>
            <w:r>
              <w:rPr>
                <w:rFonts w:ascii="Arial" w:cs="Arial" w:eastAsia="Arial" w:hAnsi="Arial"/>
                <w:sz w:val="14"/>
                <w:szCs w:val="14"/>
                <w:b w:val="1"/>
                <w:bCs w:val="1"/>
                <w:color w:val="auto"/>
              </w:rPr>
              <w:t>QoQ</w:t>
            </w: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YoY</w:t>
            </w:r>
          </w:p>
        </w:tc>
        <w:tc>
          <w:tcPr>
            <w:tcW w:w="1400" w:type="dxa"/>
            <w:vAlign w:val="bottom"/>
            <w:gridSpan w:val="3"/>
          </w:tcPr>
          <w:p>
            <w:pPr>
              <w:ind w:left="300"/>
              <w:spacing w:after="0"/>
              <w:rPr>
                <w:sz w:val="20"/>
                <w:szCs w:val="20"/>
                <w:color w:val="auto"/>
              </w:rPr>
            </w:pPr>
            <w:r>
              <w:rPr>
                <w:rFonts w:ascii="Arial" w:cs="Arial" w:eastAsia="Arial" w:hAnsi="Arial"/>
                <w:sz w:val="14"/>
                <w:szCs w:val="14"/>
                <w:b w:val="1"/>
                <w:bCs w:val="1"/>
                <w:color w:val="auto"/>
              </w:rPr>
              <w:t>Sep 14</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 15</w:t>
            </w:r>
          </w:p>
        </w:tc>
        <w:tc>
          <w:tcPr>
            <w:tcW w:w="1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Sep 15 / Sep 14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8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Interest income and</w:t>
            </w:r>
          </w:p>
        </w:tc>
        <w:tc>
          <w:tcPr>
            <w:tcW w:w="10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expense</w:t>
            </w: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tcPr>
          <w:p>
            <w:pPr>
              <w:ind w:left="160"/>
              <w:spacing w:after="0" w:line="130" w:lineRule="exact"/>
              <w:rPr>
                <w:sz w:val="20"/>
                <w:szCs w:val="20"/>
                <w:color w:val="auto"/>
              </w:rPr>
            </w:pPr>
            <w:r>
              <w:rPr>
                <w:rFonts w:ascii="Arial" w:cs="Arial" w:eastAsia="Arial" w:hAnsi="Arial"/>
                <w:sz w:val="14"/>
                <w:szCs w:val="14"/>
                <w:color w:val="auto"/>
              </w:rPr>
              <w:t>Interest and dividend</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60"/>
              <w:spacing w:after="0"/>
              <w:rPr>
                <w:sz w:val="20"/>
                <w:szCs w:val="20"/>
                <w:color w:val="auto"/>
              </w:rPr>
            </w:pPr>
            <w:r>
              <w:rPr>
                <w:rFonts w:ascii="Arial" w:cs="Arial" w:eastAsia="Arial" w:hAnsi="Arial"/>
                <w:sz w:val="14"/>
                <w:szCs w:val="14"/>
                <w:color w:val="auto"/>
              </w:rPr>
              <w:t>income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2,110,370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2,273,121</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2,356,807</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3.7%</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11.7%</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5,881,967</w:t>
            </w:r>
          </w:p>
        </w:tc>
        <w:tc>
          <w:tcPr>
            <w:tcW w:w="1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6,850,863</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(522,412)</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(580,132)</w:t>
            </w: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(610,606)</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16.9%</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(1,495,550)</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(1,743,743)</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1,587,958</w:t>
            </w:r>
          </w:p>
        </w:tc>
        <w:tc>
          <w:tcPr>
            <w:tcW w:w="24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1,692,989</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1,746,201</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3.1%</w:t>
            </w:r>
          </w:p>
        </w:tc>
        <w:tc>
          <w:tcPr>
            <w:tcW w:w="2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10.0%</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4,386,417</w:t>
            </w:r>
          </w:p>
        </w:tc>
        <w:tc>
          <w:tcPr>
            <w:tcW w:w="1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5,107,120</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16.4%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820" w:type="dxa"/>
            <w:vAlign w:val="bottom"/>
          </w:tcPr>
          <w:p>
            <w:pPr>
              <w:spacing w:after="0" w:line="126" w:lineRule="exact"/>
              <w:rPr>
                <w:sz w:val="20"/>
                <w:szCs w:val="20"/>
                <w:color w:val="auto"/>
              </w:rPr>
            </w:pPr>
            <w:r>
              <w:rPr>
                <w:rFonts w:ascii="Arial" w:cs="Arial" w:eastAsia="Arial" w:hAnsi="Arial"/>
                <w:sz w:val="14"/>
                <w:szCs w:val="14"/>
                <w:b w:val="1"/>
                <w:bCs w:val="1"/>
                <w:color w:val="auto"/>
              </w:rPr>
              <w:t>Net provision for loan</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(433,343)</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(433,521)</w:t>
            </w: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(445,362)</w:t>
            </w: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2.8%</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(1,279,399)</w:t>
            </w:r>
          </w:p>
        </w:tc>
        <w:tc>
          <w:tcPr>
            <w:tcW w:w="180" w:type="dxa"/>
            <w:vAlign w:val="bottom"/>
          </w:tcPr>
          <w:p>
            <w:pPr>
              <w:spacing w:after="0"/>
              <w:rPr>
                <w:sz w:val="10"/>
                <w:szCs w:val="10"/>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(1,381,048)</w:t>
            </w: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7.9%</w:t>
            </w:r>
          </w:p>
        </w:tc>
        <w:tc>
          <w:tcPr>
            <w:tcW w:w="0" w:type="dxa"/>
            <w:vAlign w:val="bottom"/>
          </w:tcPr>
          <w:p>
            <w:pPr>
              <w:spacing w:after="0"/>
              <w:rPr>
                <w:sz w:val="1"/>
                <w:szCs w:val="1"/>
                <w:color w:val="auto"/>
              </w:rPr>
            </w:pPr>
          </w:p>
        </w:tc>
      </w:tr>
      <w:tr>
        <w:trPr>
          <w:trHeight w:val="171"/>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losses</w:t>
            </w:r>
          </w:p>
        </w:tc>
        <w:tc>
          <w:tcPr>
            <w:tcW w:w="12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Fee income</w:t>
            </w: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484,541</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529,926</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551,137</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13.7%</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1,434,534</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1,594,069</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tcPr>
          <w:p>
            <w:pPr>
              <w:ind w:left="160"/>
              <w:spacing w:after="0" w:line="130" w:lineRule="exact"/>
              <w:rPr>
                <w:sz w:val="20"/>
                <w:szCs w:val="20"/>
                <w:color w:val="auto"/>
              </w:rPr>
            </w:pPr>
            <w:r>
              <w:rPr>
                <w:rFonts w:ascii="Arial" w:cs="Arial" w:eastAsia="Arial" w:hAnsi="Arial"/>
                <w:sz w:val="14"/>
                <w:szCs w:val="14"/>
                <w:color w:val="auto"/>
              </w:rPr>
              <w:t>Net gain on foreign</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60"/>
              <w:spacing w:after="0"/>
              <w:rPr>
                <w:sz w:val="20"/>
                <w:szCs w:val="20"/>
                <w:color w:val="auto"/>
              </w:rPr>
            </w:pPr>
            <w:r>
              <w:rPr>
                <w:rFonts w:ascii="Arial" w:cs="Arial" w:eastAsia="Arial" w:hAnsi="Arial"/>
                <w:sz w:val="14"/>
                <w:szCs w:val="14"/>
                <w:color w:val="auto"/>
              </w:rPr>
              <w:t>exchange transactions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156,641</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166,294</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187,597</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12.8%</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19.8%</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419,175</w:t>
            </w:r>
          </w:p>
        </w:tc>
        <w:tc>
          <w:tcPr>
            <w:tcW w:w="1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541,457</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Net gain on sales of</w:t>
            </w: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securities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35,055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5,215</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(16,487)</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-416.1%</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-147.0%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51,125</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398,547</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12,581</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17,459</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7,574</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-56.6%</w:t>
            </w:r>
          </w:p>
        </w:tc>
        <w:tc>
          <w:tcPr>
            <w:tcW w:w="2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-39.8%</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37,223</w:t>
            </w:r>
          </w:p>
        </w:tc>
        <w:tc>
          <w:tcPr>
            <w:tcW w:w="1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45,194</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20" w:type="dxa"/>
            <w:vAlign w:val="bottom"/>
            <w:shd w:val="clear" w:color="auto" w:fill="CCEEFF"/>
          </w:tcPr>
          <w:p>
            <w:pPr>
              <w:ind w:left="160"/>
              <w:spacing w:after="0" w:line="126" w:lineRule="exact"/>
              <w:rPr>
                <w:sz w:val="20"/>
                <w:szCs w:val="20"/>
                <w:color w:val="auto"/>
              </w:rPr>
            </w:pPr>
            <w:r>
              <w:rPr>
                <w:rFonts w:ascii="Arial" w:cs="Arial" w:eastAsia="Arial" w:hAnsi="Arial"/>
                <w:sz w:val="14"/>
                <w:szCs w:val="14"/>
                <w:b w:val="1"/>
                <w:bCs w:val="1"/>
                <w:color w:val="auto"/>
              </w:rPr>
              <w:t>Total non financial</w:t>
            </w: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688,818</w:t>
            </w: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718,894</w:t>
            </w: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729,821</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1.5%</w:t>
            </w:r>
          </w:p>
        </w:tc>
        <w:tc>
          <w:tcPr>
            <w:tcW w:w="2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6.0%</w:t>
            </w: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1,942,057</w:t>
            </w:r>
          </w:p>
        </w:tc>
        <w:tc>
          <w:tcPr>
            <w:tcW w:w="1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2,579,267</w:t>
            </w:r>
          </w:p>
        </w:tc>
        <w:tc>
          <w:tcPr>
            <w:tcW w:w="11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income, net</w:t>
            </w:r>
          </w:p>
        </w:tc>
        <w:tc>
          <w:tcPr>
            <w:tcW w:w="1280" w:type="dxa"/>
            <w:vAlign w:val="bottom"/>
            <w:gridSpan w:val="2"/>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1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tcPr>
          <w:p>
            <w:pPr>
              <w:ind w:left="160"/>
              <w:spacing w:after="0" w:line="130" w:lineRule="exact"/>
              <w:rPr>
                <w:sz w:val="20"/>
                <w:szCs w:val="20"/>
                <w:color w:val="auto"/>
              </w:rPr>
            </w:pPr>
            <w:r>
              <w:rPr>
                <w:rFonts w:ascii="Arial" w:cs="Arial" w:eastAsia="Arial" w:hAnsi="Arial"/>
                <w:sz w:val="14"/>
                <w:szCs w:val="14"/>
                <w:color w:val="auto"/>
              </w:rPr>
              <w:t>Salaries and employees</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60"/>
              <w:spacing w:after="0"/>
              <w:rPr>
                <w:sz w:val="20"/>
                <w:szCs w:val="20"/>
                <w:color w:val="auto"/>
              </w:rPr>
            </w:pPr>
            <w:r>
              <w:rPr>
                <w:rFonts w:ascii="Arial" w:cs="Arial" w:eastAsia="Arial" w:hAnsi="Arial"/>
                <w:sz w:val="14"/>
                <w:szCs w:val="14"/>
                <w:color w:val="auto"/>
              </w:rPr>
              <w:t>benefits</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(532,961)</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(579,530)</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(571,240)</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7.2%</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(1,565,616)</w:t>
            </w:r>
          </w:p>
        </w:tc>
        <w:tc>
          <w:tcPr>
            <w:tcW w:w="1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(1,733,691)</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Administrative expenses</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(386,242)</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(360,738)</w:t>
            </w: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(376,657)</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(1,072,070)</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(1,064,592)</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tcPr>
          <w:p>
            <w:pPr>
              <w:ind w:left="160"/>
              <w:spacing w:after="0" w:line="130" w:lineRule="exact"/>
              <w:rPr>
                <w:sz w:val="20"/>
                <w:szCs w:val="20"/>
                <w:color w:val="auto"/>
              </w:rPr>
            </w:pPr>
            <w:r>
              <w:rPr>
                <w:rFonts w:ascii="Arial" w:cs="Arial" w:eastAsia="Arial" w:hAnsi="Arial"/>
                <w:sz w:val="14"/>
                <w:szCs w:val="14"/>
                <w:color w:val="auto"/>
              </w:rPr>
              <w:t>Depreciation and</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60"/>
              <w:spacing w:after="0"/>
              <w:rPr>
                <w:sz w:val="20"/>
                <w:szCs w:val="20"/>
                <w:color w:val="auto"/>
              </w:rPr>
            </w:pPr>
            <w:r>
              <w:rPr>
                <w:rFonts w:ascii="Arial" w:cs="Arial" w:eastAsia="Arial" w:hAnsi="Arial"/>
                <w:sz w:val="14"/>
                <w:szCs w:val="14"/>
                <w:color w:val="auto"/>
              </w:rPr>
              <w:t>amortization</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(82,570)</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(87,720)</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(90,128)</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9.2%</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(236,945)</w:t>
            </w:r>
          </w:p>
        </w:tc>
        <w:tc>
          <w:tcPr>
            <w:tcW w:w="1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(264,859)</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(47,401)</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(79,427)</w:t>
            </w: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(53,607)</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-32.5%</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13.1%</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(106,506)</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(200,101)</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w w:val="97"/>
              </w:rPr>
              <w:t>Total operating expenses</w:t>
            </w: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(1,049,174)</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(1,107,415)</w:t>
            </w: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(1,091,632)</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-1.4%</w:t>
            </w:r>
          </w:p>
        </w:tc>
        <w:tc>
          <w:tcPr>
            <w:tcW w:w="2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4.0%</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(2,981,137)</w:t>
            </w:r>
          </w:p>
        </w:tc>
        <w:tc>
          <w:tcPr>
            <w:tcW w:w="1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(3,263,243)</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9.5%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794,259</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870,947</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939,028</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7.8%</w:t>
            </w:r>
          </w:p>
        </w:tc>
        <w:tc>
          <w:tcPr>
            <w:tcW w:w="2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18.2%</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2,067,938</w:t>
            </w:r>
          </w:p>
        </w:tc>
        <w:tc>
          <w:tcPr>
            <w:tcW w:w="1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3,042,096</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13,066</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6,976</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3,378</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-51.6%</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-74.1%</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9,921</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9,012</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ind w:left="160"/>
              <w:spacing w:after="0" w:line="149" w:lineRule="exact"/>
              <w:rPr>
                <w:sz w:val="20"/>
                <w:szCs w:val="20"/>
                <w:color w:val="auto"/>
              </w:rPr>
            </w:pPr>
            <w:r>
              <w:rPr>
                <w:rFonts w:ascii="Arial" w:cs="Arial" w:eastAsia="Arial" w:hAnsi="Arial"/>
                <w:sz w:val="14"/>
                <w:szCs w:val="14"/>
                <w:color w:val="auto"/>
              </w:rPr>
              <w:t>Income taxes</w:t>
            </w: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(224,940)</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(254,087)</w:t>
            </w: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(262,516)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2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(581,802)</w:t>
            </w:r>
          </w:p>
        </w:tc>
        <w:tc>
          <w:tcPr>
            <w:tcW w:w="1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(886,346)</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3,379</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(3,799)</w:t>
            </w: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(4,212)</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10.9%</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-224.7%</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904</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(9,816)</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-1185.8%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585,764</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620,037</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675,678</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9.0%</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15.3%</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1,496,961</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2,154,946</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3"/>
          </w:tcPr>
          <w:p>
            <w:pPr>
              <w:ind w:left="960"/>
              <w:spacing w:after="0"/>
              <w:rPr>
                <w:sz w:val="20"/>
                <w:szCs w:val="20"/>
                <w:color w:val="auto"/>
              </w:rPr>
            </w:pPr>
            <w:r>
              <w:rPr>
                <w:rFonts w:ascii="Arial" w:cs="Arial" w:eastAsia="Arial" w:hAnsi="Arial"/>
                <w:sz w:val="18"/>
                <w:szCs w:val="18"/>
                <w:b w:val="1"/>
                <w:bCs w:val="1"/>
                <w:color w:val="auto"/>
              </w:rPr>
              <w:t>YTD</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3Q14</w:t>
            </w: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2Q15</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3Q15</w:t>
            </w:r>
          </w:p>
        </w:tc>
        <w:tc>
          <w:tcPr>
            <w:tcW w:w="1440" w:type="dxa"/>
            <w:vAlign w:val="bottom"/>
            <w:gridSpan w:val="3"/>
          </w:tcPr>
          <w:p>
            <w:pPr>
              <w:ind w:left="260"/>
              <w:spacing w:after="0"/>
              <w:rPr>
                <w:sz w:val="20"/>
                <w:szCs w:val="20"/>
                <w:color w:val="auto"/>
              </w:rPr>
            </w:pPr>
            <w:r>
              <w:rPr>
                <w:rFonts w:ascii="Arial" w:cs="Arial" w:eastAsia="Arial" w:hAnsi="Arial"/>
                <w:sz w:val="18"/>
                <w:szCs w:val="18"/>
                <w:b w:val="1"/>
                <w:bCs w:val="1"/>
                <w:color w:val="auto"/>
              </w:rPr>
              <w:t>Sep 14</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Sep 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FFFFFF"/>
              </w:rPr>
              <w:t>7</w:t>
            </w:r>
          </w:p>
        </w:tc>
        <w:tc>
          <w:tcPr>
            <w:tcW w:w="280" w:type="dxa"/>
            <w:vAlign w:val="bottom"/>
          </w:tcPr>
          <w:p>
            <w:pPr>
              <w:spacing w:after="0"/>
              <w:rPr>
                <w:sz w:val="18"/>
                <w:szCs w:val="18"/>
                <w:color w:val="auto"/>
              </w:rPr>
            </w:pPr>
          </w:p>
        </w:tc>
        <w:tc>
          <w:tcPr>
            <w:tcW w:w="10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FFFFFF"/>
              </w:rPr>
              <w:t>10</w:t>
            </w:r>
          </w:p>
        </w:tc>
        <w:tc>
          <w:tcPr>
            <w:tcW w:w="280" w:type="dxa"/>
            <w:vAlign w:val="bottom"/>
          </w:tcPr>
          <w:p>
            <w:pPr>
              <w:spacing w:after="0"/>
              <w:rPr>
                <w:sz w:val="18"/>
                <w:szCs w:val="18"/>
                <w:color w:val="auto"/>
              </w:rPr>
            </w:pPr>
          </w:p>
        </w:tc>
        <w:tc>
          <w:tcPr>
            <w:tcW w:w="10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FFFFFF"/>
              </w:rPr>
              <w:t>11</w:t>
            </w:r>
          </w:p>
        </w:tc>
        <w:tc>
          <w:tcPr>
            <w:tcW w:w="260" w:type="dxa"/>
            <w:vAlign w:val="bottom"/>
          </w:tcPr>
          <w:p>
            <w:pPr>
              <w:spacing w:after="0"/>
              <w:rPr>
                <w:sz w:val="18"/>
                <w:szCs w:val="18"/>
                <w:color w:val="auto"/>
              </w:rPr>
            </w:pPr>
          </w:p>
        </w:tc>
        <w:tc>
          <w:tcPr>
            <w:tcW w:w="10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FFFFFF"/>
              </w:rPr>
              <w:t>14</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FFFFFF"/>
              </w:rPr>
              <w:t>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Profitability</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20" w:type="dxa"/>
            <w:vAlign w:val="bottom"/>
            <w:tcBorders>
              <w:top w:val="single" w:sz="8" w:color="auto"/>
            </w:tcBorders>
          </w:tcPr>
          <w:p>
            <w:pPr>
              <w:spacing w:after="0" w:line="256" w:lineRule="exact"/>
              <w:rPr>
                <w:sz w:val="20"/>
                <w:szCs w:val="20"/>
                <w:color w:val="auto"/>
              </w:rPr>
            </w:pPr>
            <w:r>
              <w:rPr>
                <w:rFonts w:ascii="Arial" w:cs="Arial" w:eastAsia="Arial" w:hAnsi="Arial"/>
                <w:sz w:val="29"/>
                <w:szCs w:val="29"/>
                <w:color w:val="auto"/>
                <w:vertAlign w:val="subscript"/>
              </w:rPr>
              <w:t>EPS</w:t>
            </w:r>
            <w:r>
              <w:rPr>
                <w:rFonts w:ascii="Arial" w:cs="Arial" w:eastAsia="Arial" w:hAnsi="Arial"/>
                <w:sz w:val="13"/>
                <w:szCs w:val="13"/>
                <w:color w:val="auto"/>
              </w:rPr>
              <w:t>(1)</w:t>
            </w:r>
          </w:p>
        </w:tc>
        <w:tc>
          <w:tcPr>
            <w:tcW w:w="4180" w:type="dxa"/>
            <w:vAlign w:val="bottom"/>
            <w:tcBorders>
              <w:top w:val="single" w:sz="8" w:color="CCEEFF"/>
            </w:tcBorders>
            <w:gridSpan w:val="4"/>
          </w:tcPr>
          <w:p>
            <w:pPr>
              <w:spacing w:after="0"/>
              <w:rPr>
                <w:sz w:val="22"/>
                <w:szCs w:val="22"/>
                <w:color w:val="auto"/>
              </w:rPr>
            </w:pPr>
          </w:p>
        </w:tc>
        <w:tc>
          <w:tcPr>
            <w:tcW w:w="128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0.10</w:t>
            </w:r>
          </w:p>
        </w:tc>
        <w:tc>
          <w:tcPr>
            <w:tcW w:w="128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0.11</w:t>
            </w:r>
          </w:p>
        </w:tc>
        <w:tc>
          <w:tcPr>
            <w:tcW w:w="12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0.12</w:t>
            </w:r>
          </w:p>
        </w:tc>
        <w:tc>
          <w:tcPr>
            <w:tcW w:w="12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0.26</w:t>
            </w:r>
          </w:p>
        </w:tc>
        <w:tc>
          <w:tcPr>
            <w:tcW w:w="160" w:type="dxa"/>
            <w:vAlign w:val="bottom"/>
            <w:tcBorders>
              <w:top w:val="single" w:sz="8" w:color="CCEEFF"/>
            </w:tcBorders>
          </w:tcPr>
          <w:p>
            <w:pPr>
              <w:spacing w:after="0"/>
              <w:rPr>
                <w:sz w:val="22"/>
                <w:szCs w:val="22"/>
                <w:color w:val="auto"/>
              </w:rPr>
            </w:pPr>
          </w:p>
        </w:tc>
        <w:tc>
          <w:tcPr>
            <w:tcW w:w="10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5"/>
            <w:shd w:val="clear" w:color="auto" w:fill="CCEEFF"/>
          </w:tcPr>
          <w:p>
            <w:pPr>
              <w:spacing w:after="0" w:line="256" w:lineRule="exact"/>
              <w:rPr>
                <w:sz w:val="20"/>
                <w:szCs w:val="20"/>
                <w:color w:val="auto"/>
              </w:rPr>
            </w:pPr>
            <w:r>
              <w:rPr>
                <w:rFonts w:ascii="Arial" w:cs="Arial" w:eastAsia="Arial" w:hAnsi="Arial"/>
                <w:sz w:val="18"/>
                <w:szCs w:val="18"/>
                <w:color w:val="auto"/>
              </w:rPr>
              <w:t>Net interest margin</w:t>
            </w:r>
            <w:r>
              <w:rPr>
                <w:rFonts w:ascii="Arial" w:cs="Arial" w:eastAsia="Arial" w:hAnsi="Arial"/>
                <w:sz w:val="29"/>
                <w:szCs w:val="29"/>
                <w:color w:val="auto"/>
                <w:vertAlign w:val="superscript"/>
              </w:rPr>
              <w:t>(2)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w:t>
            </w:r>
          </w:p>
        </w:tc>
        <w:tc>
          <w:tcPr>
            <w:tcW w:w="1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5"/>
          </w:tcPr>
          <w:p>
            <w:pPr>
              <w:spacing w:after="0" w:line="256" w:lineRule="exact"/>
              <w:rPr>
                <w:sz w:val="20"/>
                <w:szCs w:val="20"/>
                <w:color w:val="auto"/>
              </w:rPr>
            </w:pPr>
            <w:r>
              <w:rPr>
                <w:rFonts w:ascii="Arial" w:cs="Arial" w:eastAsia="Arial" w:hAnsi="Arial"/>
                <w:sz w:val="29"/>
                <w:szCs w:val="29"/>
                <w:color w:val="auto"/>
                <w:vertAlign w:val="subscript"/>
              </w:rPr>
              <w:t>ROAA</w:t>
            </w:r>
            <w:r>
              <w:rPr>
                <w:rFonts w:ascii="Arial" w:cs="Arial" w:eastAsia="Arial" w:hAnsi="Arial"/>
                <w:sz w:val="13"/>
                <w:szCs w:val="13"/>
                <w:color w:val="auto"/>
              </w:rPr>
              <w:t xml:space="preserve"> (2)(3)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5"/>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(2)(3)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tcPr>
          <w:p>
            <w:pPr>
              <w:spacing w:after="0"/>
              <w:rPr>
                <w:sz w:val="20"/>
                <w:szCs w:val="20"/>
                <w:color w:val="auto"/>
              </w:rPr>
            </w:pPr>
            <w:r>
              <w:rPr>
                <w:rFonts w:ascii="Arial" w:cs="Arial" w:eastAsia="Arial" w:hAnsi="Arial"/>
                <w:sz w:val="18"/>
                <w:szCs w:val="18"/>
                <w:color w:val="auto"/>
              </w:rPr>
              <w:t>No. of outstanding shares (Million)</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5,854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5,854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5,854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5,854</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0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Quality of loan portfolio</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PDL ratio</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tcPr>
          <w:p>
            <w:pPr>
              <w:spacing w:after="0"/>
              <w:rPr>
                <w:sz w:val="20"/>
                <w:szCs w:val="20"/>
                <w:color w:val="auto"/>
              </w:rPr>
            </w:pPr>
            <w:r>
              <w:rPr>
                <w:rFonts w:ascii="Arial" w:cs="Arial" w:eastAsia="Arial" w:hAnsi="Arial"/>
                <w:sz w:val="18"/>
                <w:szCs w:val="18"/>
                <w:color w:val="auto"/>
              </w:rPr>
              <w:t>NPL ratio</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Coverage of PDLs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tcPr>
          <w:p>
            <w:pPr>
              <w:spacing w:after="0"/>
              <w:rPr>
                <w:sz w:val="20"/>
                <w:szCs w:val="20"/>
                <w:color w:val="auto"/>
              </w:rPr>
            </w:pPr>
            <w:r>
              <w:rPr>
                <w:rFonts w:ascii="Arial" w:cs="Arial" w:eastAsia="Arial" w:hAnsi="Arial"/>
                <w:sz w:val="18"/>
                <w:szCs w:val="18"/>
                <w:color w:val="auto"/>
              </w:rPr>
              <w:t>Coverage of NPLs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128.3%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122.0%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123.2%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128.3%</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Reserves for loan losses as a percentage of total loans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Operating efficiency</w:t>
            </w:r>
          </w:p>
        </w:tc>
        <w:tc>
          <w:tcPr>
            <w:tcW w:w="354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5"/>
          </w:tcPr>
          <w:p>
            <w:pPr>
              <w:spacing w:after="0" w:line="256" w:lineRule="exact"/>
              <w:rPr>
                <w:sz w:val="20"/>
                <w:szCs w:val="20"/>
                <w:color w:val="auto"/>
              </w:rPr>
            </w:pPr>
            <w:r>
              <w:rPr>
                <w:rFonts w:ascii="Arial" w:cs="Arial" w:eastAsia="Arial" w:hAnsi="Arial"/>
                <w:sz w:val="18"/>
                <w:szCs w:val="18"/>
                <w:color w:val="auto"/>
              </w:rPr>
              <w:t xml:space="preserve">Oper. expenses as a percent. of total income - reported </w:t>
            </w:r>
            <w:r>
              <w:rPr>
                <w:rFonts w:ascii="Arial" w:cs="Arial" w:eastAsia="Arial" w:hAnsi="Arial"/>
                <w:sz w:val="29"/>
                <w:szCs w:val="29"/>
                <w:color w:val="auto"/>
                <w:vertAlign w:val="superscript"/>
              </w:rPr>
              <w:t>(4)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44.9%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43.0%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8"/>
              </w:rPr>
              <w:t>Oper. expenses as a percent. of total income - including all other</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items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5"/>
          </w:tcPr>
          <w:p>
            <w:pPr>
              <w:spacing w:after="0" w:line="256" w:lineRule="exact"/>
              <w:rPr>
                <w:sz w:val="20"/>
                <w:szCs w:val="20"/>
                <w:color w:val="auto"/>
              </w:rPr>
            </w:pPr>
            <w:r>
              <w:rPr>
                <w:rFonts w:ascii="Arial" w:cs="Arial" w:eastAsia="Arial" w:hAnsi="Arial"/>
                <w:sz w:val="18"/>
                <w:szCs w:val="18"/>
                <w:color w:val="auto"/>
              </w:rPr>
              <w:t xml:space="preserve">Oper. expenses as a percent. of av. tot. sssets </w:t>
            </w:r>
            <w:r>
              <w:rPr>
                <w:rFonts w:ascii="Arial" w:cs="Arial" w:eastAsia="Arial" w:hAnsi="Arial"/>
                <w:sz w:val="29"/>
                <w:szCs w:val="29"/>
                <w:color w:val="auto"/>
                <w:vertAlign w:val="superscript"/>
              </w:rPr>
              <w:t>(2)(3)(4)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0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Capital adequacy (BCP Stand-alone) in Peru GAAP</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regulatory capital (S/. Million)</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12,524</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13,354</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13,475</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12,524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tcPr>
          <w:p>
            <w:pPr>
              <w:spacing w:after="0"/>
              <w:rPr>
                <w:sz w:val="20"/>
                <w:szCs w:val="20"/>
                <w:color w:val="auto"/>
              </w:rPr>
            </w:pPr>
            <w:r>
              <w:rPr>
                <w:rFonts w:ascii="Arial" w:cs="Arial" w:eastAsia="Arial" w:hAnsi="Arial"/>
                <w:sz w:val="18"/>
                <w:szCs w:val="18"/>
                <w:color w:val="auto"/>
              </w:rPr>
              <w:t>Tier 1 capital (S/. Million)</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8,631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8,936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8,968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8,631</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Common equity tier 1 ratio</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5"/>
          </w:tcPr>
          <w:p>
            <w:pPr>
              <w:spacing w:after="0"/>
              <w:rPr>
                <w:sz w:val="20"/>
                <w:szCs w:val="20"/>
                <w:color w:val="auto"/>
              </w:rPr>
            </w:pPr>
            <w:r>
              <w:rPr>
                <w:rFonts w:ascii="Arial" w:cs="Arial" w:eastAsia="Arial" w:hAnsi="Arial"/>
                <w:sz w:val="18"/>
                <w:szCs w:val="18"/>
                <w:color w:val="auto"/>
              </w:rPr>
              <w:t>BIS ratio</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14.78%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14.38%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13.89%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Shares outstanding of 5,854.05 million is used for all periods since shares have been issued only for capitalization of profits.</w:t>
      </w:r>
    </w:p>
    <w:p>
      <w:pPr>
        <w:spacing w:after="0" w:line="7"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right="300" w:firstLine="8"/>
        <w:spacing w:after="0" w:line="250"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and net gain on foreign exchange transactions. Operating expenses includes personnel expenses, administrative expenses and depreciation and amortization.</w:t>
      </w: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0"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320" w:type="dxa"/>
            <w:vAlign w:val="bottom"/>
            <w:gridSpan w:val="2"/>
          </w:tcPr>
          <w:p>
            <w:pPr>
              <w:spacing w:after="0"/>
              <w:rPr>
                <w:sz w:val="20"/>
                <w:szCs w:val="20"/>
                <w:color w:val="auto"/>
              </w:rPr>
            </w:pPr>
            <w:r>
              <w:rPr>
                <w:rFonts w:ascii="Arial" w:cs="Arial" w:eastAsia="Arial" w:hAnsi="Arial"/>
                <w:sz w:val="18"/>
                <w:szCs w:val="18"/>
                <w:b w:val="1"/>
                <w:bCs w:val="1"/>
                <w:color w:val="auto"/>
                <w:w w:val="85"/>
              </w:rPr>
              <w:t>11.2</w:t>
            </w:r>
          </w:p>
        </w:tc>
        <w:tc>
          <w:tcPr>
            <w:tcW w:w="6640" w:type="dxa"/>
            <w:vAlign w:val="bottom"/>
          </w:tcPr>
          <w:p>
            <w:pPr>
              <w:ind w:left="340"/>
              <w:spacing w:after="0"/>
              <w:rPr>
                <w:sz w:val="20"/>
                <w:szCs w:val="20"/>
                <w:color w:val="auto"/>
              </w:rPr>
            </w:pPr>
            <w:r>
              <w:rPr>
                <w:rFonts w:ascii="Arial" w:cs="Arial" w:eastAsia="Arial" w:hAnsi="Arial"/>
                <w:sz w:val="18"/>
                <w:szCs w:val="18"/>
                <w:b w:val="1"/>
                <w:bCs w:val="1"/>
                <w:color w:val="auto"/>
              </w:rPr>
              <w:t>Mibanco</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tcPr>
          <w:p>
            <w:pPr>
              <w:ind w:left="4940"/>
              <w:spacing w:after="0"/>
              <w:rPr>
                <w:sz w:val="20"/>
                <w:szCs w:val="20"/>
                <w:color w:val="auto"/>
              </w:rPr>
            </w:pPr>
            <w:r>
              <w:rPr>
                <w:rFonts w:ascii="Arial" w:cs="Arial" w:eastAsia="Arial" w:hAnsi="Arial"/>
                <w:sz w:val="18"/>
                <w:szCs w:val="18"/>
                <w:b w:val="1"/>
                <w:bCs w:val="1"/>
                <w:color w:val="auto"/>
              </w:rPr>
              <w:t>MIBANCO</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40" w:type="dxa"/>
            <w:vAlign w:val="bottom"/>
          </w:tcPr>
          <w:p>
            <w:pPr>
              <w:ind w:left="4440"/>
              <w:spacing w:after="0"/>
              <w:rPr>
                <w:sz w:val="20"/>
                <w:szCs w:val="20"/>
                <w:color w:val="auto"/>
              </w:rPr>
            </w:pPr>
            <w:r>
              <w:rPr>
                <w:rFonts w:ascii="Arial" w:cs="Arial" w:eastAsia="Arial" w:hAnsi="Arial"/>
                <w:sz w:val="18"/>
                <w:szCs w:val="18"/>
                <w:b w:val="1"/>
                <w:bCs w:val="1"/>
                <w:color w:val="auto"/>
              </w:rPr>
              <w:t>(In S/. thousands, IFRS )</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820" w:type="dxa"/>
            <w:vAlign w:val="bottom"/>
            <w:gridSpan w:val="3"/>
          </w:tcPr>
          <w:p>
            <w:pPr>
              <w:ind w:left="1060"/>
              <w:spacing w:after="0"/>
              <w:rPr>
                <w:sz w:val="20"/>
                <w:szCs w:val="20"/>
                <w:color w:val="auto"/>
              </w:rPr>
            </w:pPr>
            <w:r>
              <w:rPr>
                <w:rFonts w:ascii="Arial" w:cs="Arial" w:eastAsia="Arial" w:hAnsi="Arial"/>
                <w:sz w:val="18"/>
                <w:szCs w:val="18"/>
                <w:b w:val="1"/>
                <w:bCs w:val="1"/>
                <w:color w:val="auto"/>
              </w:rPr>
              <w:t>Quarter</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1820" w:type="dxa"/>
            <w:vAlign w:val="bottom"/>
            <w:gridSpan w:val="3"/>
          </w:tcPr>
          <w:p>
            <w:pPr>
              <w:ind w:left="300"/>
              <w:spacing w:after="0" w:line="271" w:lineRule="exact"/>
              <w:rPr>
                <w:sz w:val="20"/>
                <w:szCs w:val="20"/>
                <w:color w:val="auto"/>
              </w:rPr>
            </w:pPr>
            <w:r>
              <w:rPr>
                <w:rFonts w:ascii="Arial" w:cs="Arial" w:eastAsia="Arial" w:hAnsi="Arial"/>
                <w:sz w:val="18"/>
                <w:szCs w:val="18"/>
                <w:b w:val="1"/>
                <w:bCs w:val="1"/>
                <w:color w:val="auto"/>
              </w:rPr>
              <w:t xml:space="preserve">2Q15 </w:t>
            </w:r>
            <w:r>
              <w:rPr>
                <w:rFonts w:ascii="Arial" w:cs="Arial" w:eastAsia="Arial" w:hAnsi="Arial"/>
                <w:sz w:val="30"/>
                <w:szCs w:val="30"/>
                <w:b w:val="1"/>
                <w:bCs w:val="1"/>
                <w:color w:val="auto"/>
                <w:vertAlign w:val="superscript"/>
              </w:rPr>
              <w:t>(1)</w:t>
            </w:r>
          </w:p>
        </w:tc>
        <w:tc>
          <w:tcPr>
            <w:tcW w:w="12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3Q15</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QoQ</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40" w:type="dxa"/>
            <w:vAlign w:val="bottom"/>
            <w:shd w:val="clear" w:color="auto" w:fill="CCEEFF"/>
          </w:tcPr>
          <w:p>
            <w:pPr>
              <w:jc w:val="center"/>
              <w:ind w:right="330"/>
              <w:spacing w:after="0"/>
              <w:rPr>
                <w:sz w:val="20"/>
                <w:szCs w:val="20"/>
                <w:color w:val="auto"/>
              </w:rPr>
            </w:pPr>
            <w:r>
              <w:rPr>
                <w:rFonts w:ascii="Arial" w:cs="Arial" w:eastAsia="Arial" w:hAnsi="Arial"/>
                <w:sz w:val="18"/>
                <w:szCs w:val="18"/>
                <w:b w:val="1"/>
                <w:bCs w:val="1"/>
                <w:color w:val="auto"/>
                <w:w w:val="91"/>
              </w:rPr>
              <w:t>ASSETS</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1,271,286</w:t>
            </w:r>
          </w:p>
        </w:tc>
        <w:tc>
          <w:tcPr>
            <w:tcW w:w="3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1,436,739</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available for sale and trading securities</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1,408,921</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1,433,556</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160"/>
              <w:spacing w:after="0"/>
              <w:rPr>
                <w:sz w:val="20"/>
                <w:szCs w:val="20"/>
                <w:color w:val="auto"/>
              </w:rPr>
            </w:pPr>
            <w:r>
              <w:rPr>
                <w:rFonts w:ascii="Arial" w:cs="Arial" w:eastAsia="Arial" w:hAnsi="Arial"/>
                <w:sz w:val="18"/>
                <w:szCs w:val="18"/>
                <w:color w:val="auto"/>
              </w:rPr>
              <w:t>Total loans</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7,525,329</w:t>
            </w:r>
          </w:p>
        </w:tc>
        <w:tc>
          <w:tcPr>
            <w:tcW w:w="3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7,648,927</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6,969,787</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7,160,243</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Past-due</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489,135</w:t>
            </w:r>
          </w:p>
        </w:tc>
        <w:tc>
          <w:tcPr>
            <w:tcW w:w="3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414,572</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Refinanced</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66,407</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74,113</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Allowance for loan losses</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(820,673)</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(750,355)</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loans</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6,704,656</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6,898,572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238,194</w:t>
            </w:r>
          </w:p>
        </w:tc>
        <w:tc>
          <w:tcPr>
            <w:tcW w:w="3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236,752</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640,535</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634,593</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40" w:type="dxa"/>
            <w:vAlign w:val="bottom"/>
          </w:tcPr>
          <w:p>
            <w:pPr>
              <w:jc w:val="center"/>
              <w:ind w:right="310"/>
              <w:spacing w:after="0"/>
              <w:rPr>
                <w:sz w:val="20"/>
                <w:szCs w:val="20"/>
                <w:color w:val="auto"/>
              </w:rPr>
            </w:pPr>
            <w:r>
              <w:rPr>
                <w:rFonts w:ascii="Arial" w:cs="Arial" w:eastAsia="Arial" w:hAnsi="Arial"/>
                <w:sz w:val="18"/>
                <w:szCs w:val="18"/>
                <w:b w:val="1"/>
                <w:bCs w:val="1"/>
                <w:color w:val="auto"/>
                <w:w w:val="84"/>
              </w:rPr>
              <w:t>Total assets</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10,263,592</w:t>
            </w:r>
          </w:p>
        </w:tc>
        <w:tc>
          <w:tcPr>
            <w:tcW w:w="3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10,640,212</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40" w:type="dxa"/>
            <w:vAlign w:val="bottom"/>
          </w:tcPr>
          <w:p>
            <w:pPr>
              <w:jc w:val="center"/>
              <w:ind w:right="330"/>
              <w:spacing w:after="0"/>
              <w:rPr>
                <w:sz w:val="20"/>
                <w:szCs w:val="20"/>
                <w:color w:val="auto"/>
              </w:rPr>
            </w:pPr>
            <w:r>
              <w:rPr>
                <w:rFonts w:ascii="Arial" w:cs="Arial" w:eastAsia="Arial" w:hAnsi="Arial"/>
                <w:sz w:val="18"/>
                <w:szCs w:val="18"/>
                <w:b w:val="1"/>
                <w:bCs w:val="1"/>
                <w:color w:val="auto"/>
              </w:rPr>
              <w:t>LIABILITIES AND NET SHAREHOLDERS' EQUITY</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obligations</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4,997,266</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5,388,253</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3,072,494</w:t>
            </w:r>
          </w:p>
        </w:tc>
        <w:tc>
          <w:tcPr>
            <w:tcW w:w="3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2,884,839</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ans subordinated debt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652,047</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742,344</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323,894</w:t>
            </w:r>
          </w:p>
        </w:tc>
        <w:tc>
          <w:tcPr>
            <w:tcW w:w="3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334,375</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40" w:type="dxa"/>
            <w:vAlign w:val="bottom"/>
            <w:shd w:val="clear" w:color="auto" w:fill="CCEEFF"/>
          </w:tcPr>
          <w:p>
            <w:pPr>
              <w:jc w:val="center"/>
              <w:ind w:right="330"/>
              <w:spacing w:after="0"/>
              <w:rPr>
                <w:sz w:val="20"/>
                <w:szCs w:val="20"/>
                <w:color w:val="auto"/>
              </w:rPr>
            </w:pPr>
            <w:r>
              <w:rPr>
                <w:rFonts w:ascii="Arial" w:cs="Arial" w:eastAsia="Arial" w:hAnsi="Arial"/>
                <w:sz w:val="18"/>
                <w:szCs w:val="18"/>
                <w:b w:val="1"/>
                <w:bCs w:val="1"/>
                <w:color w:val="auto"/>
                <w:w w:val="91"/>
              </w:rPr>
              <w:t>Total liabilities</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9,045,702</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9,349,811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shareholders' equity</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1,217,890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1,290,400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40" w:type="dxa"/>
            <w:vAlign w:val="bottom"/>
            <w:shd w:val="clear" w:color="auto" w:fill="CCEEFF"/>
          </w:tcPr>
          <w:p>
            <w:pPr>
              <w:jc w:val="center"/>
              <w:ind w:right="330"/>
              <w:spacing w:after="0"/>
              <w:rPr>
                <w:sz w:val="20"/>
                <w:szCs w:val="20"/>
                <w:color w:val="auto"/>
              </w:rPr>
            </w:pPr>
            <w:r>
              <w:rPr>
                <w:rFonts w:ascii="Arial" w:cs="Arial" w:eastAsia="Arial" w:hAnsi="Arial"/>
                <w:sz w:val="18"/>
                <w:szCs w:val="18"/>
                <w:b w:val="1"/>
                <w:bCs w:val="1"/>
                <w:color w:val="auto"/>
                <w:w w:val="90"/>
              </w:rPr>
              <w:t>Total liabilities and net shareholders' equity</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10,263,592</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10,640,212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financial income</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354,212</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369,794</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Provision for loan losses, net of recoveries</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(91,743)</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(75,206)</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 financial income</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9,452</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7,600</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(209,347)</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(205,566)</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62,574</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96,622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Translation results</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(430)</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(257)</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(12,847)</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(21,972)</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49,297</w:t>
            </w:r>
          </w:p>
        </w:tc>
        <w:tc>
          <w:tcPr>
            <w:tcW w:w="3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74,394</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50.9%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gridSpan w:val="2"/>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L/D ratio</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150.6%</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142.0%</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-860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PDL ratio</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NPL ratio</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7.38%</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6.39%</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-99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of PDLs</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167.8%</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181.0%</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Coverage of NPLs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147.7%</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153.5%</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580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ROAE</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Efficiency ratio</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59.1%</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57.4%</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-170 bps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Branches </w:t>
            </w:r>
            <w:r>
              <w:rPr>
                <w:rFonts w:ascii="Arial" w:cs="Arial" w:eastAsia="Arial" w:hAnsi="Arial"/>
                <w:sz w:val="29"/>
                <w:szCs w:val="29"/>
                <w:color w:val="auto"/>
                <w:vertAlign w:val="superscript"/>
              </w:rPr>
              <w:t>(1)</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w:t>
            </w:r>
          </w:p>
        </w:tc>
        <w:tc>
          <w:tcPr>
            <w:tcW w:w="3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gridSpan w:val="2"/>
          </w:tcPr>
          <w:p>
            <w:pPr>
              <w:spacing w:after="0" w:line="201" w:lineRule="exact"/>
              <w:rPr>
                <w:sz w:val="20"/>
                <w:szCs w:val="20"/>
                <w:color w:val="auto"/>
              </w:rPr>
            </w:pPr>
            <w:r>
              <w:rPr>
                <w:rFonts w:ascii="Arial" w:cs="Arial" w:eastAsia="Arial" w:hAnsi="Arial"/>
                <w:sz w:val="18"/>
                <w:szCs w:val="18"/>
                <w:color w:val="auto"/>
              </w:rPr>
              <w:t>Employees</w:t>
            </w:r>
          </w:p>
        </w:tc>
        <w:tc>
          <w:tcPr>
            <w:tcW w:w="15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9,925</w:t>
            </w:r>
          </w:p>
        </w:tc>
        <w:tc>
          <w:tcPr>
            <w:tcW w:w="300" w:type="dxa"/>
            <w:vAlign w:val="bottom"/>
          </w:tcPr>
          <w:p>
            <w:pPr>
              <w:spacing w:after="0"/>
              <w:rPr>
                <w:sz w:val="17"/>
                <w:szCs w:val="17"/>
                <w:color w:val="auto"/>
              </w:rPr>
            </w:pPr>
          </w:p>
        </w:tc>
        <w:tc>
          <w:tcPr>
            <w:tcW w:w="12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10,093</w:t>
            </w:r>
          </w:p>
        </w:tc>
        <w:tc>
          <w:tcPr>
            <w:tcW w:w="144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960" w:type="dxa"/>
            <w:vAlign w:val="bottom"/>
            <w:gridSpan w:val="3"/>
          </w:tcPr>
          <w:p>
            <w:pPr>
              <w:spacing w:after="0"/>
              <w:rPr>
                <w:sz w:val="20"/>
                <w:szCs w:val="20"/>
                <w:color w:val="auto"/>
              </w:rPr>
            </w:pPr>
            <w:r>
              <w:rPr>
                <w:rFonts w:ascii="Arial" w:cs="Arial" w:eastAsia="Arial" w:hAnsi="Arial"/>
                <w:sz w:val="18"/>
                <w:szCs w:val="18"/>
                <w:color w:val="auto"/>
                <w:w w:val="98"/>
              </w:rPr>
              <w:t>(1) Income statement figures differ from previously reported, please consider this figures.</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2"/>
                <w:szCs w:val="22"/>
                <w:color w:val="auto"/>
              </w:rPr>
              <w:t>53</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11.3</w:t>
            </w:r>
          </w:p>
        </w:tc>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BCP Bolivia</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rPr>
              <w:t>BCP BOLIVIA</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920" w:type="dxa"/>
            <w:vAlign w:val="bottom"/>
            <w:gridSpan w:val="6"/>
          </w:tcPr>
          <w:p>
            <w:pPr>
              <w:jc w:val="center"/>
              <w:ind w:right="780"/>
              <w:spacing w:after="0"/>
              <w:rPr>
                <w:sz w:val="20"/>
                <w:szCs w:val="20"/>
                <w:color w:val="auto"/>
              </w:rPr>
            </w:pPr>
            <w:r>
              <w:rPr>
                <w:rFonts w:ascii="Arial" w:cs="Arial" w:eastAsia="Arial" w:hAnsi="Arial"/>
                <w:sz w:val="18"/>
                <w:szCs w:val="18"/>
                <w:b w:val="1"/>
                <w:bCs w:val="1"/>
                <w:color w:val="auto"/>
                <w:w w:val="92"/>
              </w:rPr>
              <w:t>(In S/. thousands, IFRS)</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3"/>
          </w:tcPr>
          <w:p>
            <w:pPr>
              <w:ind w:left="840"/>
              <w:spacing w:after="0"/>
              <w:rPr>
                <w:sz w:val="20"/>
                <w:szCs w:val="20"/>
                <w:color w:val="auto"/>
              </w:rPr>
            </w:pPr>
            <w:r>
              <w:rPr>
                <w:rFonts w:ascii="Arial" w:cs="Arial" w:eastAsia="Arial" w:hAnsi="Arial"/>
                <w:sz w:val="18"/>
                <w:szCs w:val="18"/>
                <w:b w:val="1"/>
                <w:bCs w:val="1"/>
                <w:color w:val="auto"/>
                <w:w w:val="96"/>
              </w:rPr>
              <w:t>Change</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3"/>
          </w:tcPr>
          <w:p>
            <w:pPr>
              <w:ind w:left="340"/>
              <w:spacing w:after="0"/>
              <w:rPr>
                <w:sz w:val="20"/>
                <w:szCs w:val="20"/>
                <w:color w:val="auto"/>
              </w:rPr>
            </w:pPr>
            <w:r>
              <w:rPr>
                <w:rFonts w:ascii="Arial" w:cs="Arial" w:eastAsia="Arial" w:hAnsi="Arial"/>
                <w:sz w:val="18"/>
                <w:szCs w:val="18"/>
                <w:b w:val="1"/>
                <w:bCs w:val="1"/>
                <w:color w:val="auto"/>
              </w:rPr>
              <w:t>3Q14</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2Q15</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3Q15</w:t>
            </w:r>
          </w:p>
        </w:tc>
        <w:tc>
          <w:tcPr>
            <w:tcW w:w="150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20" w:type="dxa"/>
            <w:vAlign w:val="bottom"/>
            <w:shd w:val="clear" w:color="auto" w:fill="CCEEFF"/>
          </w:tcPr>
          <w:p>
            <w:pPr>
              <w:jc w:val="center"/>
              <w:ind w:right="450"/>
              <w:spacing w:after="0"/>
              <w:rPr>
                <w:sz w:val="20"/>
                <w:szCs w:val="20"/>
                <w:color w:val="auto"/>
              </w:rPr>
            </w:pPr>
            <w:r>
              <w:rPr>
                <w:rFonts w:ascii="Arial" w:cs="Arial" w:eastAsia="Arial" w:hAnsi="Arial"/>
                <w:sz w:val="18"/>
                <w:szCs w:val="18"/>
                <w:b w:val="1"/>
                <w:bCs w:val="1"/>
                <w:color w:val="auto"/>
                <w:w w:val="94"/>
              </w:rPr>
              <w:t>ASSETS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900,562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1,063,752</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1,064,084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available for sale and trading securities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829,035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1,276,545</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1,068,896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 loans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3,339,802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4,007,861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4,282,821</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6.9%</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3,276,554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3,926,075</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4,194,483</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Past-due</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48,159</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64,020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69,260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Refinanced</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15,089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17,766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19,078</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Allow ance for loan losses</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-120,783</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-150,654</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-160,185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loans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3,219,019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3,857,207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4,122,636</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37,231</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39,903</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39,160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48,789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60,172</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56,515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20" w:type="dxa"/>
            <w:vAlign w:val="bottom"/>
          </w:tcPr>
          <w:p>
            <w:pPr>
              <w:jc w:val="center"/>
              <w:ind w:right="450"/>
              <w:spacing w:after="0"/>
              <w:rPr>
                <w:sz w:val="20"/>
                <w:szCs w:val="20"/>
                <w:color w:val="auto"/>
              </w:rPr>
            </w:pPr>
            <w:r>
              <w:rPr>
                <w:rFonts w:ascii="Arial" w:cs="Arial" w:eastAsia="Arial" w:hAnsi="Arial"/>
                <w:sz w:val="18"/>
                <w:szCs w:val="18"/>
                <w:b w:val="1"/>
                <w:bCs w:val="1"/>
                <w:color w:val="auto"/>
                <w:w w:val="84"/>
              </w:rPr>
              <w:t>Total assets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5,034,636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6,297,579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6,351,419</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0.9%</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jc w:val="center"/>
              <w:spacing w:after="0"/>
              <w:rPr>
                <w:sz w:val="20"/>
                <w:szCs w:val="20"/>
                <w:color w:val="auto"/>
              </w:rPr>
            </w:pPr>
            <w:r>
              <w:rPr>
                <w:rFonts w:ascii="Arial" w:cs="Arial" w:eastAsia="Arial" w:hAnsi="Arial"/>
                <w:sz w:val="18"/>
                <w:szCs w:val="18"/>
                <w:b w:val="1"/>
                <w:bCs w:val="1"/>
                <w:color w:val="auto"/>
              </w:rPr>
              <w:t>LIABILITIES AND NET SHAREHOLDERS' EQUITY</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obligations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4,368,956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5,545,300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5,540,968</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50,342</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30,351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29,217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ans subordinated debt</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30,466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33,185</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100,016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125,763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177,006</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150,104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20" w:type="dxa"/>
            <w:vAlign w:val="bottom"/>
            <w:shd w:val="clear" w:color="auto" w:fill="CCEEFF"/>
          </w:tcPr>
          <w:p>
            <w:pPr>
              <w:jc w:val="center"/>
              <w:ind w:right="470"/>
              <w:spacing w:after="0"/>
              <w:rPr>
                <w:sz w:val="20"/>
                <w:szCs w:val="20"/>
                <w:color w:val="auto"/>
              </w:rPr>
            </w:pPr>
            <w:r>
              <w:rPr>
                <w:rFonts w:ascii="Arial" w:cs="Arial" w:eastAsia="Arial" w:hAnsi="Arial"/>
                <w:sz w:val="18"/>
                <w:szCs w:val="18"/>
                <w:b w:val="1"/>
                <w:bCs w:val="1"/>
                <w:color w:val="auto"/>
                <w:w w:val="91"/>
              </w:rPr>
              <w:t>Total liabilities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4,575,527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5,785,842</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5,820,305</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0.6%</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shareholders´ equity</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459,109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511,737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531,114</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20" w:type="dxa"/>
            <w:vAlign w:val="bottom"/>
            <w:shd w:val="clear" w:color="auto" w:fill="CCEEFF"/>
          </w:tcPr>
          <w:p>
            <w:pPr>
              <w:jc w:val="center"/>
              <w:ind w:right="450"/>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5,034,636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6,297,579</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6,351,419</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54,675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57,281</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60,746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Provision for loan losses, net of recoveries</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-4,619</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-8,724</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-10,339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provisions</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50,056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48,557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50,407</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Non financial income</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24,092</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30,878</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30,181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-48,820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-61,750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-56,573</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-298</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121.9%</w:t>
            </w: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-7,206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-6,199</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-7,548</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17,825</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11,427</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16,333</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42.9%</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L/D ratio</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76.4%</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72.3%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77.3%</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500 bps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PDL ratio</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 bps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NPL ratio</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2 bps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of PDLs</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231.3%</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-400 bps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-1950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Coverage of NPLs</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191.0%</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184.2%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181.3%</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-290 bps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-970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-1040 bps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ROAE</w:t>
            </w:r>
          </w:p>
        </w:tc>
        <w:tc>
          <w:tcPr>
            <w:tcW w:w="4020" w:type="dxa"/>
            <w:vAlign w:val="bottom"/>
          </w:tcPr>
          <w:p>
            <w:pPr>
              <w:spacing w:after="0"/>
              <w:rPr>
                <w:sz w:val="18"/>
                <w:szCs w:val="18"/>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330 bps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-360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Branches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w w:val="87"/>
              </w:rPr>
              <w:t>Agentes</w:t>
            </w:r>
          </w:p>
        </w:tc>
        <w:tc>
          <w:tcPr>
            <w:tcW w:w="40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ATMs</w:t>
            </w:r>
          </w:p>
        </w:tc>
        <w:tc>
          <w:tcPr>
            <w:tcW w:w="40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Employees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1,643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1,708</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1,702</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w w:val="85"/>
              </w:rPr>
              <w:t>11.4</w:t>
            </w:r>
          </w:p>
        </w:tc>
        <w:tc>
          <w:tcPr>
            <w:tcW w:w="3960" w:type="dxa"/>
            <w:vAlign w:val="bottom"/>
            <w:gridSpan w:val="3"/>
          </w:tcPr>
          <w:p>
            <w:pPr>
              <w:ind w:left="180"/>
              <w:spacing w:after="0"/>
              <w:rPr>
                <w:sz w:val="20"/>
                <w:szCs w:val="20"/>
                <w:color w:val="auto"/>
              </w:rPr>
            </w:pPr>
            <w:r>
              <w:rPr>
                <w:rFonts w:ascii="Arial" w:cs="Arial" w:eastAsia="Arial" w:hAnsi="Arial"/>
                <w:sz w:val="18"/>
                <w:szCs w:val="18"/>
                <w:b w:val="1"/>
                <w:bCs w:val="1"/>
                <w:color w:val="auto"/>
              </w:rPr>
              <w:t>Credicorp Capital</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80" w:type="dxa"/>
            <w:vAlign w:val="bottom"/>
          </w:tcPr>
          <w:p>
            <w:pPr>
              <w:spacing w:after="0"/>
              <w:rPr>
                <w:sz w:val="24"/>
                <w:szCs w:val="24"/>
                <w:color w:val="auto"/>
              </w:rPr>
            </w:pPr>
          </w:p>
        </w:tc>
        <w:tc>
          <w:tcPr>
            <w:tcW w:w="3960" w:type="dxa"/>
            <w:vAlign w:val="bottom"/>
            <w:gridSpan w:val="3"/>
          </w:tcPr>
          <w:p>
            <w:pPr>
              <w:ind w:left="180"/>
              <w:spacing w:after="0"/>
              <w:rPr>
                <w:sz w:val="20"/>
                <w:szCs w:val="20"/>
                <w:color w:val="auto"/>
              </w:rPr>
            </w:pPr>
            <w:r>
              <w:rPr>
                <w:rFonts w:ascii="Arial" w:cs="Arial" w:eastAsia="Arial" w:hAnsi="Arial"/>
                <w:sz w:val="18"/>
                <w:szCs w:val="18"/>
                <w:b w:val="1"/>
                <w:bCs w:val="1"/>
                <w:color w:val="auto"/>
              </w:rPr>
              <w:t>Credicorp Capital</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Quarter</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3"/>
          </w:tcPr>
          <w:p>
            <w:pPr>
              <w:ind w:left="900"/>
              <w:spacing w:after="0"/>
              <w:rPr>
                <w:sz w:val="20"/>
                <w:szCs w:val="20"/>
                <w:color w:val="auto"/>
              </w:rPr>
            </w:pPr>
            <w:r>
              <w:rPr>
                <w:rFonts w:ascii="Arial" w:cs="Arial" w:eastAsia="Arial" w:hAnsi="Arial"/>
                <w:sz w:val="18"/>
                <w:szCs w:val="18"/>
                <w:b w:val="1"/>
                <w:bCs w:val="1"/>
                <w:color w:val="auto"/>
                <w:w w:val="97"/>
              </w:rPr>
              <w:t>% change</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3960" w:type="dxa"/>
            <w:vAlign w:val="bottom"/>
            <w:gridSpan w:val="3"/>
          </w:tcPr>
          <w:p>
            <w:pPr>
              <w:ind w:left="180"/>
              <w:spacing w:after="0"/>
              <w:rPr>
                <w:sz w:val="20"/>
                <w:szCs w:val="20"/>
                <w:color w:val="auto"/>
              </w:rPr>
            </w:pPr>
            <w:r>
              <w:rPr>
                <w:rFonts w:ascii="Arial" w:cs="Arial" w:eastAsia="Arial" w:hAnsi="Arial"/>
                <w:sz w:val="18"/>
                <w:szCs w:val="18"/>
                <w:b w:val="1"/>
                <w:bCs w:val="1"/>
                <w:color w:val="auto"/>
              </w:rPr>
              <w:t>S/. millions</w:t>
            </w:r>
          </w:p>
        </w:tc>
        <w:tc>
          <w:tcPr>
            <w:tcW w:w="1320" w:type="dxa"/>
            <w:vAlign w:val="bottom"/>
            <w:gridSpan w:val="2"/>
          </w:tcPr>
          <w:p>
            <w:pPr>
              <w:ind w:left="360"/>
              <w:spacing w:after="0"/>
              <w:rPr>
                <w:sz w:val="20"/>
                <w:szCs w:val="20"/>
                <w:color w:val="auto"/>
              </w:rPr>
            </w:pPr>
            <w:r>
              <w:rPr>
                <w:rFonts w:ascii="Arial" w:cs="Arial" w:eastAsia="Arial" w:hAnsi="Arial"/>
                <w:sz w:val="18"/>
                <w:szCs w:val="18"/>
                <w:b w:val="1"/>
                <w:bCs w:val="1"/>
                <w:color w:val="auto"/>
              </w:rPr>
              <w:t>3Q14</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2Q15</w:t>
            </w:r>
          </w:p>
        </w:tc>
        <w:tc>
          <w:tcPr>
            <w:tcW w:w="1320" w:type="dxa"/>
            <w:vAlign w:val="bottom"/>
            <w:gridSpan w:val="2"/>
          </w:tcPr>
          <w:p>
            <w:pPr>
              <w:ind w:left="360"/>
              <w:spacing w:after="0"/>
              <w:rPr>
                <w:sz w:val="20"/>
                <w:szCs w:val="20"/>
                <w:color w:val="auto"/>
              </w:rPr>
            </w:pPr>
            <w:r>
              <w:rPr>
                <w:rFonts w:ascii="Arial" w:cs="Arial" w:eastAsia="Arial" w:hAnsi="Arial"/>
                <w:sz w:val="18"/>
                <w:szCs w:val="18"/>
                <w:b w:val="1"/>
                <w:bCs w:val="1"/>
                <w:color w:val="auto"/>
              </w:rPr>
              <w:t>3Q15</w:t>
            </w:r>
          </w:p>
        </w:tc>
        <w:tc>
          <w:tcPr>
            <w:tcW w:w="1740" w:type="dxa"/>
            <w:vAlign w:val="bottom"/>
            <w:gridSpan w:val="3"/>
          </w:tcPr>
          <w:p>
            <w:pPr>
              <w:ind w:left="40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2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-52.4%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Non-financial income</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109.7</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118.1</w:t>
            </w:r>
          </w:p>
        </w:tc>
        <w:tc>
          <w:tcPr>
            <w:tcW w:w="1140" w:type="dxa"/>
            <w:vAlign w:val="bottom"/>
          </w:tcPr>
          <w:p>
            <w:pPr>
              <w:jc w:val="right"/>
              <w:spacing w:after="0"/>
              <w:rPr>
                <w:sz w:val="20"/>
                <w:szCs w:val="20"/>
                <w:color w:val="auto"/>
              </w:rPr>
            </w:pPr>
            <w:r>
              <w:rPr>
                <w:rFonts w:ascii="Arial" w:cs="Arial" w:eastAsia="Arial" w:hAnsi="Arial"/>
                <w:sz w:val="18"/>
                <w:szCs w:val="18"/>
                <w:color w:val="auto"/>
              </w:rPr>
              <w:t>106.2</w:t>
            </w:r>
          </w:p>
        </w:tc>
        <w:tc>
          <w:tcPr>
            <w:tcW w:w="180" w:type="dxa"/>
            <w:vAlign w:val="bottom"/>
          </w:tcPr>
          <w:p>
            <w:pPr>
              <w:spacing w:after="0"/>
              <w:rPr>
                <w:sz w:val="18"/>
                <w:szCs w:val="18"/>
                <w:color w:val="auto"/>
              </w:rPr>
            </w:pP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Fee income</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77.9</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93.2</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80.7</w:t>
            </w: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Net gain on foreign exchange transactions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419.1%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gain on sales of securities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w:t>
            </w: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Other income</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-73.5%</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0"/>
        </w:trPr>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78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30"/>
                <w:szCs w:val="30"/>
                <w:color w:val="auto"/>
                <w:vertAlign w:val="superscript"/>
              </w:rPr>
              <w:t>(1)</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-89.9</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-101.6</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-85.9</w:t>
            </w: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1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w:t>
            </w:r>
          </w:p>
        </w:tc>
        <w:tc>
          <w:tcPr>
            <w:tcW w:w="1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w:t>
            </w:r>
          </w:p>
        </w:tc>
        <w:tc>
          <w:tcPr>
            <w:tcW w:w="1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76.7%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Translation results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-113.5%</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70"/>
        </w:trPr>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78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Minority interest </w:t>
            </w:r>
            <w:r>
              <w:rPr>
                <w:rFonts w:ascii="Arial" w:cs="Arial" w:eastAsia="Arial" w:hAnsi="Arial"/>
                <w:sz w:val="30"/>
                <w:szCs w:val="30"/>
                <w:color w:val="auto"/>
                <w:vertAlign w:val="superscript"/>
              </w:rPr>
              <w:t>(2)</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5"/>
        </w:trPr>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11.4</w:t>
            </w:r>
          </w:p>
        </w:tc>
        <w:tc>
          <w:tcPr>
            <w:tcW w:w="1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w:t>
            </w:r>
          </w:p>
        </w:tc>
        <w:tc>
          <w:tcPr>
            <w:tcW w:w="1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11.4</w:t>
            </w:r>
          </w:p>
        </w:tc>
        <w:tc>
          <w:tcPr>
            <w:tcW w:w="1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-35.7</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-8890</wp:posOffset>
            </wp:positionV>
            <wp:extent cx="41421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142105"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 Unaudited results.</w:t>
      </w:r>
    </w:p>
    <w:p>
      <w:pPr>
        <w:spacing w:after="0" w:line="7" w:lineRule="exact"/>
        <w:rPr>
          <w:sz w:val="20"/>
          <w:szCs w:val="20"/>
          <w:color w:val="auto"/>
        </w:rPr>
      </w:pPr>
    </w:p>
    <w:p>
      <w:pPr>
        <w:ind w:left="660" w:right="780" w:hanging="4"/>
        <w:spacing w:after="0" w:line="250" w:lineRule="auto"/>
        <w:tabs>
          <w:tab w:leader="none" w:pos="91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Salaries and employees benefits + Administrative expenses + Assigned expenses + Depreciation and amortization + Tax and contributions + Other expenses.</w:t>
      </w:r>
    </w:p>
    <w:p>
      <w:pPr>
        <w:ind w:left="920" w:hanging="264"/>
        <w:spacing w:after="0"/>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Percentage of Correval and IM Trust that is not owned by BCP Colombia and BCP Chile (49% and 39.4%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3"/>
          </w:tcPr>
          <w:p>
            <w:pPr>
              <w:spacing w:after="0"/>
              <w:rPr>
                <w:sz w:val="20"/>
                <w:szCs w:val="20"/>
                <w:color w:val="auto"/>
              </w:rPr>
            </w:pPr>
            <w:r>
              <w:rPr>
                <w:rFonts w:ascii="Arial" w:cs="Arial" w:eastAsia="Arial" w:hAnsi="Arial"/>
                <w:sz w:val="18"/>
                <w:szCs w:val="18"/>
                <w:b w:val="1"/>
                <w:bCs w:val="1"/>
                <w:color w:val="auto"/>
              </w:rPr>
              <w:t>Non-financial income</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440" w:type="dxa"/>
            <w:vAlign w:val="bottom"/>
            <w:gridSpan w:val="3"/>
          </w:tcPr>
          <w:p>
            <w:pPr>
              <w:ind w:left="660"/>
              <w:spacing w:after="0"/>
              <w:rPr>
                <w:sz w:val="20"/>
                <w:szCs w:val="20"/>
                <w:color w:val="auto"/>
              </w:rPr>
            </w:pPr>
            <w:r>
              <w:rPr>
                <w:rFonts w:ascii="Arial" w:cs="Arial" w:eastAsia="Arial" w:hAnsi="Arial"/>
                <w:sz w:val="18"/>
                <w:szCs w:val="18"/>
                <w:b w:val="1"/>
                <w:bCs w:val="1"/>
                <w:color w:val="auto"/>
              </w:rPr>
              <w:t>Credicorp Capital</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Quarter</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3"/>
          </w:tcPr>
          <w:p>
            <w:pPr>
              <w:ind w:left="900"/>
              <w:spacing w:after="0"/>
              <w:rPr>
                <w:sz w:val="20"/>
                <w:szCs w:val="20"/>
                <w:color w:val="auto"/>
              </w:rPr>
            </w:pPr>
            <w:r>
              <w:rPr>
                <w:rFonts w:ascii="Arial" w:cs="Arial" w:eastAsia="Arial" w:hAnsi="Arial"/>
                <w:sz w:val="18"/>
                <w:szCs w:val="18"/>
                <w:b w:val="1"/>
                <w:bCs w:val="1"/>
                <w:color w:val="auto"/>
                <w:w w:val="97"/>
              </w:rPr>
              <w:t>% change</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40" w:type="dxa"/>
            <w:vAlign w:val="bottom"/>
            <w:gridSpan w:val="3"/>
          </w:tcPr>
          <w:p>
            <w:pPr>
              <w:ind w:left="660"/>
              <w:spacing w:after="0"/>
              <w:rPr>
                <w:sz w:val="20"/>
                <w:szCs w:val="20"/>
                <w:color w:val="auto"/>
              </w:rPr>
            </w:pPr>
            <w:r>
              <w:rPr>
                <w:rFonts w:ascii="Arial" w:cs="Arial" w:eastAsia="Arial" w:hAnsi="Arial"/>
                <w:sz w:val="18"/>
                <w:szCs w:val="18"/>
                <w:b w:val="1"/>
                <w:bCs w:val="1"/>
                <w:color w:val="auto"/>
              </w:rPr>
              <w:t>S/. 000</w:t>
            </w:r>
          </w:p>
        </w:tc>
        <w:tc>
          <w:tcPr>
            <w:tcW w:w="1320" w:type="dxa"/>
            <w:vAlign w:val="bottom"/>
            <w:gridSpan w:val="2"/>
          </w:tcPr>
          <w:p>
            <w:pPr>
              <w:ind w:left="360"/>
              <w:spacing w:after="0"/>
              <w:rPr>
                <w:sz w:val="20"/>
                <w:szCs w:val="20"/>
                <w:color w:val="auto"/>
              </w:rPr>
            </w:pPr>
            <w:r>
              <w:rPr>
                <w:rFonts w:ascii="Arial" w:cs="Arial" w:eastAsia="Arial" w:hAnsi="Arial"/>
                <w:sz w:val="18"/>
                <w:szCs w:val="18"/>
                <w:b w:val="1"/>
                <w:bCs w:val="1"/>
                <w:color w:val="auto"/>
              </w:rPr>
              <w:t>3Q14</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2Q15</w:t>
            </w:r>
          </w:p>
        </w:tc>
        <w:tc>
          <w:tcPr>
            <w:tcW w:w="1320" w:type="dxa"/>
            <w:vAlign w:val="bottom"/>
            <w:gridSpan w:val="2"/>
          </w:tcPr>
          <w:p>
            <w:pPr>
              <w:ind w:left="360"/>
              <w:spacing w:after="0"/>
              <w:rPr>
                <w:sz w:val="20"/>
                <w:szCs w:val="20"/>
                <w:color w:val="auto"/>
              </w:rPr>
            </w:pPr>
            <w:r>
              <w:rPr>
                <w:rFonts w:ascii="Arial" w:cs="Arial" w:eastAsia="Arial" w:hAnsi="Arial"/>
                <w:sz w:val="18"/>
                <w:szCs w:val="18"/>
                <w:b w:val="1"/>
                <w:bCs w:val="1"/>
                <w:color w:val="auto"/>
              </w:rPr>
              <w:t>3Q15</w:t>
            </w:r>
          </w:p>
        </w:tc>
        <w:tc>
          <w:tcPr>
            <w:tcW w:w="1740" w:type="dxa"/>
            <w:vAlign w:val="bottom"/>
            <w:gridSpan w:val="3"/>
          </w:tcPr>
          <w:p>
            <w:pPr>
              <w:ind w:left="40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Non-financial income</w:t>
            </w:r>
          </w:p>
        </w:tc>
        <w:tc>
          <w:tcPr>
            <w:tcW w:w="12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109,655</w:t>
            </w:r>
          </w:p>
        </w:tc>
        <w:tc>
          <w:tcPr>
            <w:tcW w:w="18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118,146</w:t>
            </w:r>
          </w:p>
        </w:tc>
        <w:tc>
          <w:tcPr>
            <w:tcW w:w="18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106,204</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Fee income</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77,916</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93,233</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80,722</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on foreign exchange transactions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6,979</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Net gain on sales of securities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23,328</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18,789</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14,497</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3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Arial" w:cs="Arial" w:eastAsia="Arial" w:hAnsi="Arial"/>
                <w:sz w:val="18"/>
                <w:szCs w:val="18"/>
                <w:b w:val="1"/>
                <w:bCs w:val="1"/>
                <w:color w:val="auto"/>
              </w:rPr>
              <w:t>11.5</w:t>
            </w:r>
          </w:p>
        </w:tc>
        <w:tc>
          <w:tcPr>
            <w:tcW w:w="3680" w:type="dxa"/>
            <w:vAlign w:val="bottom"/>
            <w:gridSpan w:val="3"/>
          </w:tcPr>
          <w:p>
            <w:pPr>
              <w:ind w:left="180"/>
              <w:spacing w:after="0"/>
              <w:rPr>
                <w:sz w:val="20"/>
                <w:szCs w:val="20"/>
                <w:color w:val="auto"/>
              </w:rPr>
            </w:pPr>
            <w:r>
              <w:rPr>
                <w:rFonts w:ascii="Arial" w:cs="Arial" w:eastAsia="Arial" w:hAnsi="Arial"/>
                <w:sz w:val="18"/>
                <w:szCs w:val="18"/>
                <w:b w:val="1"/>
                <w:bCs w:val="1"/>
                <w:color w:val="auto"/>
              </w:rPr>
              <w:t>Atlantic Security Bank</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ASB</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Quarter</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ind w:left="740"/>
              <w:spacing w:after="0"/>
              <w:rPr>
                <w:sz w:val="20"/>
                <w:szCs w:val="20"/>
                <w:color w:val="auto"/>
              </w:rPr>
            </w:pPr>
            <w:r>
              <w:rPr>
                <w:rFonts w:ascii="Arial" w:cs="Arial" w:eastAsia="Arial" w:hAnsi="Arial"/>
                <w:sz w:val="18"/>
                <w:szCs w:val="18"/>
                <w:b w:val="1"/>
                <w:bCs w:val="1"/>
                <w:color w:val="auto"/>
                <w:w w:val="92"/>
              </w:rPr>
              <w:t>% change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w:t>
            </w: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3Q14</w:t>
            </w: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2Q15</w:t>
            </w: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3Q15</w:t>
            </w: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890.6</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908.1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873.7</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1,861.6</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1,954.5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1,997.2</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1,549.9</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1,618.6</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1,660.9</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213.8</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195.6</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200.8</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0"/>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1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1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w:t>
            </w:r>
          </w:p>
        </w:tc>
        <w:tc>
          <w:tcPr>
            <w:tcW w:w="1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117.7</w:t>
            </w:r>
          </w:p>
        </w:tc>
        <w:tc>
          <w:tcPr>
            <w:tcW w:w="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117.4</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income/share</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r>
      <w:tr>
        <w:trPr>
          <w:trHeight w:val="426"/>
        </w:trPr>
        <w:tc>
          <w:tcPr>
            <w:tcW w:w="41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Interest earning assets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7"/>
        </w:trPr>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Quarter</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ind w:left="740"/>
              <w:spacing w:after="0"/>
              <w:rPr>
                <w:sz w:val="20"/>
                <w:szCs w:val="20"/>
                <w:color w:val="auto"/>
              </w:rPr>
            </w:pPr>
            <w:r>
              <w:rPr>
                <w:rFonts w:ascii="Arial" w:cs="Arial" w:eastAsia="Arial" w:hAnsi="Arial"/>
                <w:sz w:val="18"/>
                <w:szCs w:val="18"/>
                <w:b w:val="1"/>
                <w:bCs w:val="1"/>
                <w:color w:val="auto"/>
                <w:w w:val="92"/>
              </w:rPr>
              <w:t>% change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3Q14</w:t>
            </w: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2Q15</w:t>
            </w: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3Q15</w:t>
            </w: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Due from banks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795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895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897</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778</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5"/>
        </w:trPr>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1,710</w:t>
            </w:r>
          </w:p>
        </w:tc>
        <w:tc>
          <w:tcPr>
            <w:tcW w:w="16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1,813</w:t>
            </w:r>
          </w:p>
        </w:tc>
        <w:tc>
          <w:tcPr>
            <w:tcW w:w="16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1,832</w:t>
            </w:r>
          </w:p>
        </w:tc>
        <w:tc>
          <w:tcPr>
            <w:tcW w:w="1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180" w:type="dxa"/>
            <w:vAlign w:val="bottom"/>
          </w:tcPr>
          <w:p>
            <w:pPr>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-8890</wp:posOffset>
            </wp:positionV>
            <wp:extent cx="36106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 Excludes investments in equities and mutual funds.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3"/>
          </w:tcPr>
          <w:p>
            <w:pPr>
              <w:ind w:left="740"/>
              <w:spacing w:after="0"/>
              <w:rPr>
                <w:sz w:val="20"/>
                <w:szCs w:val="20"/>
                <w:color w:val="auto"/>
              </w:rPr>
            </w:pPr>
            <w:r>
              <w:rPr>
                <w:rFonts w:ascii="Arial" w:cs="Arial" w:eastAsia="Arial" w:hAnsi="Arial"/>
                <w:sz w:val="18"/>
                <w:szCs w:val="18"/>
                <w:b w:val="1"/>
                <w:bCs w:val="1"/>
                <w:color w:val="auto"/>
                <w:w w:val="92"/>
              </w:rPr>
              <w:t>% change</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3Q14</w:t>
            </w: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2Q15</w:t>
            </w: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3Q15</w:t>
            </w: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Borrowed Funds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-25.4%</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30.2%</w:t>
            </w:r>
          </w:p>
        </w:tc>
      </w:tr>
      <w:tr>
        <w:trPr>
          <w:trHeight w:val="230"/>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76.3%</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10"/>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1,648</w:t>
            </w:r>
          </w:p>
        </w:tc>
        <w:tc>
          <w:tcPr>
            <w:tcW w:w="16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1,759</w:t>
            </w:r>
          </w:p>
        </w:tc>
        <w:tc>
          <w:tcPr>
            <w:tcW w:w="16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1,791</w:t>
            </w:r>
          </w:p>
        </w:tc>
        <w:tc>
          <w:tcPr>
            <w:tcW w:w="1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5" w:right="2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Assets under management and Deposits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Assets Under Management and Deposits (US$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154940</wp:posOffset>
            </wp:positionV>
            <wp:extent cx="3799205" cy="1912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799205"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distribution as of September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152400</wp:posOffset>
            </wp:positionV>
            <wp:extent cx="3627755" cy="20154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27755"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11.6</w:t>
            </w:r>
          </w:p>
        </w:tc>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Grupo Pacifico</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80" w:type="dxa"/>
            <w:vAlign w:val="bottom"/>
            <w:gridSpan w:val="5"/>
          </w:tcPr>
          <w:p>
            <w:pPr>
              <w:jc w:val="right"/>
              <w:ind w:right="1080"/>
              <w:spacing w:after="0"/>
              <w:rPr>
                <w:sz w:val="20"/>
                <w:szCs w:val="20"/>
                <w:color w:val="auto"/>
              </w:rPr>
            </w:pPr>
            <w:r>
              <w:rPr>
                <w:rFonts w:ascii="Arial" w:cs="Arial" w:eastAsia="Arial" w:hAnsi="Arial"/>
                <w:sz w:val="18"/>
                <w:szCs w:val="18"/>
                <w:b w:val="1"/>
                <w:bCs w:val="1"/>
                <w:color w:val="auto"/>
              </w:rPr>
              <w:t>GRUPO PACÍFICO*</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0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w w:val="88"/>
              </w:rPr>
              <w:t>(Nuevos Soles in thousands )</w:t>
            </w: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3"/>
          </w:tcPr>
          <w:p>
            <w:pPr>
              <w:ind w:left="760"/>
              <w:spacing w:after="0"/>
              <w:rPr>
                <w:sz w:val="20"/>
                <w:szCs w:val="20"/>
                <w:color w:val="auto"/>
              </w:rPr>
            </w:pPr>
            <w:r>
              <w:rPr>
                <w:rFonts w:ascii="Arial" w:cs="Arial" w:eastAsia="Arial" w:hAnsi="Arial"/>
                <w:sz w:val="18"/>
                <w:szCs w:val="18"/>
                <w:b w:val="1"/>
                <w:bCs w:val="1"/>
                <w:color w:val="auto"/>
                <w:w w:val="95"/>
              </w:rPr>
              <w:t>% 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3Q14</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2Q15</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3Q15</w:t>
            </w:r>
          </w:p>
        </w:tc>
        <w:tc>
          <w:tcPr>
            <w:tcW w:w="158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b w:val="1"/>
                <w:bCs w:val="1"/>
                <w:color w:val="auto"/>
                <w:w w:val="89"/>
              </w:rPr>
              <w:t>Balance</w:t>
            </w:r>
          </w:p>
        </w:tc>
        <w:tc>
          <w:tcPr>
            <w:tcW w:w="4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8,521,038</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8,719,342</w:t>
            </w:r>
          </w:p>
        </w:tc>
        <w:tc>
          <w:tcPr>
            <w:tcW w:w="3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8,816,211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Invesment on securities </w:t>
            </w:r>
            <w:r>
              <w:rPr>
                <w:rFonts w:ascii="Arial" w:cs="Arial" w:eastAsia="Arial" w:hAnsi="Arial"/>
                <w:sz w:val="29"/>
                <w:szCs w:val="29"/>
                <w:color w:val="auto"/>
                <w:vertAlign w:val="superscript"/>
              </w:rPr>
              <w:t>(1)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5,229,270</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6,415,552</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6,443,018</w:t>
            </w:r>
          </w:p>
        </w:tc>
        <w:tc>
          <w:tcPr>
            <w:tcW w:w="3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Technical reserves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5,322,961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5,819,066</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6,016,438</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equity</w:t>
            </w:r>
          </w:p>
        </w:tc>
        <w:tc>
          <w:tcPr>
            <w:tcW w:w="1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1,611,494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1,745,821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1,605,360</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920" w:type="dxa"/>
            <w:vAlign w:val="bottom"/>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90"/>
              </w:rPr>
              <w:t>Quarterly income statement</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Net earned premiums</w:t>
            </w:r>
          </w:p>
        </w:tc>
        <w:tc>
          <w:tcPr>
            <w:tcW w:w="1780" w:type="dxa"/>
            <w:vAlign w:val="bottom"/>
            <w:gridSpan w:val="3"/>
          </w:tcPr>
          <w:p>
            <w:pPr>
              <w:jc w:val="right"/>
              <w:ind w:right="300"/>
              <w:spacing w:after="0"/>
              <w:rPr>
                <w:sz w:val="20"/>
                <w:szCs w:val="20"/>
                <w:color w:val="auto"/>
              </w:rPr>
            </w:pPr>
            <w:r>
              <w:rPr>
                <w:rFonts w:ascii="Arial" w:cs="Arial" w:eastAsia="Arial" w:hAnsi="Arial"/>
                <w:sz w:val="18"/>
                <w:szCs w:val="18"/>
                <w:color w:val="auto"/>
              </w:rPr>
              <w:t>573,853</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434,266</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439,480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claims</w:t>
            </w:r>
          </w:p>
        </w:tc>
        <w:tc>
          <w:tcPr>
            <w:tcW w:w="1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358,492</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255,383</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265,647</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w w:val="86"/>
              </w:rPr>
              <w:t>Net fees</w:t>
            </w:r>
          </w:p>
        </w:tc>
        <w:tc>
          <w:tcPr>
            <w:tcW w:w="3920" w:type="dxa"/>
            <w:vAlign w:val="bottom"/>
          </w:tcPr>
          <w:p>
            <w:pPr>
              <w:spacing w:after="0"/>
              <w:rPr>
                <w:sz w:val="18"/>
                <w:szCs w:val="18"/>
                <w:color w:val="auto"/>
              </w:rPr>
            </w:pPr>
          </w:p>
        </w:tc>
        <w:tc>
          <w:tcPr>
            <w:tcW w:w="1780" w:type="dxa"/>
            <w:vAlign w:val="bottom"/>
            <w:gridSpan w:val="3"/>
          </w:tcPr>
          <w:p>
            <w:pPr>
              <w:jc w:val="right"/>
              <w:ind w:right="300"/>
              <w:spacing w:after="0"/>
              <w:rPr>
                <w:sz w:val="20"/>
                <w:szCs w:val="20"/>
                <w:color w:val="auto"/>
              </w:rPr>
            </w:pPr>
            <w:r>
              <w:rPr>
                <w:rFonts w:ascii="Arial" w:cs="Arial" w:eastAsia="Arial" w:hAnsi="Arial"/>
                <w:sz w:val="18"/>
                <w:szCs w:val="18"/>
                <w:color w:val="auto"/>
              </w:rPr>
              <w:t>105,668</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101,964</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102,713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underwriting expenses</w:t>
            </w:r>
          </w:p>
        </w:tc>
        <w:tc>
          <w:tcPr>
            <w:tcW w:w="1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12,710</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12,134</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14,531</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Underwriting result before Medical services</w:t>
            </w:r>
          </w:p>
        </w:tc>
        <w:tc>
          <w:tcPr>
            <w:tcW w:w="17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96,982</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64,785</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56,588</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-12.7%</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-41.7%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gridSpan w:val="2"/>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Medical services gross margin</w:t>
            </w:r>
          </w:p>
        </w:tc>
        <w:tc>
          <w:tcPr>
            <w:tcW w:w="1780" w:type="dxa"/>
            <w:vAlign w:val="bottom"/>
            <w:gridSpan w:val="3"/>
          </w:tcPr>
          <w:p>
            <w:pPr>
              <w:jc w:val="right"/>
              <w:ind w:right="300"/>
              <w:spacing w:after="0"/>
              <w:rPr>
                <w:sz w:val="20"/>
                <w:szCs w:val="20"/>
                <w:color w:val="auto"/>
              </w:rPr>
            </w:pPr>
            <w:r>
              <w:rPr>
                <w:rFonts w:ascii="Arial" w:cs="Arial" w:eastAsia="Arial" w:hAnsi="Arial"/>
                <w:sz w:val="18"/>
                <w:szCs w:val="18"/>
                <w:color w:val="auto"/>
              </w:rPr>
              <w:t>28,813</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financial income</w:t>
            </w:r>
          </w:p>
        </w:tc>
        <w:tc>
          <w:tcPr>
            <w:tcW w:w="1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87,035</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97,425</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81,792</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138,085</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97,758</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90,406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1,853</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5,404</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4,577</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Traslations results</w:t>
            </w:r>
          </w:p>
        </w:tc>
        <w:tc>
          <w:tcPr>
            <w:tcW w:w="1780" w:type="dxa"/>
            <w:vAlign w:val="bottom"/>
            <w:gridSpan w:val="3"/>
          </w:tcPr>
          <w:p>
            <w:pPr>
              <w:jc w:val="right"/>
              <w:ind w:right="300"/>
              <w:spacing w:after="0"/>
              <w:rPr>
                <w:sz w:val="20"/>
                <w:szCs w:val="20"/>
                <w:color w:val="auto"/>
              </w:rPr>
            </w:pPr>
            <w:r>
              <w:rPr>
                <w:rFonts w:ascii="Arial" w:cs="Arial" w:eastAsia="Arial" w:hAnsi="Arial"/>
                <w:sz w:val="18"/>
                <w:szCs w:val="18"/>
                <w:color w:val="auto"/>
              </w:rPr>
              <w:t>740</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4,868</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478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-90.2%</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Gain (loss) from Grupo Pacífico and Banmédica joint venture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-228</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3,172</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780" w:type="dxa"/>
            <w:vAlign w:val="bottom"/>
            <w:gridSpan w:val="3"/>
          </w:tcPr>
          <w:p>
            <w:pPr>
              <w:jc w:val="right"/>
              <w:ind w:right="300"/>
              <w:spacing w:after="0"/>
              <w:rPr>
                <w:sz w:val="20"/>
                <w:szCs w:val="20"/>
                <w:color w:val="auto"/>
              </w:rPr>
            </w:pPr>
            <w:r>
              <w:rPr>
                <w:rFonts w:ascii="Arial" w:cs="Arial" w:eastAsia="Arial" w:hAnsi="Arial"/>
                <w:sz w:val="18"/>
                <w:szCs w:val="18"/>
                <w:color w:val="auto"/>
              </w:rPr>
              <w:t>15,075</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7,520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7,026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gridSpan w:val="2"/>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Income before minority interest</w:t>
            </w:r>
          </w:p>
        </w:tc>
        <w:tc>
          <w:tcPr>
            <w:tcW w:w="17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62,264</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66,976</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49,176</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-26.6%</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6,390</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7,010</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5,167</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55,874</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59,966</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44,008</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920" w:type="dxa"/>
            <w:vAlign w:val="bottom"/>
            <w:shd w:val="clear" w:color="auto" w:fill="CCEEFF"/>
          </w:tcPr>
          <w:p>
            <w:pPr>
              <w:jc w:val="center"/>
              <w:ind w:right="170"/>
              <w:spacing w:after="0"/>
              <w:rPr>
                <w:sz w:val="20"/>
                <w:szCs w:val="20"/>
                <w:color w:val="auto"/>
              </w:rPr>
            </w:pPr>
            <w:r>
              <w:rPr>
                <w:rFonts w:ascii="Arial" w:cs="Arial" w:eastAsia="Arial" w:hAnsi="Arial"/>
                <w:sz w:val="18"/>
                <w:szCs w:val="18"/>
                <w:b w:val="1"/>
                <w:bCs w:val="1"/>
                <w:color w:val="auto"/>
                <w:w w:val="90"/>
              </w:rPr>
              <w:t>Ratios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Ceded</w:t>
            </w:r>
          </w:p>
        </w:tc>
        <w:tc>
          <w:tcPr>
            <w:tcW w:w="3920" w:type="dxa"/>
            <w:vAlign w:val="bottom"/>
          </w:tcPr>
          <w:p>
            <w:pPr>
              <w:spacing w:after="0"/>
              <w:rPr>
                <w:sz w:val="18"/>
                <w:szCs w:val="18"/>
                <w:color w:val="auto"/>
              </w:rPr>
            </w:pPr>
          </w:p>
        </w:tc>
        <w:tc>
          <w:tcPr>
            <w:tcW w:w="1780" w:type="dxa"/>
            <w:vAlign w:val="bottom"/>
            <w:gridSpan w:val="3"/>
          </w:tcPr>
          <w:p>
            <w:pPr>
              <w:jc w:val="right"/>
              <w:ind w:right="160"/>
              <w:spacing w:after="0"/>
              <w:rPr>
                <w:sz w:val="20"/>
                <w:szCs w:val="20"/>
                <w:color w:val="auto"/>
              </w:rPr>
            </w:pPr>
            <w:r>
              <w:rPr>
                <w:rFonts w:ascii="Arial" w:cs="Arial" w:eastAsia="Arial" w:hAnsi="Arial"/>
                <w:sz w:val="18"/>
                <w:szCs w:val="18"/>
                <w:color w:val="auto"/>
              </w:rPr>
              <w:t>12.2%</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ratio</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62.5%</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60.4%</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w w:val="97"/>
              </w:rPr>
              <w:t>Fees + underwriting expenses, net / net earned premiums</w:t>
            </w:r>
          </w:p>
        </w:tc>
        <w:tc>
          <w:tcPr>
            <w:tcW w:w="1780" w:type="dxa"/>
            <w:vAlign w:val="bottom"/>
            <w:gridSpan w:val="3"/>
          </w:tcPr>
          <w:p>
            <w:pPr>
              <w:jc w:val="right"/>
              <w:ind w:right="160"/>
              <w:spacing w:after="0"/>
              <w:rPr>
                <w:sz w:val="20"/>
                <w:szCs w:val="20"/>
                <w:color w:val="auto"/>
              </w:rPr>
            </w:pPr>
            <w:r>
              <w:rPr>
                <w:rFonts w:ascii="Arial" w:cs="Arial" w:eastAsia="Arial" w:hAnsi="Arial"/>
                <w:sz w:val="18"/>
                <w:szCs w:val="18"/>
                <w:color w:val="auto"/>
              </w:rPr>
              <w:t>20.6%</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26.7%</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 results / net earned premiums</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Operating expenses / net earned premiums</w:t>
            </w:r>
          </w:p>
        </w:tc>
        <w:tc>
          <w:tcPr>
            <w:tcW w:w="1780" w:type="dxa"/>
            <w:vAlign w:val="bottom"/>
            <w:gridSpan w:val="3"/>
          </w:tcPr>
          <w:p>
            <w:pPr>
              <w:jc w:val="right"/>
              <w:ind w:right="160"/>
              <w:spacing w:after="0"/>
              <w:rPr>
                <w:sz w:val="20"/>
                <w:szCs w:val="20"/>
                <w:color w:val="auto"/>
              </w:rPr>
            </w:pPr>
            <w:r>
              <w:rPr>
                <w:rFonts w:ascii="Arial" w:cs="Arial" w:eastAsia="Arial" w:hAnsi="Arial"/>
                <w:sz w:val="18"/>
                <w:szCs w:val="18"/>
                <w:color w:val="auto"/>
              </w:rPr>
              <w:t>24.1%</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2"/>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(2)(3)</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10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Return on written premiums</w:t>
            </w:r>
          </w:p>
        </w:tc>
        <w:tc>
          <w:tcPr>
            <w:tcW w:w="1780" w:type="dxa"/>
            <w:vAlign w:val="bottom"/>
            <w:gridSpan w:val="3"/>
          </w:tcPr>
          <w:p>
            <w:pPr>
              <w:jc w:val="right"/>
              <w:ind w:right="160"/>
              <w:spacing w:after="0"/>
              <w:rPr>
                <w:sz w:val="20"/>
                <w:szCs w:val="20"/>
                <w:color w:val="auto"/>
              </w:rPr>
            </w:pPr>
            <w:r>
              <w:rPr>
                <w:rFonts w:ascii="Arial" w:cs="Arial" w:eastAsia="Arial" w:hAnsi="Arial"/>
                <w:sz w:val="18"/>
                <w:szCs w:val="18"/>
                <w:color w:val="auto"/>
              </w:rPr>
              <w:t>7.0%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gridSpan w:val="2"/>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Combined ratio of P&amp;C</w:t>
            </w:r>
          </w:p>
        </w:tc>
        <w:tc>
          <w:tcPr>
            <w:tcW w:w="1780" w:type="dxa"/>
            <w:vAlign w:val="bottom"/>
            <w:gridSpan w:val="3"/>
          </w:tcPr>
          <w:p>
            <w:pPr>
              <w:jc w:val="right"/>
              <w:ind w:right="120"/>
              <w:spacing w:after="0" w:line="201" w:lineRule="exact"/>
              <w:rPr>
                <w:sz w:val="20"/>
                <w:szCs w:val="20"/>
                <w:color w:val="auto"/>
              </w:rPr>
            </w:pPr>
            <w:r>
              <w:rPr>
                <w:rFonts w:ascii="Arial" w:cs="Arial" w:eastAsia="Arial" w:hAnsi="Arial"/>
                <w:sz w:val="18"/>
                <w:szCs w:val="18"/>
                <w:b w:val="1"/>
                <w:bCs w:val="1"/>
                <w:color w:val="auto"/>
              </w:rPr>
              <w:t>91.6%</w:t>
            </w:r>
          </w:p>
        </w:tc>
        <w:tc>
          <w:tcPr>
            <w:tcW w:w="130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rPr>
              <w:t>90.6%</w:t>
            </w:r>
          </w:p>
        </w:tc>
        <w:tc>
          <w:tcPr>
            <w:tcW w:w="132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rPr>
              <w:t>92.2%</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rPr>
              <w:t>*Financial statements without consolidation adjustments.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Excluding investments in real estate.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unrealized gains.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Annualized and average are determined as the average of period beginning and period ending.</w:t>
      </w:r>
    </w:p>
    <w:p>
      <w:pPr>
        <w:spacing w:after="0" w:line="200" w:lineRule="exact"/>
        <w:rPr>
          <w:sz w:val="20"/>
          <w:szCs w:val="20"/>
          <w:color w:val="auto"/>
        </w:rPr>
      </w:pPr>
    </w:p>
    <w:p>
      <w:pPr>
        <w:spacing w:after="0" w:line="220"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spacing w:after="0" w:line="277" w:lineRule="auto"/>
        <w:rPr>
          <w:sz w:val="20"/>
          <w:szCs w:val="20"/>
          <w:color w:val="auto"/>
        </w:rPr>
      </w:pPr>
      <w:r>
        <w:rPr>
          <w:rFonts w:ascii="Arial" w:cs="Arial" w:eastAsia="Arial" w:hAnsi="Arial"/>
          <w:sz w:val="18"/>
          <w:szCs w:val="18"/>
          <w:color w:val="auto"/>
        </w:rPr>
        <w:t>From 1Q15 and on, Grupo Pacifico’s financial statements reflect the joint venture with Banmedica (to parrticipate as equal partners, 50/50). This partnership includes:</w:t>
      </w:r>
    </w:p>
    <w:p>
      <w:pPr>
        <w:spacing w:after="0" w:line="170" w:lineRule="exact"/>
        <w:rPr>
          <w:sz w:val="20"/>
          <w:szCs w:val="20"/>
          <w:color w:val="auto"/>
        </w:rPr>
      </w:pPr>
    </w:p>
    <w:p>
      <w:pPr>
        <w:ind w:left="720" w:hanging="658"/>
        <w:spacing w:after="0"/>
        <w:tabs>
          <w:tab w:leader="none" w:pos="7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private health insurance business, which is managed by Grupo Pacifico and incorporated in each line of Grupo Pacifico’s financial statements;</w:t>
      </w:r>
    </w:p>
    <w:p>
      <w:pPr>
        <w:spacing w:after="0" w:line="46" w:lineRule="exact"/>
        <w:rPr>
          <w:rFonts w:ascii="Arial" w:cs="Arial" w:eastAsia="Arial" w:hAnsi="Arial"/>
          <w:sz w:val="16"/>
          <w:szCs w:val="16"/>
          <w:color w:val="auto"/>
        </w:rPr>
      </w:pPr>
    </w:p>
    <w:p>
      <w:pPr>
        <w:ind w:left="720" w:hanging="658"/>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corporate health insurance for payroll employees; and</w:t>
      </w:r>
    </w:p>
    <w:p>
      <w:pPr>
        <w:spacing w:after="0" w:line="9" w:lineRule="exact"/>
        <w:rPr>
          <w:rFonts w:ascii="Arial" w:cs="Arial" w:eastAsia="Arial" w:hAnsi="Arial"/>
          <w:sz w:val="18"/>
          <w:szCs w:val="18"/>
          <w:color w:val="auto"/>
        </w:rPr>
      </w:pPr>
    </w:p>
    <w:p>
      <w:pPr>
        <w:ind w:left="720" w:hanging="658"/>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4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As explained before, </w:t>
      </w:r>
      <w:r>
        <w:rPr>
          <w:rFonts w:ascii="Arial" w:cs="Arial" w:eastAsia="Arial" w:hAnsi="Arial"/>
          <w:sz w:val="18"/>
          <w:szCs w:val="18"/>
          <w:b w:val="1"/>
          <w:bCs w:val="1"/>
          <w:color w:val="auto"/>
        </w:rPr>
        <w:t>corporate health insurance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medical services</w:t>
      </w:r>
      <w:r>
        <w:rPr>
          <w:rFonts w:ascii="Arial" w:cs="Arial" w:eastAsia="Arial" w:hAnsi="Arial"/>
          <w:sz w:val="18"/>
          <w:szCs w:val="18"/>
          <w:color w:val="auto"/>
        </w:rPr>
        <w:t xml:space="preserve"> businesses are consolidated by Banmedica. The following table reflects the consolidated results from which Grupo Pacifico receives the 50% net income.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health insurance and Medical services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(Nuevos Soles in thousands)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Quarter</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3"/>
          </w:tcPr>
          <w:p>
            <w:pPr>
              <w:ind w:left="880"/>
              <w:spacing w:after="0"/>
              <w:rPr>
                <w:sz w:val="20"/>
                <w:szCs w:val="20"/>
                <w:color w:val="auto"/>
              </w:rPr>
            </w:pPr>
            <w:r>
              <w:rPr>
                <w:rFonts w:ascii="Arial" w:cs="Arial" w:eastAsia="Arial" w:hAnsi="Arial"/>
                <w:sz w:val="18"/>
                <w:szCs w:val="18"/>
                <w:b w:val="1"/>
                <w:bCs w:val="1"/>
                <w:color w:val="auto"/>
                <w:w w:val="97"/>
              </w:rPr>
              <w:t>% change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320" w:type="dxa"/>
            <w:vAlign w:val="bottom"/>
            <w:gridSpan w:val="2"/>
          </w:tcPr>
          <w:p>
            <w:pPr>
              <w:ind w:left="360"/>
              <w:spacing w:after="0"/>
              <w:rPr>
                <w:sz w:val="20"/>
                <w:szCs w:val="20"/>
                <w:color w:val="auto"/>
              </w:rPr>
            </w:pPr>
            <w:r>
              <w:rPr>
                <w:rFonts w:ascii="Arial" w:cs="Arial" w:eastAsia="Arial" w:hAnsi="Arial"/>
                <w:sz w:val="18"/>
                <w:szCs w:val="18"/>
                <w:b w:val="1"/>
                <w:bCs w:val="1"/>
                <w:color w:val="auto"/>
              </w:rPr>
              <w:t>3Q14</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2Q15</w:t>
            </w:r>
          </w:p>
        </w:tc>
        <w:tc>
          <w:tcPr>
            <w:tcW w:w="1320" w:type="dxa"/>
            <w:vAlign w:val="bottom"/>
            <w:gridSpan w:val="2"/>
          </w:tcPr>
          <w:p>
            <w:pPr>
              <w:ind w:left="360"/>
              <w:spacing w:after="0"/>
              <w:rPr>
                <w:sz w:val="20"/>
                <w:szCs w:val="20"/>
                <w:color w:val="auto"/>
              </w:rPr>
            </w:pPr>
            <w:r>
              <w:rPr>
                <w:rFonts w:ascii="Arial" w:cs="Arial" w:eastAsia="Arial" w:hAnsi="Arial"/>
                <w:sz w:val="18"/>
                <w:szCs w:val="18"/>
                <w:b w:val="1"/>
                <w:bCs w:val="1"/>
                <w:color w:val="auto"/>
              </w:rPr>
              <w:t>3Q15</w:t>
            </w:r>
          </w:p>
        </w:tc>
        <w:tc>
          <w:tcPr>
            <w:tcW w:w="1720" w:type="dxa"/>
            <w:vAlign w:val="bottom"/>
            <w:gridSpan w:val="3"/>
          </w:tcPr>
          <w:p>
            <w:pPr>
              <w:ind w:left="36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Results</w:t>
            </w: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Net earned premiums</w:t>
            </w:r>
          </w:p>
        </w:tc>
        <w:tc>
          <w:tcPr>
            <w:tcW w:w="1120" w:type="dxa"/>
            <w:vAlign w:val="bottom"/>
          </w:tcPr>
          <w:p>
            <w:pPr>
              <w:jc w:val="right"/>
              <w:spacing w:after="0"/>
              <w:rPr>
                <w:sz w:val="20"/>
                <w:szCs w:val="20"/>
                <w:color w:val="auto"/>
              </w:rPr>
            </w:pPr>
            <w:r>
              <w:rPr>
                <w:rFonts w:ascii="Arial" w:cs="Arial" w:eastAsia="Arial" w:hAnsi="Arial"/>
                <w:sz w:val="18"/>
                <w:szCs w:val="18"/>
                <w:color w:val="auto"/>
              </w:rPr>
              <w:t>193,830</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201,807</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212,094</w:t>
            </w: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claims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-161,971</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-168,690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-181,196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Net fees</w:t>
            </w:r>
          </w:p>
        </w:tc>
        <w:tc>
          <w:tcPr>
            <w:tcW w:w="1120" w:type="dxa"/>
            <w:vAlign w:val="bottom"/>
          </w:tcPr>
          <w:p>
            <w:pPr>
              <w:jc w:val="right"/>
              <w:spacing w:after="0"/>
              <w:rPr>
                <w:sz w:val="20"/>
                <w:szCs w:val="20"/>
                <w:color w:val="auto"/>
              </w:rPr>
            </w:pPr>
            <w:r>
              <w:rPr>
                <w:rFonts w:ascii="Arial" w:cs="Arial" w:eastAsia="Arial" w:hAnsi="Arial"/>
                <w:sz w:val="18"/>
                <w:szCs w:val="18"/>
                <w:color w:val="auto"/>
              </w:rPr>
              <w:t>-9,092</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-9,130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-9,625</w:t>
            </w: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Underwriting result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19,702</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20,984</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17,960</w:t>
            </w: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-14.4%</w:t>
            </w:r>
          </w:p>
        </w:tc>
        <w:tc>
          <w:tcPr>
            <w:tcW w:w="3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Net financial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1,156</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942</w:t>
            </w: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-15,893</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-16,418</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-15,559</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-61.6%</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Traslations results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Income tax</w:t>
            </w:r>
          </w:p>
        </w:tc>
        <w:tc>
          <w:tcPr>
            <w:tcW w:w="1120" w:type="dxa"/>
            <w:vAlign w:val="bottom"/>
          </w:tcPr>
          <w:p>
            <w:pPr>
              <w:jc w:val="right"/>
              <w:spacing w:after="0"/>
              <w:rPr>
                <w:sz w:val="20"/>
                <w:szCs w:val="20"/>
                <w:color w:val="auto"/>
              </w:rPr>
            </w:pPr>
            <w:r>
              <w:rPr>
                <w:rFonts w:ascii="Arial" w:cs="Arial" w:eastAsia="Arial" w:hAnsi="Arial"/>
                <w:sz w:val="18"/>
                <w:szCs w:val="18"/>
                <w:color w:val="auto"/>
              </w:rPr>
              <w:t>-1,357</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-3,473</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-98.6%</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Net income before Medical services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2,903</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3,013</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3,857</w:t>
            </w: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28.0%</w:t>
            </w:r>
          </w:p>
        </w:tc>
        <w:tc>
          <w:tcPr>
            <w:tcW w:w="3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FFFFFF"/>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FFFFFF"/>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FFFFFF"/>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Net income of Medical services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544</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2,992</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9,280</w:t>
            </w: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210.2%</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FFFFFF"/>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FFFFFF"/>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FFFFFF"/>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3,447</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6,005</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13,137</w:t>
            </w:r>
          </w:p>
        </w:tc>
        <w:tc>
          <w:tcPr>
            <w:tcW w:w="20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118.8%</w:t>
            </w:r>
          </w:p>
        </w:tc>
        <w:tc>
          <w:tcPr>
            <w:tcW w:w="3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281.1%</w:t>
            </w:r>
          </w:p>
        </w:tc>
        <w:tc>
          <w:tcPr>
            <w:tcW w:w="0" w:type="dxa"/>
            <w:vAlign w:val="bottom"/>
          </w:tcPr>
          <w:p>
            <w:pPr>
              <w:spacing w:after="0"/>
              <w:rPr>
                <w:sz w:val="1"/>
                <w:szCs w:val="1"/>
                <w:color w:val="auto"/>
              </w:rPr>
            </w:pPr>
          </w:p>
        </w:tc>
      </w:tr>
    </w:tbl>
    <w:p>
      <w:pPr>
        <w:spacing w:after="0" w:line="392"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520" w:type="dxa"/>
            <w:vAlign w:val="bottom"/>
          </w:tcPr>
          <w:p>
            <w:pPr>
              <w:jc w:val="right"/>
              <w:ind w:right="110"/>
              <w:spacing w:after="0"/>
              <w:rPr>
                <w:sz w:val="20"/>
                <w:szCs w:val="20"/>
                <w:color w:val="auto"/>
              </w:rPr>
            </w:pPr>
            <w:r>
              <w:rPr>
                <w:rFonts w:ascii="Arial" w:cs="Arial" w:eastAsia="Arial" w:hAnsi="Arial"/>
                <w:sz w:val="18"/>
                <w:szCs w:val="18"/>
                <w:b w:val="1"/>
                <w:bCs w:val="1"/>
                <w:color w:val="auto"/>
                <w:w w:val="85"/>
              </w:rPr>
              <w:t>11.7</w:t>
            </w:r>
          </w:p>
        </w:tc>
        <w:tc>
          <w:tcPr>
            <w:tcW w:w="3520" w:type="dxa"/>
            <w:vAlign w:val="bottom"/>
            <w:gridSpan w:val="2"/>
          </w:tcPr>
          <w:p>
            <w:pPr>
              <w:ind w:left="140"/>
              <w:spacing w:after="0"/>
              <w:rPr>
                <w:sz w:val="20"/>
                <w:szCs w:val="20"/>
                <w:color w:val="auto"/>
              </w:rPr>
            </w:pPr>
            <w:r>
              <w:rPr>
                <w:rFonts w:ascii="Arial" w:cs="Arial" w:eastAsia="Arial" w:hAnsi="Arial"/>
                <w:sz w:val="18"/>
                <w:szCs w:val="18"/>
                <w:b w:val="1"/>
                <w:bCs w:val="1"/>
                <w:color w:val="auto"/>
              </w:rPr>
              <w:t>Prima AFP</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2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Main financial indicators</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3"/>
          </w:tcPr>
          <w:p>
            <w:pPr>
              <w:ind w:left="840"/>
              <w:spacing w:after="0"/>
              <w:rPr>
                <w:sz w:val="20"/>
                <w:szCs w:val="20"/>
                <w:color w:val="auto"/>
              </w:rPr>
            </w:pPr>
            <w:r>
              <w:rPr>
                <w:rFonts w:ascii="Arial" w:cs="Arial" w:eastAsia="Arial" w:hAnsi="Arial"/>
                <w:sz w:val="18"/>
                <w:szCs w:val="18"/>
                <w:b w:val="1"/>
                <w:bCs w:val="1"/>
                <w:color w:val="auto"/>
                <w:w w:val="95"/>
              </w:rPr>
              <w:t>% change</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3Q14</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2Q15</w:t>
            </w:r>
          </w:p>
        </w:tc>
        <w:tc>
          <w:tcPr>
            <w:tcW w:w="2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3Q15</w:t>
            </w:r>
          </w:p>
        </w:tc>
        <w:tc>
          <w:tcPr>
            <w:tcW w:w="3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844,349</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775,713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808,888</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308,820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267,060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276,854</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535,529</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508,653</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532,035</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520" w:type="dxa"/>
            <w:vAlign w:val="bottom"/>
            <w:gridSpan w:val="2"/>
            <w:vMerge w:val="restart"/>
          </w:tcPr>
          <w:p>
            <w:pPr>
              <w:spacing w:after="0"/>
              <w:rPr>
                <w:sz w:val="20"/>
                <w:szCs w:val="20"/>
                <w:color w:val="auto"/>
              </w:rPr>
            </w:pPr>
            <w:r>
              <w:rPr>
                <w:rFonts w:ascii="Arial" w:cs="Arial" w:eastAsia="Arial" w:hAnsi="Arial"/>
                <w:sz w:val="18"/>
                <w:szCs w:val="18"/>
                <w:color w:val="auto"/>
              </w:rPr>
              <w:t>Income from commissions</w:t>
            </w: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3520" w:type="dxa"/>
            <w:vAlign w:val="bottom"/>
            <w:gridSpan w:val="2"/>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98,312</w:t>
            </w:r>
          </w:p>
        </w:tc>
        <w:tc>
          <w:tcPr>
            <w:tcW w:w="280" w:type="dxa"/>
            <w:vAlign w:val="bottom"/>
            <w:vMerge w:val="continue"/>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101,079</w:t>
            </w:r>
          </w:p>
        </w:tc>
        <w:tc>
          <w:tcPr>
            <w:tcW w:w="280" w:type="dxa"/>
            <w:vAlign w:val="bottom"/>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100,148</w:t>
            </w:r>
          </w:p>
        </w:tc>
        <w:tc>
          <w:tcPr>
            <w:tcW w:w="300" w:type="dxa"/>
            <w:vAlign w:val="bottom"/>
            <w:vMerge w:val="continue"/>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and sale expenses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(36,391)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(39,230)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(36,690)</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(5,043)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(4,742)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(4,773)</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56,878</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57,107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58,686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Other income and expenses, net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(763)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(823)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-52.2%</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(18,961)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(18,136)</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Net income before translation results</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37,154</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42,400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40,157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Translations results</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-108.8%</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37,363</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43,338</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40,074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w:t>
            </w:r>
          </w:p>
        </w:tc>
        <w:tc>
          <w:tcPr>
            <w:tcW w:w="3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520" w:type="dxa"/>
            <w:vAlign w:val="bottom"/>
            <w:gridSpan w:val="2"/>
            <w:vMerge w:val="restart"/>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ROAE </w:t>
            </w:r>
            <w:r>
              <w:rPr>
                <w:rFonts w:ascii="Arial" w:cs="Arial" w:eastAsia="Arial" w:hAnsi="Arial"/>
                <w:sz w:val="30"/>
                <w:szCs w:val="30"/>
                <w:b w:val="1"/>
                <w:bCs w:val="1"/>
                <w:color w:val="auto"/>
                <w:vertAlign w:val="superscript"/>
              </w:rPr>
              <w:t>(1)</w:t>
            </w: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3520" w:type="dxa"/>
            <w:vAlign w:val="bottom"/>
            <w:gridSpan w:val="2"/>
            <w:vMerge w:val="continue"/>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35.7%</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30.8%</w:t>
            </w: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gridSpan w:val="6"/>
          </w:tcPr>
          <w:p>
            <w:pPr>
              <w:ind w:left="520"/>
              <w:spacing w:after="0"/>
              <w:rPr>
                <w:sz w:val="20"/>
                <w:szCs w:val="20"/>
                <w:color w:val="auto"/>
              </w:rPr>
            </w:pPr>
            <w:r>
              <w:rPr>
                <w:rFonts w:ascii="Arial" w:cs="Arial" w:eastAsia="Arial" w:hAnsi="Arial"/>
                <w:sz w:val="18"/>
                <w:szCs w:val="18"/>
                <w:color w:val="auto"/>
                <w:w w:val="95"/>
              </w:rPr>
              <w:t>(1) Net shareholders' equity includes unrealized gains from Prima's investment portfolio.</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8"/>
        </w:trPr>
        <w:tc>
          <w:tcPr>
            <w:tcW w:w="4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Funds under management</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Jun 15</w:t>
            </w:r>
          </w:p>
        </w:tc>
        <w:tc>
          <w:tcPr>
            <w:tcW w:w="2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share</w:t>
            </w:r>
          </w:p>
        </w:tc>
        <w:tc>
          <w:tcPr>
            <w:tcW w:w="24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Sept 15</w:t>
            </w: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share</w:t>
            </w:r>
          </w:p>
        </w:tc>
        <w:tc>
          <w:tcPr>
            <w:tcW w:w="140" w:type="dxa"/>
            <w:vAlign w:val="bottom"/>
            <w:tcBorders>
              <w:bottom w:val="single" w:sz="8" w:color="CCEEFF"/>
            </w:tcBorders>
          </w:tcPr>
          <w:p>
            <w:pPr>
              <w:spacing w:after="0"/>
              <w:rPr>
                <w:sz w:val="24"/>
                <w:szCs w:val="24"/>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Fund 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Fund 2</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26,087</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66.9%</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24,936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67.7%</w:t>
            </w:r>
          </w:p>
        </w:tc>
      </w:tr>
      <w:tr>
        <w:trPr>
          <w:trHeight w:val="23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 3</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8,146</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Total S/. Millions</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39,004</w:t>
            </w:r>
          </w:p>
        </w:tc>
        <w:tc>
          <w:tcPr>
            <w:tcW w:w="2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36,847</w:t>
            </w:r>
          </w:p>
        </w:tc>
        <w:tc>
          <w:tcPr>
            <w:tcW w:w="18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8"/>
              </w:rPr>
              <w:t>Nominal profitability over the last 12 months</w:t>
            </w:r>
          </w:p>
        </w:tc>
        <w:tc>
          <w:tcPr>
            <w:tcW w:w="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446"/>
        </w:trPr>
        <w:tc>
          <w:tcPr>
            <w:tcW w:w="184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5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Jun 15 / Jun 14</w:t>
            </w:r>
          </w:p>
        </w:tc>
        <w:tc>
          <w:tcPr>
            <w:tcW w:w="220" w:type="dxa"/>
            <w:vAlign w:val="bottom"/>
            <w:tcBorders>
              <w:bottom w:val="single" w:sz="8" w:color="CCEEFF"/>
            </w:tcBorders>
          </w:tcPr>
          <w:p>
            <w:pPr>
              <w:spacing w:after="0"/>
              <w:rPr>
                <w:sz w:val="24"/>
                <w:szCs w:val="24"/>
                <w:color w:val="auto"/>
              </w:rPr>
            </w:pPr>
          </w:p>
        </w:tc>
        <w:tc>
          <w:tcPr>
            <w:tcW w:w="15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6"/>
              </w:rPr>
              <w:t>Sept 15 / Sept 14</w:t>
            </w:r>
          </w:p>
        </w:tc>
        <w:tc>
          <w:tcPr>
            <w:tcW w:w="160" w:type="dxa"/>
            <w:vAlign w:val="bottom"/>
            <w:tcBorders>
              <w:bottom w:val="single" w:sz="8" w:color="CCEEFF"/>
            </w:tcBorders>
          </w:tcPr>
          <w:p>
            <w:pPr>
              <w:spacing w:after="0"/>
              <w:rPr>
                <w:sz w:val="24"/>
                <w:szCs w:val="24"/>
                <w:color w:val="auto"/>
              </w:rPr>
            </w:pPr>
          </w:p>
        </w:tc>
        <w:tc>
          <w:tcPr>
            <w:tcW w:w="3660" w:type="dxa"/>
            <w:vAlign w:val="bottom"/>
          </w:tcPr>
          <w:p>
            <w:pPr>
              <w:spacing w:after="0"/>
              <w:rPr>
                <w:sz w:val="24"/>
                <w:szCs w:val="24"/>
                <w:color w:val="auto"/>
              </w:rPr>
            </w:pPr>
          </w:p>
        </w:tc>
      </w:tr>
      <w:tr>
        <w:trPr>
          <w:trHeight w:val="210"/>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Fund 1</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7.1%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60" w:type="dxa"/>
            <w:vAlign w:val="bottom"/>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Fund 2</w:t>
            </w:r>
          </w:p>
        </w:tc>
        <w:tc>
          <w:tcPr>
            <w:tcW w:w="1540" w:type="dxa"/>
            <w:vAlign w:val="bottom"/>
          </w:tcPr>
          <w:p>
            <w:pPr>
              <w:spacing w:after="0"/>
              <w:rPr>
                <w:sz w:val="18"/>
                <w:szCs w:val="18"/>
                <w:color w:val="auto"/>
              </w:rPr>
            </w:pPr>
          </w:p>
        </w:tc>
        <w:tc>
          <w:tcPr>
            <w:tcW w:w="2340" w:type="dxa"/>
            <w:vAlign w:val="bottom"/>
            <w:gridSpan w:val="3"/>
          </w:tcPr>
          <w:p>
            <w:pPr>
              <w:ind w:left="1880"/>
              <w:spacing w:after="0"/>
              <w:rPr>
                <w:sz w:val="20"/>
                <w:szCs w:val="20"/>
                <w:color w:val="auto"/>
              </w:rPr>
            </w:pPr>
            <w:r>
              <w:rPr>
                <w:rFonts w:ascii="Arial" w:cs="Arial" w:eastAsia="Arial" w:hAnsi="Arial"/>
                <w:sz w:val="18"/>
                <w:szCs w:val="18"/>
                <w:color w:val="auto"/>
              </w:rPr>
              <w:t>8.7%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366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Fund 3</w:t>
            </w:r>
          </w:p>
        </w:tc>
        <w:tc>
          <w:tcPr>
            <w:tcW w:w="154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7.0%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660" w:type="dxa"/>
            <w:vAlign w:val="bottom"/>
          </w:tcPr>
          <w:p>
            <w:pPr>
              <w:spacing w:after="0"/>
              <w:rPr>
                <w:sz w:val="18"/>
                <w:szCs w:val="18"/>
                <w:color w:val="auto"/>
              </w:rPr>
            </w:pPr>
          </w:p>
        </w:tc>
      </w:tr>
      <w:tr>
        <w:trPr>
          <w:trHeight w:val="432"/>
        </w:trPr>
        <w:tc>
          <w:tcPr>
            <w:tcW w:w="1840" w:type="dxa"/>
            <w:vAlign w:val="bottom"/>
          </w:tcPr>
          <w:p>
            <w:pPr>
              <w:spacing w:after="0"/>
              <w:rPr>
                <w:sz w:val="20"/>
                <w:szCs w:val="20"/>
                <w:color w:val="auto"/>
              </w:rPr>
            </w:pPr>
            <w:r>
              <w:rPr>
                <w:rFonts w:ascii="Arial" w:cs="Arial" w:eastAsia="Arial" w:hAnsi="Arial"/>
                <w:sz w:val="18"/>
                <w:szCs w:val="18"/>
                <w:b w:val="1"/>
                <w:bCs w:val="1"/>
                <w:i w:val="1"/>
                <w:iCs w:val="1"/>
                <w:color w:val="auto"/>
              </w:rPr>
              <w:t>AFP commissions</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414"/>
        </w:trPr>
        <w:tc>
          <w:tcPr>
            <w:tcW w:w="1840" w:type="dxa"/>
            <w:vAlign w:val="bottom"/>
          </w:tcPr>
          <w:p>
            <w:pPr>
              <w:spacing w:after="0"/>
              <w:rPr>
                <w:sz w:val="20"/>
                <w:szCs w:val="20"/>
                <w:color w:val="auto"/>
              </w:rPr>
            </w:pPr>
            <w:r>
              <w:rPr>
                <w:rFonts w:ascii="Arial" w:cs="Arial" w:eastAsia="Arial" w:hAnsi="Arial"/>
                <w:sz w:val="18"/>
                <w:szCs w:val="18"/>
                <w:b w:val="1"/>
                <w:bCs w:val="1"/>
                <w:color w:val="auto"/>
              </w:rPr>
              <w:t>Fee based on flow</w:t>
            </w:r>
          </w:p>
        </w:tc>
        <w:tc>
          <w:tcPr>
            <w:tcW w:w="1540" w:type="dxa"/>
            <w:vAlign w:val="bottom"/>
          </w:tcPr>
          <w:p>
            <w:pPr>
              <w:jc w:val="right"/>
              <w:ind w:right="530"/>
              <w:spacing w:after="0"/>
              <w:rPr>
                <w:sz w:val="20"/>
                <w:szCs w:val="20"/>
                <w:color w:val="auto"/>
              </w:rPr>
            </w:pPr>
            <w:r>
              <w:rPr>
                <w:rFonts w:ascii="Arial" w:cs="Arial" w:eastAsia="Arial" w:hAnsi="Arial"/>
                <w:sz w:val="18"/>
                <w:szCs w:val="18"/>
                <w:color w:val="auto"/>
              </w:rPr>
              <w:t>1.60%</w:t>
            </w:r>
          </w:p>
        </w:tc>
        <w:tc>
          <w:tcPr>
            <w:tcW w:w="7700" w:type="dxa"/>
            <w:vAlign w:val="bottom"/>
            <w:gridSpan w:val="6"/>
          </w:tcPr>
          <w:p>
            <w:pPr>
              <w:ind w:left="60"/>
              <w:spacing w:after="0"/>
              <w:rPr>
                <w:sz w:val="20"/>
                <w:szCs w:val="20"/>
                <w:color w:val="auto"/>
              </w:rPr>
            </w:pPr>
            <w:r>
              <w:rPr>
                <w:rFonts w:ascii="Arial" w:cs="Arial" w:eastAsia="Arial" w:hAnsi="Arial"/>
                <w:sz w:val="18"/>
                <w:szCs w:val="18"/>
                <w:color w:val="auto"/>
              </w:rPr>
              <w:t>Applied to the affiliates' monthly remuneration.</w:t>
            </w:r>
          </w:p>
        </w:tc>
      </w:tr>
      <w:tr>
        <w:trPr>
          <w:trHeight w:val="220"/>
        </w:trPr>
        <w:tc>
          <w:tcPr>
            <w:tcW w:w="1840" w:type="dxa"/>
            <w:vAlign w:val="bottom"/>
          </w:tcPr>
          <w:p>
            <w:pPr>
              <w:spacing w:after="0"/>
              <w:rPr>
                <w:sz w:val="20"/>
                <w:szCs w:val="20"/>
                <w:color w:val="auto"/>
              </w:rPr>
            </w:pPr>
            <w:r>
              <w:rPr>
                <w:rFonts w:ascii="Arial" w:cs="Arial" w:eastAsia="Arial" w:hAnsi="Arial"/>
                <w:sz w:val="18"/>
                <w:szCs w:val="18"/>
                <w:b w:val="1"/>
                <w:bCs w:val="1"/>
                <w:color w:val="auto"/>
              </w:rPr>
              <w:t>Mixed fee</w:t>
            </w:r>
          </w:p>
        </w:tc>
        <w:tc>
          <w:tcPr>
            <w:tcW w:w="1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60" w:type="dxa"/>
            <w:vAlign w:val="bottom"/>
          </w:tcPr>
          <w:p>
            <w:pPr>
              <w:spacing w:after="0"/>
              <w:rPr>
                <w:sz w:val="19"/>
                <w:szCs w:val="19"/>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Flow</w:t>
            </w:r>
          </w:p>
        </w:tc>
        <w:tc>
          <w:tcPr>
            <w:tcW w:w="1540" w:type="dxa"/>
            <w:vAlign w:val="bottom"/>
          </w:tcPr>
          <w:p>
            <w:pPr>
              <w:jc w:val="right"/>
              <w:ind w:right="530"/>
              <w:spacing w:after="0"/>
              <w:rPr>
                <w:sz w:val="20"/>
                <w:szCs w:val="20"/>
                <w:color w:val="auto"/>
              </w:rPr>
            </w:pPr>
            <w:r>
              <w:rPr>
                <w:rFonts w:ascii="Arial" w:cs="Arial" w:eastAsia="Arial" w:hAnsi="Arial"/>
                <w:sz w:val="18"/>
                <w:szCs w:val="18"/>
                <w:color w:val="auto"/>
              </w:rPr>
              <w:t>1.19%</w:t>
            </w:r>
          </w:p>
        </w:tc>
        <w:tc>
          <w:tcPr>
            <w:tcW w:w="7700" w:type="dxa"/>
            <w:vAlign w:val="bottom"/>
            <w:gridSpan w:val="6"/>
          </w:tcPr>
          <w:p>
            <w:pPr>
              <w:ind w:left="60"/>
              <w:spacing w:after="0"/>
              <w:rPr>
                <w:sz w:val="20"/>
                <w:szCs w:val="20"/>
                <w:color w:val="auto"/>
              </w:rPr>
            </w:pPr>
            <w:r>
              <w:rPr>
                <w:rFonts w:ascii="Arial" w:cs="Arial" w:eastAsia="Arial" w:hAnsi="Arial"/>
                <w:sz w:val="18"/>
                <w:szCs w:val="18"/>
                <w:color w:val="auto"/>
              </w:rPr>
              <w:t>Applied to the affiliates' monthly remuneration since February 2015, before it was 1.51%.</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Balance</w:t>
            </w:r>
          </w:p>
        </w:tc>
        <w:tc>
          <w:tcPr>
            <w:tcW w:w="1540" w:type="dxa"/>
            <w:vAlign w:val="bottom"/>
          </w:tcPr>
          <w:p>
            <w:pPr>
              <w:jc w:val="right"/>
              <w:ind w:right="530"/>
              <w:spacing w:after="0"/>
              <w:rPr>
                <w:sz w:val="20"/>
                <w:szCs w:val="20"/>
                <w:color w:val="auto"/>
              </w:rPr>
            </w:pPr>
            <w:r>
              <w:rPr>
                <w:rFonts w:ascii="Arial" w:cs="Arial" w:eastAsia="Arial" w:hAnsi="Arial"/>
                <w:sz w:val="18"/>
                <w:szCs w:val="18"/>
                <w:color w:val="auto"/>
              </w:rPr>
              <w:t>1.25%</w:t>
            </w:r>
          </w:p>
        </w:tc>
        <w:tc>
          <w:tcPr>
            <w:tcW w:w="7700" w:type="dxa"/>
            <w:vAlign w:val="bottom"/>
            <w:gridSpan w:val="6"/>
          </w:tcPr>
          <w:p>
            <w:pPr>
              <w:ind w:left="60"/>
              <w:spacing w:after="0"/>
              <w:rPr>
                <w:sz w:val="20"/>
                <w:szCs w:val="20"/>
                <w:color w:val="auto"/>
              </w:rPr>
            </w:pPr>
            <w:r>
              <w:rPr>
                <w:rFonts w:ascii="Arial" w:cs="Arial" w:eastAsia="Arial" w:hAnsi="Arial"/>
                <w:sz w:val="18"/>
                <w:szCs w:val="18"/>
                <w:color w:val="auto"/>
                <w:w w:val="90"/>
              </w:rPr>
              <w:t>Applies annualy to the new balance since February 2013 for new affiliates to the system and beginning on</w:t>
            </w:r>
          </w:p>
        </w:tc>
      </w:tr>
      <w:tr>
        <w:trPr>
          <w:trHeight w:val="230"/>
        </w:trPr>
        <w:tc>
          <w:tcPr>
            <w:tcW w:w="18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700" w:type="dxa"/>
            <w:vAlign w:val="bottom"/>
            <w:gridSpan w:val="6"/>
          </w:tcPr>
          <w:p>
            <w:pPr>
              <w:ind w:left="60"/>
              <w:spacing w:after="0"/>
              <w:rPr>
                <w:sz w:val="20"/>
                <w:szCs w:val="20"/>
                <w:color w:val="auto"/>
              </w:rPr>
            </w:pPr>
            <w:r>
              <w:rPr>
                <w:rFonts w:ascii="Arial" w:cs="Arial" w:eastAsia="Arial" w:hAnsi="Arial"/>
                <w:sz w:val="18"/>
                <w:szCs w:val="18"/>
                <w:color w:val="auto"/>
              </w:rPr>
              <w:t>June 2013 for old affiliates who have chosen this commission scheme.</w:t>
            </w:r>
          </w:p>
        </w:tc>
      </w:tr>
      <w:tr>
        <w:trPr>
          <w:trHeight w:val="432"/>
        </w:trPr>
        <w:tc>
          <w:tcPr>
            <w:tcW w:w="1840" w:type="dxa"/>
            <w:vAlign w:val="bottom"/>
          </w:tcPr>
          <w:p>
            <w:pPr>
              <w:spacing w:after="0"/>
              <w:rPr>
                <w:sz w:val="20"/>
                <w:szCs w:val="20"/>
                <w:color w:val="auto"/>
              </w:rPr>
            </w:pPr>
            <w:r>
              <w:rPr>
                <w:rFonts w:ascii="Arial" w:cs="Arial" w:eastAsia="Arial" w:hAnsi="Arial"/>
                <w:sz w:val="18"/>
                <w:szCs w:val="18"/>
                <w:b w:val="1"/>
                <w:bCs w:val="1"/>
                <w:i w:val="1"/>
                <w:iCs w:val="1"/>
                <w:color w:val="auto"/>
              </w:rPr>
              <w:t>Main indicators</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6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b w:val="1"/>
                <w:bCs w:val="1"/>
                <w:color w:val="auto"/>
              </w:rPr>
              <w:t>Prima</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System</w:t>
            </w:r>
          </w:p>
        </w:tc>
        <w:tc>
          <w:tcPr>
            <w:tcW w:w="1380" w:type="dxa"/>
            <w:vAlign w:val="bottom"/>
            <w:gridSpan w:val="2"/>
          </w:tcPr>
          <w:p>
            <w:pPr>
              <w:ind w:left="240"/>
              <w:spacing w:after="0"/>
              <w:rPr>
                <w:sz w:val="20"/>
                <w:szCs w:val="20"/>
                <w:color w:val="auto"/>
              </w:rPr>
            </w:pPr>
            <w:r>
              <w:rPr>
                <w:rFonts w:ascii="Arial" w:cs="Arial" w:eastAsia="Arial" w:hAnsi="Arial"/>
                <w:sz w:val="18"/>
                <w:szCs w:val="18"/>
                <w:b w:val="1"/>
                <w:bCs w:val="1"/>
                <w:color w:val="auto"/>
              </w:rPr>
              <w:t>% share</w:t>
            </w:r>
          </w:p>
        </w:tc>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Prima</w:t>
            </w: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System</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 share</w:t>
            </w:r>
          </w:p>
        </w:tc>
      </w:tr>
      <w:tr>
        <w:trPr>
          <w:trHeight w:val="234"/>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Main indicators and market share</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2Q15</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2Q15</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2Q15</w:t>
            </w:r>
          </w:p>
        </w:tc>
        <w:tc>
          <w:tcPr>
            <w:tcW w:w="26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3Q15</w:t>
            </w:r>
          </w:p>
        </w:tc>
        <w:tc>
          <w:tcPr>
            <w:tcW w:w="2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3Q15</w:t>
            </w:r>
          </w:p>
        </w:tc>
        <w:tc>
          <w:tcPr>
            <w:tcW w:w="2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3Q15</w:t>
            </w:r>
          </w:p>
        </w:tc>
        <w:tc>
          <w:tcPr>
            <w:tcW w:w="160" w:type="dxa"/>
            <w:vAlign w:val="bottom"/>
            <w:tcBorders>
              <w:bottom w:val="single" w:sz="8" w:color="CCEEFF"/>
            </w:tcBorders>
          </w:tcPr>
          <w:p>
            <w:pPr>
              <w:spacing w:after="0"/>
              <w:rPr>
                <w:sz w:val="20"/>
                <w:szCs w:val="20"/>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1,455,214</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5,844,589</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24.9%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1,454,302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5,905,266</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r>
      <w:tr>
        <w:trPr>
          <w:trHeight w:val="257"/>
        </w:trPr>
        <w:tc>
          <w:tcPr>
            <w:tcW w:w="2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New affiliations </w:t>
            </w:r>
            <w:r>
              <w:rPr>
                <w:rFonts w:ascii="Arial" w:cs="Arial" w:eastAsia="Arial" w:hAnsi="Arial"/>
                <w:sz w:val="29"/>
                <w:szCs w:val="29"/>
                <w:color w:val="auto"/>
                <w:vertAlign w:val="superscript"/>
              </w:rPr>
              <w:t>(1)</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65,506</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0.00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72,155</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02"/>
        </w:trPr>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Funds under management (S/.</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39,004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122,057</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32.0%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36,847</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115,817</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w:t>
            </w:r>
          </w:p>
        </w:tc>
      </w:tr>
      <w:tr>
        <w:trPr>
          <w:trHeight w:val="257"/>
        </w:trPr>
        <w:tc>
          <w:tcPr>
            <w:tcW w:w="2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Collections (S/. Millions) </w:t>
            </w:r>
            <w:r>
              <w:rPr>
                <w:rFonts w:ascii="Arial" w:cs="Arial" w:eastAsia="Arial" w:hAnsi="Arial"/>
                <w:sz w:val="29"/>
                <w:szCs w:val="29"/>
                <w:color w:val="auto"/>
                <w:vertAlign w:val="superscript"/>
              </w:rPr>
              <w:t>(1)</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741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2,228</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33.2%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724</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2,227</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p>
        </w:tc>
      </w:tr>
      <w:tr>
        <w:trPr>
          <w:trHeight w:val="202"/>
        </w:trPr>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Voluntary contributions (S/.</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44.0%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r>
      <w:tr>
        <w:trPr>
          <w:trHeight w:val="242"/>
        </w:trPr>
        <w:tc>
          <w:tcPr>
            <w:tcW w:w="2740" w:type="dxa"/>
            <w:vAlign w:val="bottom"/>
            <w:gridSpan w:val="2"/>
          </w:tcPr>
          <w:p>
            <w:pPr>
              <w:spacing w:after="0" w:line="242" w:lineRule="exact"/>
              <w:rPr>
                <w:sz w:val="20"/>
                <w:szCs w:val="20"/>
                <w:color w:val="auto"/>
              </w:rPr>
            </w:pPr>
            <w:r>
              <w:rPr>
                <w:rFonts w:ascii="Arial" w:cs="Arial" w:eastAsia="Arial" w:hAnsi="Arial"/>
                <w:sz w:val="17"/>
                <w:szCs w:val="17"/>
                <w:color w:val="auto"/>
              </w:rPr>
              <w:t xml:space="preserve">RAM (S/. Millions) </w:t>
            </w:r>
            <w:r>
              <w:rPr>
                <w:rFonts w:ascii="Arial" w:cs="Arial" w:eastAsia="Arial" w:hAnsi="Arial"/>
                <w:sz w:val="28"/>
                <w:szCs w:val="28"/>
                <w:color w:val="auto"/>
                <w:vertAlign w:val="superscript"/>
              </w:rPr>
              <w:t>(2)</w:t>
            </w:r>
          </w:p>
        </w:tc>
        <w:tc>
          <w:tcPr>
            <w:tcW w:w="1100" w:type="dxa"/>
            <w:vAlign w:val="bottom"/>
          </w:tcPr>
          <w:p>
            <w:pPr>
              <w:jc w:val="right"/>
              <w:spacing w:after="0"/>
              <w:rPr>
                <w:sz w:val="20"/>
                <w:szCs w:val="20"/>
                <w:color w:val="auto"/>
              </w:rPr>
            </w:pPr>
            <w:r>
              <w:rPr>
                <w:rFonts w:ascii="Arial" w:cs="Arial" w:eastAsia="Arial" w:hAnsi="Arial"/>
                <w:sz w:val="18"/>
                <w:szCs w:val="18"/>
                <w:color w:val="auto"/>
              </w:rPr>
              <w:t>2,152</w:t>
            </w: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6,525</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33.0%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2,113</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6,526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Source: SBS</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Accumulated to the quarter. Prima AFP's new affiliations correspond to fishing workers.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Prima AFP estimate: Average of aggregated income during the last 4 months, excluding special collections and voluntary contribution fees.</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5" w:right="2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320" w:type="dxa"/>
            <w:vAlign w:val="bottom"/>
            <w:gridSpan w:val="2"/>
          </w:tcPr>
          <w:p>
            <w:pPr>
              <w:spacing w:after="0"/>
              <w:rPr>
                <w:sz w:val="20"/>
                <w:szCs w:val="20"/>
                <w:color w:val="auto"/>
              </w:rPr>
            </w:pPr>
            <w:r>
              <w:rPr>
                <w:rFonts w:ascii="Arial" w:cs="Arial" w:eastAsia="Arial" w:hAnsi="Arial"/>
                <w:sz w:val="18"/>
                <w:szCs w:val="18"/>
                <w:b w:val="1"/>
                <w:bCs w:val="1"/>
                <w:color w:val="auto"/>
                <w:w w:val="85"/>
              </w:rPr>
              <w:t>11.8</w:t>
            </w:r>
          </w:p>
        </w:tc>
        <w:tc>
          <w:tcPr>
            <w:tcW w:w="3740" w:type="dxa"/>
            <w:vAlign w:val="bottom"/>
          </w:tcPr>
          <w:p>
            <w:pPr>
              <w:ind w:left="340"/>
              <w:spacing w:after="0"/>
              <w:rPr>
                <w:sz w:val="20"/>
                <w:szCs w:val="20"/>
                <w:color w:val="auto"/>
              </w:rPr>
            </w:pPr>
            <w:r>
              <w:rPr>
                <w:rFonts w:ascii="Arial" w:cs="Arial" w:eastAsia="Arial" w:hAnsi="Arial"/>
                <w:sz w:val="18"/>
                <w:szCs w:val="18"/>
                <w:b w:val="1"/>
                <w:bCs w:val="1"/>
                <w:color w:val="auto"/>
              </w:rPr>
              <w:t>EEFF Credicorp</w:t>
            </w: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38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9"/>
              </w:rPr>
              <w:t>CREDICORP LTD. AND SUBSIDIARIES</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38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9"/>
              </w:rPr>
              <w:t>CONSOLIDATED BALANCE SHEETS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92"/>
              </w:rPr>
              <w:t>(In S/. thousands, IFRS)</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ind w:left="780"/>
              <w:spacing w:after="0"/>
              <w:rPr>
                <w:sz w:val="20"/>
                <w:szCs w:val="20"/>
                <w:color w:val="auto"/>
              </w:rPr>
            </w:pPr>
            <w:r>
              <w:rPr>
                <w:rFonts w:ascii="Arial" w:cs="Arial" w:eastAsia="Arial" w:hAnsi="Arial"/>
                <w:sz w:val="18"/>
                <w:szCs w:val="18"/>
                <w:b w:val="1"/>
                <w:bCs w:val="1"/>
                <w:color w:val="auto"/>
                <w:w w:val="95"/>
              </w:rPr>
              <w:t>% change</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3Q14</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2Q15</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3Q15</w:t>
            </w:r>
          </w:p>
        </w:tc>
        <w:tc>
          <w:tcPr>
            <w:tcW w:w="160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ASSETS</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Cash and due from banks</w:t>
            </w: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3,562,895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3,818,604</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3,426,781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Interest bearing</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20,692,934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24,789,029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27,955,357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and due from banks</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24,255,829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28,607,633</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31,382,138</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Trading securities, net</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3,259,704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2,130,997</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2,608,267</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75,680,558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83,503,212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87,842,690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Current</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73,718,663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81,227,832</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85,586,035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Past due</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1,961,895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2,275,380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2,256,655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Less - Allowance for loan losses</w:t>
            </w:r>
          </w:p>
        </w:tc>
        <w:tc>
          <w:tcPr>
            <w:tcW w:w="1940" w:type="dxa"/>
            <w:vAlign w:val="bottom"/>
            <w:gridSpan w:val="3"/>
          </w:tcPr>
          <w:p>
            <w:pPr>
              <w:jc w:val="right"/>
              <w:ind w:right="160"/>
              <w:spacing w:after="0"/>
              <w:rPr>
                <w:sz w:val="20"/>
                <w:szCs w:val="20"/>
                <w:color w:val="auto"/>
              </w:rPr>
            </w:pPr>
            <w:r>
              <w:rPr>
                <w:rFonts w:ascii="Arial" w:cs="Arial" w:eastAsia="Arial" w:hAnsi="Arial"/>
                <w:sz w:val="18"/>
                <w:szCs w:val="18"/>
                <w:color w:val="auto"/>
              </w:rPr>
              <w:t>(3,168,154)</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(3,622,632)</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(3,674,654)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72,512,404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79,880,580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84,168,036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17,972,760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17,772,153</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19,152,134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Investments held to maturity</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2,122,790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2,970,260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3,161,475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Reinsurance assets</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476,608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402,426</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440,615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547,229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571,066</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599,846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2,025,760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1,878,261</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1,854,665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175,687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151,952</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201,357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32.5%</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Investments in associates </w:t>
            </w:r>
            <w:r>
              <w:rPr>
                <w:rFonts w:ascii="Arial" w:cs="Arial" w:eastAsia="Arial" w:hAnsi="Arial"/>
                <w:sz w:val="29"/>
                <w:szCs w:val="29"/>
                <w:b w:val="1"/>
                <w:bCs w:val="1"/>
                <w:color w:val="auto"/>
                <w:vertAlign w:val="superscript"/>
              </w:rPr>
              <w:t>(1)</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36,759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544,257</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614,441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gridSpan w:val="2"/>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(2)</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9,268,502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8,329,829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8,619,706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84"/>
              </w:rPr>
              <w:t>Total assets</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132,654,031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143,239,414</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152,802,680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6.7%</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rPr>
              <w:t>LIABILITIES AND NET SHAREHOLDERS</w:t>
            </w:r>
            <w:r>
              <w:rPr>
                <w:rFonts w:ascii="MS PGothic" w:cs="MS PGothic" w:eastAsia="MS PGothic" w:hAnsi="MS PGothic"/>
                <w:sz w:val="18"/>
                <w:szCs w:val="18"/>
                <w:color w:val="auto"/>
                <w:highlight w:val="black"/>
              </w:rPr>
              <w:t>☐</w:t>
            </w:r>
          </w:p>
        </w:tc>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rPr>
              <w:t>EQUITY</w:t>
            </w: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Non-interest bearing</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19,182,538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23,707,385</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23,240,530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bearing</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55,680,694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57,203,238</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63,186,177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deposits and obligations</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74,863,232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80,910,623</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86,426,707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6.8%</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11,031,469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9,180,228</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9,737,111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BCRP instruments</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4,980,531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10,012,756</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11,863,340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Acceptances outstanding</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175,687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151,952</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201,357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32.5%</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785,811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818,570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848,435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Reserve for unearned premiums</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4,404,310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4,993,508</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5,161,785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Reinsurance payable</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221,007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328,381</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364,396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Bonds and subordinated debt</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15,229,395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15,601,653</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16,016,573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6,882,726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5,836,077</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6,434,818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1"/>
              </w:rPr>
              <w:t>Total liabilities</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118,574,168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127,833,748</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137,054,522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7.2%</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Capital stock</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1,318,993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1,318,993</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1,318,993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1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(208,305)</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(208,667)</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(208,727)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Capital surplus</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299,927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291,479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290,073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Reserves</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9,303,397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11,112,964</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11,127,858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Unrealized gains</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734,502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685,935</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256,730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-62.6%</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1,965,538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1,603,007</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2,368,325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665,812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601,955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594,906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Total net shareholders' equity</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14,079,863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15,405,666</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15,748,158</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132,654,031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143,239,414</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152,802,680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 balance sheet</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53,438,835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60,310,434</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62,914,042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bl>
    <w:p>
      <w:pPr>
        <w:ind w:left="580" w:hanging="248"/>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Mainly includes JV between Grupo Pacifico and Banmedica.</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Mainly includes receivables, goodwill, tax credit, and others.</w:t>
      </w:r>
    </w:p>
    <w:p>
      <w:pPr>
        <w:spacing w:after="0" w:line="200" w:lineRule="exact"/>
        <w:rPr>
          <w:sz w:val="20"/>
          <w:szCs w:val="20"/>
          <w:color w:val="auto"/>
        </w:rPr>
      </w:pPr>
    </w:p>
    <w:p>
      <w:pPr>
        <w:spacing w:after="0" w:line="220"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01"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tcPr>
          <w:p>
            <w:pPr>
              <w:ind w:left="740"/>
              <w:spacing w:after="0"/>
              <w:rPr>
                <w:sz w:val="20"/>
                <w:szCs w:val="20"/>
                <w:color w:val="auto"/>
              </w:rPr>
            </w:pPr>
            <w:r>
              <w:rPr>
                <w:rFonts w:ascii="Arial" w:cs="Arial" w:eastAsia="Arial" w:hAnsi="Arial"/>
                <w:sz w:val="14"/>
                <w:szCs w:val="14"/>
                <w:b w:val="1"/>
                <w:bCs w:val="1"/>
                <w:color w:val="auto"/>
              </w:rPr>
              <w:t>% change</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ind w:left="860"/>
              <w:spacing w:after="0"/>
              <w:rPr>
                <w:sz w:val="20"/>
                <w:szCs w:val="20"/>
                <w:color w:val="auto"/>
              </w:rPr>
            </w:pPr>
            <w:r>
              <w:rPr>
                <w:rFonts w:ascii="Arial" w:cs="Arial" w:eastAsia="Arial" w:hAnsi="Arial"/>
                <w:sz w:val="14"/>
                <w:szCs w:val="14"/>
                <w:b w:val="1"/>
                <w:bCs w:val="1"/>
                <w:color w:val="auto"/>
              </w:rPr>
              <w:t>YTD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3Q14</w:t>
            </w: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2Q15</w:t>
            </w: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3Q15</w:t>
            </w:r>
          </w:p>
        </w:tc>
        <w:tc>
          <w:tcPr>
            <w:tcW w:w="1420" w:type="dxa"/>
            <w:vAlign w:val="bottom"/>
            <w:gridSpan w:val="3"/>
          </w:tcPr>
          <w:p>
            <w:pPr>
              <w:ind w:left="320"/>
              <w:spacing w:after="0"/>
              <w:rPr>
                <w:sz w:val="20"/>
                <w:szCs w:val="20"/>
                <w:color w:val="auto"/>
              </w:rPr>
            </w:pPr>
            <w:r>
              <w:rPr>
                <w:rFonts w:ascii="Arial" w:cs="Arial" w:eastAsia="Arial" w:hAnsi="Arial"/>
                <w:sz w:val="14"/>
                <w:szCs w:val="14"/>
                <w:b w:val="1"/>
                <w:bCs w:val="1"/>
                <w:color w:val="auto"/>
              </w:rPr>
              <w:t>QoQ</w:t>
            </w: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YoY</w:t>
            </w:r>
          </w:p>
        </w:tc>
        <w:tc>
          <w:tcPr>
            <w:tcW w:w="1260" w:type="dxa"/>
            <w:vAlign w:val="bottom"/>
            <w:gridSpan w:val="3"/>
          </w:tcPr>
          <w:p>
            <w:pPr>
              <w:ind w:left="240"/>
              <w:spacing w:after="0"/>
              <w:rPr>
                <w:sz w:val="20"/>
                <w:szCs w:val="20"/>
                <w:color w:val="auto"/>
              </w:rPr>
            </w:pPr>
            <w:r>
              <w:rPr>
                <w:rFonts w:ascii="Arial" w:cs="Arial" w:eastAsia="Arial" w:hAnsi="Arial"/>
                <w:sz w:val="14"/>
                <w:szCs w:val="14"/>
                <w:b w:val="1"/>
                <w:bCs w:val="1"/>
                <w:color w:val="auto"/>
              </w:rPr>
              <w:t>Sep 14</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Sep 15</w:t>
            </w:r>
          </w:p>
        </w:tc>
        <w:tc>
          <w:tcPr>
            <w:tcW w:w="1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Sep 15 / Sep 14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2,249,658</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2,457,521</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2,517,964</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6,296,014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7,352,701</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(563,473)</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(620,321)</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(651,071)</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15.5%</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(1,597,606)</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(1,863,246)</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1,686,184</w:t>
            </w: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1,837,200</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1,866,893</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10.7%</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4,698,407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5,489,455</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16.8%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Net provisions for loan losses</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(433,219)</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(431,763)</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(444,425)</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2.9%</w:t>
            </w:r>
          </w:p>
        </w:tc>
        <w:tc>
          <w:tcPr>
            <w:tcW w:w="2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2.6%</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(1,278,551)</w:t>
            </w: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(1,378,324)</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7.8%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Fee income</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614,777</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663,206</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650,195</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1,836,467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1,957,027</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ind w:left="160"/>
              <w:spacing w:after="0" w:line="130" w:lineRule="exact"/>
              <w:rPr>
                <w:sz w:val="20"/>
                <w:szCs w:val="20"/>
                <w:color w:val="auto"/>
              </w:rPr>
            </w:pPr>
            <w:r>
              <w:rPr>
                <w:rFonts w:ascii="Arial" w:cs="Arial" w:eastAsia="Arial" w:hAnsi="Arial"/>
                <w:sz w:val="14"/>
                <w:szCs w:val="14"/>
                <w:color w:val="auto"/>
              </w:rPr>
              <w:t>Net gain on foreign exchange</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160"/>
              <w:spacing w:after="0"/>
              <w:rPr>
                <w:sz w:val="20"/>
                <w:szCs w:val="20"/>
                <w:color w:val="auto"/>
              </w:rPr>
            </w:pPr>
            <w:r>
              <w:rPr>
                <w:rFonts w:ascii="Arial" w:cs="Arial" w:eastAsia="Arial" w:hAnsi="Arial"/>
                <w:sz w:val="14"/>
                <w:szCs w:val="14"/>
                <w:color w:val="auto"/>
              </w:rPr>
              <w:t>transactions</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164,097</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168,285</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197,902</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17.6%</w:t>
            </w:r>
          </w:p>
        </w:tc>
        <w:tc>
          <w:tcPr>
            <w:tcW w:w="2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20.6%</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437,125</w:t>
            </w:r>
          </w:p>
        </w:tc>
        <w:tc>
          <w:tcPr>
            <w:tcW w:w="1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566,633</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75,592</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20,743</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29,200</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40.8%</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-61.4%</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251,214</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74,828</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Net gain from subsidiaries </w:t>
            </w:r>
            <w:r>
              <w:rPr>
                <w:rFonts w:ascii="Arial" w:cs="Arial" w:eastAsia="Arial" w:hAnsi="Arial"/>
                <w:sz w:val="21"/>
                <w:szCs w:val="21"/>
                <w:color w:val="auto"/>
                <w:vertAlign w:val="superscript"/>
              </w:rPr>
              <w:t>(1)</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(227)</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3,172</w:t>
            </w:r>
          </w:p>
        </w:tc>
        <w:tc>
          <w:tcPr>
            <w:tcW w:w="1420" w:type="dxa"/>
            <w:vAlign w:val="bottom"/>
            <w:gridSpan w:val="3"/>
          </w:tcPr>
          <w:p>
            <w:pPr>
              <w:ind w:left="660"/>
              <w:spacing w:after="0"/>
              <w:rPr>
                <w:sz w:val="20"/>
                <w:szCs w:val="20"/>
                <w:color w:val="auto"/>
              </w:rPr>
            </w:pPr>
            <w:r>
              <w:rPr>
                <w:rFonts w:ascii="Arial" w:cs="Arial" w:eastAsia="Arial" w:hAnsi="Arial"/>
                <w:sz w:val="14"/>
                <w:szCs w:val="14"/>
                <w:color w:val="auto"/>
              </w:rPr>
              <w:t>N/A</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N/A</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149,763</w:t>
            </w: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26,821</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37,724</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35,612</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114,485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114,988</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881,287</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889,730</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916,081</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3.0%</w:t>
            </w:r>
          </w:p>
        </w:tc>
        <w:tc>
          <w:tcPr>
            <w:tcW w:w="2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3.9%</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2,639,290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2,863,239</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8.5%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Insurance premiums and claims</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premiums earned</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555,160</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427,044</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432,777</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1,618,388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1,264,317</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Net claims incurred</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(358,492)</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(255,382)</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(265,648)</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-25.9%</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(1,051,677)</w:t>
            </w: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(753,305)</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9"/>
              </w:rPr>
              <w:t>Net underwriting expenses and fees</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(79,030)</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(51,314)</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(41,884)</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-18.4%</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-47.0%</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(247,806)</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(169,169)</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00" w:type="dxa"/>
            <w:vAlign w:val="bottom"/>
          </w:tcPr>
          <w:p>
            <w:pPr>
              <w:ind w:left="160"/>
              <w:spacing w:after="0" w:line="126" w:lineRule="exact"/>
              <w:rPr>
                <w:sz w:val="20"/>
                <w:szCs w:val="20"/>
                <w:color w:val="auto"/>
              </w:rPr>
            </w:pPr>
            <w:r>
              <w:rPr>
                <w:rFonts w:ascii="Arial" w:cs="Arial" w:eastAsia="Arial" w:hAnsi="Arial"/>
                <w:sz w:val="14"/>
                <w:szCs w:val="14"/>
                <w:b w:val="1"/>
                <w:bCs w:val="1"/>
                <w:color w:val="auto"/>
                <w:w w:val="97"/>
              </w:rPr>
              <w:t>Total insurance services technical</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117,638</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120,348</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125,245</w:t>
            </w: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4.1%</w:t>
            </w:r>
          </w:p>
        </w:tc>
        <w:tc>
          <w:tcPr>
            <w:tcW w:w="26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6.5%</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318,905</w:t>
            </w:r>
          </w:p>
        </w:tc>
        <w:tc>
          <w:tcPr>
            <w:tcW w:w="140" w:type="dxa"/>
            <w:vAlign w:val="bottom"/>
          </w:tcPr>
          <w:p>
            <w:pPr>
              <w:spacing w:after="0"/>
              <w:rPr>
                <w:sz w:val="10"/>
                <w:szCs w:val="10"/>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341,843</w:t>
            </w: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7.2%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ind w:left="160"/>
              <w:spacing w:after="0"/>
              <w:rPr>
                <w:sz w:val="20"/>
                <w:szCs w:val="20"/>
                <w:color w:val="auto"/>
              </w:rPr>
            </w:pPr>
            <w:r>
              <w:rPr>
                <w:rFonts w:ascii="Arial" w:cs="Arial" w:eastAsia="Arial" w:hAnsi="Arial"/>
                <w:sz w:val="14"/>
                <w:szCs w:val="14"/>
                <w:b w:val="1"/>
                <w:bCs w:val="1"/>
                <w:color w:val="auto"/>
              </w:rPr>
              <w:t>result</w:t>
            </w:r>
          </w:p>
        </w:tc>
        <w:tc>
          <w:tcPr>
            <w:tcW w:w="11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00" w:type="dxa"/>
            <w:vAlign w:val="bottom"/>
          </w:tcPr>
          <w:p>
            <w:pPr>
              <w:ind w:left="160"/>
              <w:spacing w:after="0" w:line="126" w:lineRule="exact"/>
              <w:rPr>
                <w:sz w:val="20"/>
                <w:szCs w:val="20"/>
                <w:color w:val="auto"/>
              </w:rPr>
            </w:pPr>
            <w:r>
              <w:rPr>
                <w:rFonts w:ascii="Arial" w:cs="Arial" w:eastAsia="Arial" w:hAnsi="Arial"/>
                <w:sz w:val="14"/>
                <w:szCs w:val="14"/>
                <w:b w:val="1"/>
                <w:bCs w:val="1"/>
                <w:color w:val="auto"/>
              </w:rPr>
              <w:t>Gross margin from medical</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28,813</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-100.0%</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74,765</w:t>
            </w:r>
          </w:p>
        </w:tc>
        <w:tc>
          <w:tcPr>
            <w:tcW w:w="140" w:type="dxa"/>
            <w:vAlign w:val="bottom"/>
          </w:tcPr>
          <w:p>
            <w:pPr>
              <w:spacing w:after="0"/>
              <w:rPr>
                <w:sz w:val="10"/>
                <w:szCs w:val="10"/>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ind w:left="160"/>
              <w:spacing w:after="0"/>
              <w:rPr>
                <w:sz w:val="20"/>
                <w:szCs w:val="20"/>
                <w:color w:val="auto"/>
              </w:rPr>
            </w:pPr>
            <w:r>
              <w:rPr>
                <w:rFonts w:ascii="Arial" w:cs="Arial" w:eastAsia="Arial" w:hAnsi="Arial"/>
                <w:sz w:val="14"/>
                <w:szCs w:val="14"/>
                <w:b w:val="1"/>
                <w:bCs w:val="1"/>
                <w:color w:val="auto"/>
              </w:rPr>
              <w:t>subsidiaries</w:t>
            </w:r>
          </w:p>
        </w:tc>
        <w:tc>
          <w:tcPr>
            <w:tcW w:w="11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(672,540)</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(718,214)</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(703,985)</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(1,978,785)</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(2,137,394)</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ind w:left="160"/>
              <w:spacing w:after="0" w:line="130" w:lineRule="exact"/>
              <w:rPr>
                <w:sz w:val="20"/>
                <w:szCs w:val="20"/>
                <w:color w:val="auto"/>
              </w:rPr>
            </w:pPr>
            <w:r>
              <w:rPr>
                <w:rFonts w:ascii="Arial" w:cs="Arial" w:eastAsia="Arial" w:hAnsi="Arial"/>
                <w:sz w:val="14"/>
                <w:szCs w:val="14"/>
                <w:color w:val="auto"/>
              </w:rPr>
              <w:t>Administrative, general and tax</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160"/>
              <w:spacing w:after="0"/>
              <w:rPr>
                <w:sz w:val="20"/>
                <w:szCs w:val="20"/>
                <w:color w:val="auto"/>
              </w:rPr>
            </w:pPr>
            <w:r>
              <w:rPr>
                <w:rFonts w:ascii="Arial" w:cs="Arial" w:eastAsia="Arial" w:hAnsi="Arial"/>
                <w:sz w:val="14"/>
                <w:szCs w:val="14"/>
                <w:color w:val="auto"/>
              </w:rPr>
              <w:t>expenses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(487,216)</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(481,985)</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(496,163)</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2.9%</w:t>
            </w:r>
          </w:p>
        </w:tc>
        <w:tc>
          <w:tcPr>
            <w:tcW w:w="2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1.8%</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(1,364,020)</w:t>
            </w:r>
          </w:p>
        </w:tc>
        <w:tc>
          <w:tcPr>
            <w:tcW w:w="1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(1,409,315)</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(105,443)</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(110,699)</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(111,966)</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(304,171)</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(331,058)</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(84,368)</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(55,280)</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(25,688)</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-53.5%</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-69.6%</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(159,569)</w:t>
            </w: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(122,083)</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(1,349,566)</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(1,366,178)</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(1,337,802)</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-2.1%</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-0.9%</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(3,806,544)</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(3,999,850)</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931,137</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1,049,336</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1,125,992</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2,646,273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3,316,363</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2,603</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9,324</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2,940</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-68.5%</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2,182</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13,830</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Income taxes</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(275,364)</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(289,389)</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(300,989)</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(711,113)</w:t>
            </w: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(899,809)</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658,376</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769,271</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827,943</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25.8%</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1,937,342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2,430,384</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12,941</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19,976</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20,798</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60.7%</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45,097</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69,210</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00" w:type="dxa"/>
            <w:vAlign w:val="bottom"/>
          </w:tcPr>
          <w:p>
            <w:pPr>
              <w:spacing w:after="0" w:line="150" w:lineRule="exact"/>
              <w:rPr>
                <w:sz w:val="20"/>
                <w:szCs w:val="20"/>
                <w:color w:val="auto"/>
              </w:rPr>
            </w:pPr>
            <w:r>
              <w:rPr>
                <w:rFonts w:ascii="Arial" w:cs="Arial" w:eastAsia="Arial" w:hAnsi="Arial"/>
                <w:sz w:val="14"/>
                <w:szCs w:val="14"/>
                <w:b w:val="1"/>
                <w:bCs w:val="1"/>
                <w:color w:val="auto"/>
              </w:rPr>
              <w:t>Net income attributed to Credicorp</w:t>
            </w:r>
          </w:p>
        </w:tc>
        <w:tc>
          <w:tcPr>
            <w:tcW w:w="1120" w:type="dxa"/>
            <w:vAlign w:val="bottom"/>
            <w:gridSpan w:val="2"/>
          </w:tcPr>
          <w:p>
            <w:pPr>
              <w:jc w:val="right"/>
              <w:ind w:right="200"/>
              <w:spacing w:after="0" w:line="150" w:lineRule="exact"/>
              <w:rPr>
                <w:sz w:val="20"/>
                <w:szCs w:val="20"/>
                <w:color w:val="auto"/>
              </w:rPr>
            </w:pPr>
            <w:r>
              <w:rPr>
                <w:rFonts w:ascii="Arial" w:cs="Arial" w:eastAsia="Arial" w:hAnsi="Arial"/>
                <w:sz w:val="14"/>
                <w:szCs w:val="14"/>
                <w:b w:val="1"/>
                <w:bCs w:val="1"/>
                <w:color w:val="auto"/>
              </w:rPr>
              <w:t>645,435</w:t>
            </w:r>
          </w:p>
        </w:tc>
        <w:tc>
          <w:tcPr>
            <w:tcW w:w="1120" w:type="dxa"/>
            <w:vAlign w:val="bottom"/>
            <w:gridSpan w:val="2"/>
          </w:tcPr>
          <w:p>
            <w:pPr>
              <w:jc w:val="right"/>
              <w:ind w:right="200"/>
              <w:spacing w:after="0" w:line="150" w:lineRule="exact"/>
              <w:rPr>
                <w:sz w:val="20"/>
                <w:szCs w:val="20"/>
                <w:color w:val="auto"/>
              </w:rPr>
            </w:pPr>
            <w:r>
              <w:rPr>
                <w:rFonts w:ascii="Arial" w:cs="Arial" w:eastAsia="Arial" w:hAnsi="Arial"/>
                <w:sz w:val="14"/>
                <w:szCs w:val="14"/>
                <w:b w:val="1"/>
                <w:bCs w:val="1"/>
                <w:color w:val="auto"/>
              </w:rPr>
              <w:t>749,295</w:t>
            </w:r>
          </w:p>
        </w:tc>
        <w:tc>
          <w:tcPr>
            <w:tcW w:w="1120" w:type="dxa"/>
            <w:vAlign w:val="bottom"/>
            <w:gridSpan w:val="2"/>
          </w:tcPr>
          <w:p>
            <w:pPr>
              <w:jc w:val="right"/>
              <w:ind w:right="200"/>
              <w:spacing w:after="0" w:line="150" w:lineRule="exact"/>
              <w:rPr>
                <w:sz w:val="20"/>
                <w:szCs w:val="20"/>
                <w:color w:val="auto"/>
              </w:rPr>
            </w:pPr>
            <w:r>
              <w:rPr>
                <w:rFonts w:ascii="Arial" w:cs="Arial" w:eastAsia="Arial" w:hAnsi="Arial"/>
                <w:sz w:val="14"/>
                <w:szCs w:val="14"/>
                <w:b w:val="1"/>
                <w:bCs w:val="1"/>
                <w:color w:val="auto"/>
              </w:rPr>
              <w:t>807,145</w:t>
            </w:r>
          </w:p>
        </w:tc>
        <w:tc>
          <w:tcPr>
            <w:tcW w:w="1160" w:type="dxa"/>
            <w:vAlign w:val="bottom"/>
            <w:gridSpan w:val="2"/>
          </w:tcPr>
          <w:p>
            <w:pPr>
              <w:jc w:val="right"/>
              <w:ind w:right="120"/>
              <w:spacing w:after="0" w:line="150" w:lineRule="exact"/>
              <w:rPr>
                <w:sz w:val="20"/>
                <w:szCs w:val="20"/>
                <w:color w:val="auto"/>
              </w:rPr>
            </w:pPr>
            <w:r>
              <w:rPr>
                <w:rFonts w:ascii="Arial" w:cs="Arial" w:eastAsia="Arial" w:hAnsi="Arial"/>
                <w:sz w:val="14"/>
                <w:szCs w:val="14"/>
                <w:color w:val="auto"/>
              </w:rPr>
              <w:t>7.7%</w:t>
            </w:r>
          </w:p>
        </w:tc>
        <w:tc>
          <w:tcPr>
            <w:tcW w:w="260" w:type="dxa"/>
            <w:vAlign w:val="bottom"/>
          </w:tcPr>
          <w:p>
            <w:pPr>
              <w:spacing w:after="0"/>
              <w:rPr>
                <w:sz w:val="13"/>
                <w:szCs w:val="13"/>
                <w:color w:val="auto"/>
              </w:rPr>
            </w:pPr>
          </w:p>
        </w:tc>
        <w:tc>
          <w:tcPr>
            <w:tcW w:w="920" w:type="dxa"/>
            <w:vAlign w:val="bottom"/>
            <w:gridSpan w:val="2"/>
          </w:tcPr>
          <w:p>
            <w:pPr>
              <w:jc w:val="right"/>
              <w:ind w:right="140"/>
              <w:spacing w:after="0" w:line="150" w:lineRule="exact"/>
              <w:rPr>
                <w:sz w:val="20"/>
                <w:szCs w:val="20"/>
                <w:color w:val="auto"/>
              </w:rPr>
            </w:pPr>
            <w:r>
              <w:rPr>
                <w:rFonts w:ascii="Arial" w:cs="Arial" w:eastAsia="Arial" w:hAnsi="Arial"/>
                <w:sz w:val="14"/>
                <w:szCs w:val="14"/>
                <w:color w:val="auto"/>
              </w:rPr>
              <w:t>25.1%</w:t>
            </w:r>
          </w:p>
        </w:tc>
        <w:tc>
          <w:tcPr>
            <w:tcW w:w="900" w:type="dxa"/>
            <w:vAlign w:val="bottom"/>
          </w:tcPr>
          <w:p>
            <w:pPr>
              <w:jc w:val="right"/>
              <w:spacing w:after="0" w:line="150" w:lineRule="exact"/>
              <w:rPr>
                <w:sz w:val="20"/>
                <w:szCs w:val="20"/>
                <w:color w:val="auto"/>
              </w:rPr>
            </w:pPr>
            <w:r>
              <w:rPr>
                <w:rFonts w:ascii="Arial" w:cs="Arial" w:eastAsia="Arial" w:hAnsi="Arial"/>
                <w:sz w:val="14"/>
                <w:szCs w:val="14"/>
                <w:b w:val="1"/>
                <w:bCs w:val="1"/>
                <w:color w:val="auto"/>
              </w:rPr>
              <w:t>1,892,245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20"/>
              <w:spacing w:after="0" w:line="150" w:lineRule="exact"/>
              <w:rPr>
                <w:sz w:val="20"/>
                <w:szCs w:val="20"/>
                <w:color w:val="auto"/>
              </w:rPr>
            </w:pPr>
            <w:r>
              <w:rPr>
                <w:rFonts w:ascii="Arial" w:cs="Arial" w:eastAsia="Arial" w:hAnsi="Arial"/>
                <w:sz w:val="14"/>
                <w:szCs w:val="14"/>
                <w:b w:val="1"/>
                <w:bCs w:val="1"/>
                <w:color w:val="auto"/>
              </w:rPr>
              <w:t>2,361,174</w:t>
            </w:r>
          </w:p>
        </w:tc>
        <w:tc>
          <w:tcPr>
            <w:tcW w:w="1160" w:type="dxa"/>
            <w:vAlign w:val="bottom"/>
            <w:gridSpan w:val="3"/>
          </w:tcPr>
          <w:p>
            <w:pPr>
              <w:jc w:val="right"/>
              <w:spacing w:after="0" w:line="150" w:lineRule="exact"/>
              <w:rPr>
                <w:sz w:val="20"/>
                <w:szCs w:val="20"/>
                <w:color w:val="auto"/>
              </w:rPr>
            </w:pPr>
            <w:r>
              <w:rPr>
                <w:rFonts w:ascii="Arial" w:cs="Arial" w:eastAsia="Arial" w:hAnsi="Arial"/>
                <w:sz w:val="14"/>
                <w:szCs w:val="14"/>
                <w:b w:val="1"/>
                <w:bCs w:val="1"/>
                <w:color w:val="auto"/>
              </w:rPr>
              <w:t>24.8%</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(1) Includes the joint venture between Grupo Pacífico and Banmédica.</w:t>
      </w:r>
    </w:p>
    <w:p>
      <w:pPr>
        <w:spacing w:after="0" w:line="200" w:lineRule="exact"/>
        <w:rPr>
          <w:sz w:val="20"/>
          <w:szCs w:val="20"/>
          <w:color w:val="auto"/>
        </w:rPr>
      </w:pPr>
    </w:p>
    <w:p>
      <w:pPr>
        <w:spacing w:after="0" w:line="218"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spacing w:after="0" w:line="223" w:lineRule="auto"/>
        <w:framePr w:w="400" w:h="160" w:wrap="auto" w:vAnchor="page" w:hAnchor="page" w:x="200" w:y="925"/>
        <w:rPr>
          <w:rFonts w:ascii="Arial" w:cs="Arial" w:eastAsia="Arial" w:hAnsi="Arial"/>
          <w:sz w:val="18"/>
          <w:szCs w:val="18"/>
          <w:b w:val="1"/>
          <w:bCs w:val="1"/>
          <w:color w:val="auto"/>
        </w:rPr>
      </w:pPr>
      <w:r>
        <w:rPr>
          <w:rFonts w:ascii="Arial" w:cs="Arial" w:eastAsia="Arial" w:hAnsi="Arial"/>
          <w:sz w:val="18"/>
          <w:szCs w:val="18"/>
          <w:b w:val="1"/>
          <w:bCs w:val="1"/>
          <w:color w:val="auto"/>
        </w:rPr>
        <w:t>11.9</w:t>
      </w:r>
    </w:p>
    <w:p>
      <w:pPr>
        <w:spacing w:after="0" w:line="223" w:lineRule="auto"/>
        <w:framePr w:w="1640" w:h="160" w:wrap="auto" w:vAnchor="page" w:hAnchor="page" w:x="860" w:y="925"/>
        <w:rPr>
          <w:rFonts w:ascii="Arial" w:cs="Arial" w:eastAsia="Arial" w:hAnsi="Arial"/>
          <w:sz w:val="15"/>
          <w:szCs w:val="15"/>
          <w:b w:val="1"/>
          <w:bCs w:val="1"/>
          <w:color w:val="auto"/>
        </w:rPr>
      </w:pPr>
      <w:r>
        <w:rPr>
          <w:rFonts w:ascii="Arial" w:cs="Arial" w:eastAsia="Arial" w:hAnsi="Arial"/>
          <w:sz w:val="15"/>
          <w:szCs w:val="15"/>
          <w:b w:val="1"/>
          <w:bCs w:val="1"/>
          <w:color w:val="auto"/>
        </w:rPr>
        <w:t>Table of calculations</w:t>
      </w: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7180" w:type="dxa"/>
            <w:vAlign w:val="bottom"/>
          </w:tcPr>
          <w:p>
            <w:pPr>
              <w:jc w:val="center"/>
              <w:ind w:right="4110"/>
              <w:spacing w:after="0"/>
              <w:rPr>
                <w:sz w:val="20"/>
                <w:szCs w:val="20"/>
                <w:color w:val="auto"/>
              </w:rPr>
            </w:pPr>
            <w:r>
              <w:rPr>
                <w:rFonts w:ascii="Arial" w:cs="Arial" w:eastAsia="Arial" w:hAnsi="Arial"/>
                <w:sz w:val="18"/>
                <w:szCs w:val="18"/>
                <w:b w:val="1"/>
                <w:bCs w:val="1"/>
                <w:color w:val="auto"/>
                <w:w w:val="88"/>
              </w:rPr>
              <w:t>Table of calculations</w:t>
            </w:r>
          </w:p>
        </w:tc>
        <w:tc>
          <w:tcPr>
            <w:tcW w:w="0" w:type="dxa"/>
            <w:vAlign w:val="bottom"/>
          </w:tcPr>
          <w:p>
            <w:pPr>
              <w:spacing w:after="0"/>
              <w:rPr>
                <w:sz w:val="1"/>
                <w:szCs w:val="1"/>
                <w:color w:val="auto"/>
              </w:rPr>
            </w:pPr>
          </w:p>
        </w:tc>
      </w:tr>
      <w:tr>
        <w:trPr>
          <w:trHeight w:val="418"/>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Net Interest Margin (NIM)</w:t>
            </w:r>
          </w:p>
        </w:tc>
        <w:tc>
          <w:tcPr>
            <w:tcW w:w="7180" w:type="dxa"/>
            <w:vAlign w:val="bottom"/>
          </w:tcPr>
          <w:p>
            <w:pPr>
              <w:jc w:val="center"/>
              <w:ind w:right="4110"/>
              <w:spacing w:after="0"/>
              <w:rPr>
                <w:sz w:val="20"/>
                <w:szCs w:val="20"/>
                <w:color w:val="auto"/>
              </w:rPr>
            </w:pPr>
            <w:r>
              <w:rPr>
                <w:rFonts w:ascii="Arial" w:cs="Arial" w:eastAsia="Arial" w:hAnsi="Arial"/>
                <w:sz w:val="18"/>
                <w:szCs w:val="18"/>
                <w:b w:val="1"/>
                <w:bCs w:val="1"/>
                <w:color w:val="auto"/>
                <w:w w:val="94"/>
              </w:rPr>
              <w:t>Profitability</w:t>
            </w:r>
          </w:p>
        </w:tc>
        <w:tc>
          <w:tcPr>
            <w:tcW w:w="0" w:type="dxa"/>
            <w:vAlign w:val="bottom"/>
          </w:tcPr>
          <w:p>
            <w:pPr>
              <w:spacing w:after="0"/>
              <w:rPr>
                <w:sz w:val="1"/>
                <w:szCs w:val="1"/>
                <w:color w:val="auto"/>
              </w:rPr>
            </w:pPr>
          </w:p>
        </w:tc>
      </w:tr>
      <w:tr>
        <w:trPr>
          <w:trHeight w:val="230"/>
        </w:trPr>
        <w:tc>
          <w:tcPr>
            <w:tcW w:w="4220" w:type="dxa"/>
            <w:vAlign w:val="bottom"/>
            <w:vMerge w:val="continue"/>
          </w:tcPr>
          <w:p>
            <w:pPr>
              <w:spacing w:after="0"/>
              <w:rPr>
                <w:sz w:val="20"/>
                <w:szCs w:val="20"/>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Annualized net interest income/ Average* interest earning assets</w:t>
            </w:r>
          </w:p>
        </w:tc>
        <w:tc>
          <w:tcPr>
            <w:tcW w:w="0" w:type="dxa"/>
            <w:vAlign w:val="bottom"/>
          </w:tcPr>
          <w:p>
            <w:pPr>
              <w:spacing w:after="0"/>
              <w:rPr>
                <w:sz w:val="1"/>
                <w:szCs w:val="1"/>
                <w:color w:val="auto"/>
              </w:rPr>
            </w:pPr>
          </w:p>
        </w:tc>
      </w:tr>
      <w:tr>
        <w:trPr>
          <w:trHeight w:val="418"/>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Net Interest Margin on loans (NIM on loans)</w:t>
            </w:r>
          </w:p>
        </w:tc>
        <w:tc>
          <w:tcPr>
            <w:tcW w:w="7180" w:type="dxa"/>
            <w:vAlign w:val="bottom"/>
          </w:tcPr>
          <w:p>
            <w:pPr>
              <w:ind w:left="480"/>
              <w:spacing w:after="0"/>
              <w:rPr>
                <w:sz w:val="20"/>
                <w:szCs w:val="20"/>
                <w:color w:val="auto"/>
              </w:rPr>
            </w:pPr>
            <w:r>
              <w:rPr>
                <w:rFonts w:ascii="Arial" w:cs="Arial" w:eastAsia="Arial" w:hAnsi="Arial"/>
                <w:sz w:val="18"/>
                <w:szCs w:val="18"/>
                <w:color w:val="auto"/>
                <w:w w:val="98"/>
              </w:rPr>
              <w:t>[Interest on loans–(Interest expense x (Average* total loans /Average interest earning</w:t>
            </w:r>
          </w:p>
        </w:tc>
        <w:tc>
          <w:tcPr>
            <w:tcW w:w="0" w:type="dxa"/>
            <w:vAlign w:val="bottom"/>
          </w:tcPr>
          <w:p>
            <w:pPr>
              <w:spacing w:after="0"/>
              <w:rPr>
                <w:sz w:val="1"/>
                <w:szCs w:val="1"/>
                <w:color w:val="auto"/>
              </w:rPr>
            </w:pPr>
          </w:p>
        </w:tc>
      </w:tr>
      <w:tr>
        <w:trPr>
          <w:trHeight w:val="122"/>
        </w:trPr>
        <w:tc>
          <w:tcPr>
            <w:tcW w:w="4220" w:type="dxa"/>
            <w:vAlign w:val="bottom"/>
            <w:vMerge w:val="continue"/>
          </w:tcPr>
          <w:p>
            <w:pPr>
              <w:spacing w:after="0"/>
              <w:rPr>
                <w:sz w:val="10"/>
                <w:szCs w:val="10"/>
                <w:color w:val="auto"/>
              </w:rPr>
            </w:pPr>
          </w:p>
        </w:tc>
        <w:tc>
          <w:tcPr>
            <w:tcW w:w="7180" w:type="dxa"/>
            <w:vAlign w:val="bottom"/>
            <w:vMerge w:val="restart"/>
          </w:tcPr>
          <w:p>
            <w:pPr>
              <w:ind w:left="480"/>
              <w:spacing w:after="0"/>
              <w:rPr>
                <w:sz w:val="20"/>
                <w:szCs w:val="20"/>
                <w:color w:val="auto"/>
              </w:rPr>
            </w:pPr>
            <w:r>
              <w:rPr>
                <w:rFonts w:ascii="Arial" w:cs="Arial" w:eastAsia="Arial" w:hAnsi="Arial"/>
                <w:sz w:val="18"/>
                <w:szCs w:val="18"/>
                <w:color w:val="auto"/>
              </w:rPr>
              <w:t>assets))] x 4/Average total loans</w:t>
            </w:r>
          </w:p>
        </w:tc>
        <w:tc>
          <w:tcPr>
            <w:tcW w:w="0" w:type="dxa"/>
            <w:vAlign w:val="bottom"/>
          </w:tcPr>
          <w:p>
            <w:pPr>
              <w:spacing w:after="0"/>
              <w:rPr>
                <w:sz w:val="1"/>
                <w:szCs w:val="1"/>
                <w:color w:val="auto"/>
              </w:rPr>
            </w:pPr>
          </w:p>
        </w:tc>
      </w:tr>
      <w:tr>
        <w:trPr>
          <w:trHeight w:val="94"/>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Return on average assets (ROAA)</w:t>
            </w:r>
          </w:p>
        </w:tc>
        <w:tc>
          <w:tcPr>
            <w:tcW w:w="7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220" w:type="dxa"/>
            <w:vAlign w:val="bottom"/>
            <w:vMerge w:val="continue"/>
          </w:tcPr>
          <w:p>
            <w:pPr>
              <w:spacing w:after="0"/>
              <w:rPr>
                <w:sz w:val="18"/>
                <w:szCs w:val="18"/>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Annualized net income / Average* assets</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b w:val="1"/>
                <w:bCs w:val="1"/>
                <w:color w:val="auto"/>
              </w:rPr>
              <w:t>Return on average shareholder's equity (ROAE)</w:t>
            </w:r>
          </w:p>
        </w:tc>
        <w:tc>
          <w:tcPr>
            <w:tcW w:w="7180" w:type="dxa"/>
            <w:vAlign w:val="bottom"/>
          </w:tcPr>
          <w:p>
            <w:pPr>
              <w:ind w:left="480"/>
              <w:spacing w:after="0"/>
              <w:rPr>
                <w:sz w:val="20"/>
                <w:szCs w:val="20"/>
                <w:color w:val="auto"/>
              </w:rPr>
            </w:pPr>
            <w:r>
              <w:rPr>
                <w:rFonts w:ascii="Arial" w:cs="Arial" w:eastAsia="Arial" w:hAnsi="Arial"/>
                <w:sz w:val="18"/>
                <w:szCs w:val="18"/>
                <w:color w:val="auto"/>
              </w:rPr>
              <w:t>Annualized net income / Average* shareholder's equity</w:t>
            </w: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Arial" w:cs="Arial" w:eastAsia="Arial" w:hAnsi="Arial"/>
                <w:sz w:val="18"/>
                <w:szCs w:val="18"/>
                <w:b w:val="1"/>
                <w:bCs w:val="1"/>
                <w:color w:val="auto"/>
              </w:rPr>
              <w:t>Funding cost</w:t>
            </w:r>
          </w:p>
        </w:tc>
        <w:tc>
          <w:tcPr>
            <w:tcW w:w="7180" w:type="dxa"/>
            <w:vAlign w:val="bottom"/>
          </w:tcPr>
          <w:p>
            <w:pPr>
              <w:ind w:left="480"/>
              <w:spacing w:after="0"/>
              <w:rPr>
                <w:sz w:val="20"/>
                <w:szCs w:val="20"/>
                <w:color w:val="auto"/>
              </w:rPr>
            </w:pPr>
            <w:r>
              <w:rPr>
                <w:rFonts w:ascii="Arial" w:cs="Arial" w:eastAsia="Arial" w:hAnsi="Arial"/>
                <w:sz w:val="18"/>
                <w:szCs w:val="18"/>
                <w:color w:val="auto"/>
              </w:rPr>
              <w:t>Annualized interest expense / Average* of total liabilities</w:t>
            </w:r>
          </w:p>
        </w:tc>
        <w:tc>
          <w:tcPr>
            <w:tcW w:w="0" w:type="dxa"/>
            <w:vAlign w:val="bottom"/>
          </w:tcPr>
          <w:p>
            <w:pPr>
              <w:spacing w:after="0"/>
              <w:rPr>
                <w:sz w:val="1"/>
                <w:szCs w:val="1"/>
                <w:color w:val="auto"/>
              </w:rPr>
            </w:pPr>
          </w:p>
        </w:tc>
      </w:tr>
      <w:tr>
        <w:trPr>
          <w:trHeight w:val="432"/>
        </w:trPr>
        <w:tc>
          <w:tcPr>
            <w:tcW w:w="4220" w:type="dxa"/>
            <w:vAlign w:val="bottom"/>
          </w:tcPr>
          <w:p>
            <w:pPr>
              <w:spacing w:after="0"/>
              <w:rPr>
                <w:sz w:val="24"/>
                <w:szCs w:val="24"/>
                <w:color w:val="auto"/>
              </w:rPr>
            </w:pPr>
          </w:p>
        </w:tc>
        <w:tc>
          <w:tcPr>
            <w:tcW w:w="7180" w:type="dxa"/>
            <w:vAlign w:val="bottom"/>
          </w:tcPr>
          <w:p>
            <w:pPr>
              <w:jc w:val="center"/>
              <w:ind w:right="4110"/>
              <w:spacing w:after="0"/>
              <w:rPr>
                <w:sz w:val="20"/>
                <w:szCs w:val="20"/>
                <w:color w:val="auto"/>
              </w:rPr>
            </w:pPr>
            <w:r>
              <w:rPr>
                <w:rFonts w:ascii="Arial" w:cs="Arial" w:eastAsia="Arial" w:hAnsi="Arial"/>
                <w:sz w:val="18"/>
                <w:szCs w:val="18"/>
                <w:b w:val="1"/>
                <w:bCs w:val="1"/>
                <w:color w:val="auto"/>
                <w:w w:val="91"/>
              </w:rPr>
              <w:t>Portfolio quality</w:t>
            </w:r>
          </w:p>
        </w:tc>
        <w:tc>
          <w:tcPr>
            <w:tcW w:w="0" w:type="dxa"/>
            <w:vAlign w:val="bottom"/>
          </w:tcPr>
          <w:p>
            <w:pPr>
              <w:spacing w:after="0"/>
              <w:rPr>
                <w:sz w:val="1"/>
                <w:szCs w:val="1"/>
                <w:color w:val="auto"/>
              </w:rPr>
            </w:pPr>
          </w:p>
        </w:tc>
      </w:tr>
      <w:tr>
        <w:trPr>
          <w:trHeight w:val="414"/>
        </w:trPr>
        <w:tc>
          <w:tcPr>
            <w:tcW w:w="4220" w:type="dxa"/>
            <w:vAlign w:val="bottom"/>
          </w:tcPr>
          <w:p>
            <w:pPr>
              <w:spacing w:after="0"/>
              <w:rPr>
                <w:sz w:val="20"/>
                <w:szCs w:val="20"/>
                <w:color w:val="auto"/>
              </w:rPr>
            </w:pPr>
            <w:r>
              <w:rPr>
                <w:rFonts w:ascii="Arial" w:cs="Arial" w:eastAsia="Arial" w:hAnsi="Arial"/>
                <w:sz w:val="18"/>
                <w:szCs w:val="18"/>
                <w:b w:val="1"/>
                <w:bCs w:val="1"/>
                <w:color w:val="auto"/>
              </w:rPr>
              <w:t>Past due loans ratio (PDL ratio)</w:t>
            </w:r>
          </w:p>
        </w:tc>
        <w:tc>
          <w:tcPr>
            <w:tcW w:w="7180" w:type="dxa"/>
            <w:vAlign w:val="bottom"/>
          </w:tcPr>
          <w:p>
            <w:pPr>
              <w:ind w:left="480"/>
              <w:spacing w:after="0"/>
              <w:rPr>
                <w:sz w:val="20"/>
                <w:szCs w:val="20"/>
                <w:color w:val="auto"/>
              </w:rPr>
            </w:pPr>
            <w:r>
              <w:rPr>
                <w:rFonts w:ascii="Arial" w:cs="Arial" w:eastAsia="Arial" w:hAnsi="Arial"/>
                <w:sz w:val="18"/>
                <w:szCs w:val="18"/>
                <w:color w:val="auto"/>
              </w:rPr>
              <w:t>Past due loans / Total loans</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b w:val="1"/>
                <w:bCs w:val="1"/>
                <w:color w:val="auto"/>
              </w:rPr>
              <w:t>Non – performing loans ratio (NPL ratio)</w:t>
            </w:r>
          </w:p>
        </w:tc>
        <w:tc>
          <w:tcPr>
            <w:tcW w:w="7180" w:type="dxa"/>
            <w:vAlign w:val="bottom"/>
          </w:tcPr>
          <w:p>
            <w:pPr>
              <w:ind w:left="480"/>
              <w:spacing w:after="0"/>
              <w:rPr>
                <w:sz w:val="20"/>
                <w:szCs w:val="20"/>
                <w:color w:val="auto"/>
              </w:rPr>
            </w:pPr>
            <w:r>
              <w:rPr>
                <w:rFonts w:ascii="Arial" w:cs="Arial" w:eastAsia="Arial" w:hAnsi="Arial"/>
                <w:sz w:val="18"/>
                <w:szCs w:val="18"/>
                <w:color w:val="auto"/>
              </w:rPr>
              <w:t>Non-performing loans / Total loans</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b w:val="1"/>
                <w:bCs w:val="1"/>
                <w:color w:val="auto"/>
              </w:rPr>
              <w:t>Coverage ratio of past due loans</w:t>
            </w:r>
          </w:p>
        </w:tc>
        <w:tc>
          <w:tcPr>
            <w:tcW w:w="7180" w:type="dxa"/>
            <w:vAlign w:val="bottom"/>
          </w:tcPr>
          <w:p>
            <w:pPr>
              <w:ind w:left="480"/>
              <w:spacing w:after="0"/>
              <w:rPr>
                <w:sz w:val="20"/>
                <w:szCs w:val="20"/>
                <w:color w:val="auto"/>
              </w:rPr>
            </w:pPr>
            <w:r>
              <w:rPr>
                <w:rFonts w:ascii="Arial" w:cs="Arial" w:eastAsia="Arial" w:hAnsi="Arial"/>
                <w:sz w:val="18"/>
                <w:szCs w:val="18"/>
                <w:color w:val="auto"/>
              </w:rPr>
              <w:t>Net provisions fo loan losses / Past due loans</w:t>
            </w:r>
          </w:p>
        </w:tc>
        <w:tc>
          <w:tcPr>
            <w:tcW w:w="0" w:type="dxa"/>
            <w:vAlign w:val="bottom"/>
          </w:tcPr>
          <w:p>
            <w:pPr>
              <w:spacing w:after="0"/>
              <w:rPr>
                <w:sz w:val="1"/>
                <w:szCs w:val="1"/>
                <w:color w:val="auto"/>
              </w:rPr>
            </w:pPr>
          </w:p>
        </w:tc>
      </w:tr>
      <w:tr>
        <w:trPr>
          <w:trHeight w:val="220"/>
        </w:trPr>
        <w:tc>
          <w:tcPr>
            <w:tcW w:w="4220" w:type="dxa"/>
            <w:vAlign w:val="bottom"/>
          </w:tcPr>
          <w:p>
            <w:pPr>
              <w:spacing w:after="0"/>
              <w:rPr>
                <w:sz w:val="20"/>
                <w:szCs w:val="20"/>
                <w:color w:val="auto"/>
              </w:rPr>
            </w:pPr>
            <w:r>
              <w:rPr>
                <w:rFonts w:ascii="Arial" w:cs="Arial" w:eastAsia="Arial" w:hAnsi="Arial"/>
                <w:sz w:val="18"/>
                <w:szCs w:val="18"/>
                <w:b w:val="1"/>
                <w:bCs w:val="1"/>
                <w:color w:val="auto"/>
              </w:rPr>
              <w:t>Coverage ratio of non – performing loans</w:t>
            </w:r>
          </w:p>
        </w:tc>
        <w:tc>
          <w:tcPr>
            <w:tcW w:w="7180" w:type="dxa"/>
            <w:vAlign w:val="bottom"/>
          </w:tcPr>
          <w:p>
            <w:pPr>
              <w:ind w:left="480"/>
              <w:spacing w:after="0"/>
              <w:rPr>
                <w:sz w:val="20"/>
                <w:szCs w:val="20"/>
                <w:color w:val="auto"/>
              </w:rPr>
            </w:pPr>
            <w:r>
              <w:rPr>
                <w:rFonts w:ascii="Arial" w:cs="Arial" w:eastAsia="Arial" w:hAnsi="Arial"/>
                <w:sz w:val="18"/>
                <w:szCs w:val="18"/>
                <w:color w:val="auto"/>
              </w:rPr>
              <w:t>Net provisions fo loan losses / Non-performing loans</w:t>
            </w:r>
          </w:p>
        </w:tc>
        <w:tc>
          <w:tcPr>
            <w:tcW w:w="0" w:type="dxa"/>
            <w:vAlign w:val="bottom"/>
          </w:tcPr>
          <w:p>
            <w:pPr>
              <w:spacing w:after="0"/>
              <w:rPr>
                <w:sz w:val="1"/>
                <w:szCs w:val="1"/>
                <w:color w:val="auto"/>
              </w:rPr>
            </w:pPr>
          </w:p>
        </w:tc>
      </w:tr>
      <w:tr>
        <w:trPr>
          <w:trHeight w:val="216"/>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Cost of risk</w:t>
            </w:r>
          </w:p>
        </w:tc>
        <w:tc>
          <w:tcPr>
            <w:tcW w:w="7180" w:type="dxa"/>
            <w:vAlign w:val="bottom"/>
          </w:tcPr>
          <w:p>
            <w:pPr>
              <w:ind w:left="480"/>
              <w:spacing w:after="0"/>
              <w:rPr>
                <w:sz w:val="20"/>
                <w:szCs w:val="20"/>
                <w:color w:val="auto"/>
              </w:rPr>
            </w:pPr>
            <w:r>
              <w:rPr>
                <w:rFonts w:ascii="Arial" w:cs="Arial" w:eastAsia="Arial" w:hAnsi="Arial"/>
                <w:sz w:val="18"/>
                <w:szCs w:val="18"/>
                <w:color w:val="auto"/>
              </w:rPr>
              <w:t>Annualized net provisions / Total loans</w:t>
            </w:r>
          </w:p>
        </w:tc>
        <w:tc>
          <w:tcPr>
            <w:tcW w:w="0" w:type="dxa"/>
            <w:vAlign w:val="bottom"/>
          </w:tcPr>
          <w:p>
            <w:pPr>
              <w:spacing w:after="0"/>
              <w:rPr>
                <w:sz w:val="1"/>
                <w:szCs w:val="1"/>
                <w:color w:val="auto"/>
              </w:rPr>
            </w:pPr>
          </w:p>
        </w:tc>
      </w:tr>
      <w:tr>
        <w:trPr>
          <w:trHeight w:val="122"/>
        </w:trPr>
        <w:tc>
          <w:tcPr>
            <w:tcW w:w="4220" w:type="dxa"/>
            <w:vAlign w:val="bottom"/>
            <w:vMerge w:val="continue"/>
          </w:tcPr>
          <w:p>
            <w:pPr>
              <w:spacing w:after="0"/>
              <w:rPr>
                <w:sz w:val="10"/>
                <w:szCs w:val="10"/>
                <w:color w:val="auto"/>
              </w:rPr>
            </w:pPr>
          </w:p>
        </w:tc>
        <w:tc>
          <w:tcPr>
            <w:tcW w:w="7180" w:type="dxa"/>
            <w:vAlign w:val="bottom"/>
            <w:vMerge w:val="restart"/>
          </w:tcPr>
          <w:p>
            <w:pPr>
              <w:ind w:left="480"/>
              <w:spacing w:after="0"/>
              <w:rPr>
                <w:sz w:val="20"/>
                <w:szCs w:val="20"/>
                <w:color w:val="auto"/>
              </w:rPr>
            </w:pPr>
            <w:r>
              <w:rPr>
                <w:rFonts w:ascii="Arial" w:cs="Arial" w:eastAsia="Arial" w:hAnsi="Arial"/>
                <w:sz w:val="18"/>
                <w:szCs w:val="18"/>
                <w:color w:val="auto"/>
              </w:rPr>
              <w:t>Annualized net provisions/ Net interest income</w:t>
            </w:r>
          </w:p>
        </w:tc>
        <w:tc>
          <w:tcPr>
            <w:tcW w:w="0" w:type="dxa"/>
            <w:vAlign w:val="bottom"/>
          </w:tcPr>
          <w:p>
            <w:pPr>
              <w:spacing w:after="0"/>
              <w:rPr>
                <w:sz w:val="1"/>
                <w:szCs w:val="1"/>
                <w:color w:val="auto"/>
              </w:rPr>
            </w:pPr>
          </w:p>
        </w:tc>
      </w:tr>
      <w:tr>
        <w:trPr>
          <w:trHeight w:val="108"/>
        </w:trPr>
        <w:tc>
          <w:tcPr>
            <w:tcW w:w="4220" w:type="dxa"/>
            <w:vAlign w:val="bottom"/>
          </w:tcPr>
          <w:p>
            <w:pPr>
              <w:spacing w:after="0"/>
              <w:rPr>
                <w:sz w:val="9"/>
                <w:szCs w:val="9"/>
                <w:color w:val="auto"/>
              </w:rPr>
            </w:pPr>
          </w:p>
        </w:tc>
        <w:tc>
          <w:tcPr>
            <w:tcW w:w="7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4220" w:type="dxa"/>
            <w:vAlign w:val="bottom"/>
          </w:tcPr>
          <w:p>
            <w:pPr>
              <w:spacing w:after="0"/>
              <w:rPr>
                <w:sz w:val="24"/>
                <w:szCs w:val="24"/>
                <w:color w:val="auto"/>
              </w:rPr>
            </w:pPr>
          </w:p>
        </w:tc>
        <w:tc>
          <w:tcPr>
            <w:tcW w:w="7180" w:type="dxa"/>
            <w:vAlign w:val="bottom"/>
          </w:tcPr>
          <w:p>
            <w:pPr>
              <w:jc w:val="center"/>
              <w:ind w:right="4110"/>
              <w:spacing w:after="0"/>
              <w:rPr>
                <w:sz w:val="20"/>
                <w:szCs w:val="20"/>
                <w:color w:val="auto"/>
              </w:rPr>
            </w:pPr>
            <w:r>
              <w:rPr>
                <w:rFonts w:ascii="Arial" w:cs="Arial" w:eastAsia="Arial" w:hAnsi="Arial"/>
                <w:sz w:val="18"/>
                <w:szCs w:val="18"/>
                <w:b w:val="1"/>
                <w:bCs w:val="1"/>
                <w:color w:val="auto"/>
                <w:w w:val="91"/>
              </w:rPr>
              <w:t>Operating performance</w:t>
            </w:r>
          </w:p>
        </w:tc>
        <w:tc>
          <w:tcPr>
            <w:tcW w:w="0" w:type="dxa"/>
            <w:vAlign w:val="bottom"/>
          </w:tcPr>
          <w:p>
            <w:pPr>
              <w:spacing w:after="0"/>
              <w:rPr>
                <w:sz w:val="1"/>
                <w:szCs w:val="1"/>
                <w:color w:val="auto"/>
              </w:rPr>
            </w:pPr>
          </w:p>
        </w:tc>
      </w:tr>
      <w:tr>
        <w:trPr>
          <w:trHeight w:val="418"/>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Operating efficiency</w:t>
            </w:r>
          </w:p>
        </w:tc>
        <w:tc>
          <w:tcPr>
            <w:tcW w:w="7180" w:type="dxa"/>
            <w:vAlign w:val="bottom"/>
          </w:tcPr>
          <w:p>
            <w:pPr>
              <w:ind w:left="480"/>
              <w:spacing w:after="0"/>
              <w:rPr>
                <w:sz w:val="20"/>
                <w:szCs w:val="20"/>
                <w:color w:val="auto"/>
              </w:rPr>
            </w:pPr>
            <w:r>
              <w:rPr>
                <w:rFonts w:ascii="Arial" w:cs="Arial" w:eastAsia="Arial" w:hAnsi="Arial"/>
                <w:sz w:val="18"/>
                <w:szCs w:val="18"/>
                <w:color w:val="auto"/>
                <w:w w:val="90"/>
              </w:rPr>
              <w:t>(Salaries and employee benefits + Administrative expenses + Depreciation and amortization)</w:t>
            </w:r>
          </w:p>
        </w:tc>
        <w:tc>
          <w:tcPr>
            <w:tcW w:w="0" w:type="dxa"/>
            <w:vAlign w:val="bottom"/>
          </w:tcPr>
          <w:p>
            <w:pPr>
              <w:spacing w:after="0"/>
              <w:rPr>
                <w:sz w:val="1"/>
                <w:szCs w:val="1"/>
                <w:color w:val="auto"/>
              </w:rPr>
            </w:pPr>
          </w:p>
        </w:tc>
      </w:tr>
      <w:tr>
        <w:trPr>
          <w:trHeight w:val="216"/>
        </w:trPr>
        <w:tc>
          <w:tcPr>
            <w:tcW w:w="4220" w:type="dxa"/>
            <w:vAlign w:val="bottom"/>
            <w:vMerge w:val="continue"/>
          </w:tcPr>
          <w:p>
            <w:pPr>
              <w:spacing w:after="0"/>
              <w:rPr>
                <w:sz w:val="18"/>
                <w:szCs w:val="18"/>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 (Net interest income + Fee income + Gain on foreign exchange transactions + Net</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premiums earned + Gross margin from medical services)</w:t>
            </w:r>
          </w:p>
        </w:tc>
        <w:tc>
          <w:tcPr>
            <w:tcW w:w="0" w:type="dxa"/>
            <w:vAlign w:val="bottom"/>
          </w:tcPr>
          <w:p>
            <w:pPr>
              <w:spacing w:after="0"/>
              <w:rPr>
                <w:sz w:val="1"/>
                <w:szCs w:val="1"/>
                <w:color w:val="auto"/>
              </w:rPr>
            </w:pPr>
          </w:p>
        </w:tc>
      </w:tr>
      <w:tr>
        <w:trPr>
          <w:trHeight w:val="216"/>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 to total assets</w:t>
            </w:r>
          </w:p>
        </w:tc>
        <w:tc>
          <w:tcPr>
            <w:tcW w:w="7180" w:type="dxa"/>
            <w:vAlign w:val="bottom"/>
          </w:tcPr>
          <w:p>
            <w:pPr>
              <w:ind w:left="480"/>
              <w:spacing w:after="0"/>
              <w:rPr>
                <w:sz w:val="20"/>
                <w:szCs w:val="20"/>
                <w:color w:val="auto"/>
              </w:rPr>
            </w:pPr>
            <w:r>
              <w:rPr>
                <w:rFonts w:ascii="Arial" w:cs="Arial" w:eastAsia="Arial" w:hAnsi="Arial"/>
                <w:sz w:val="18"/>
                <w:szCs w:val="18"/>
                <w:color w:val="auto"/>
                <w:w w:val="90"/>
              </w:rPr>
              <w:t>(Salaries and employee benefits + Administrative expenses + Depreciation and amortization)</w:t>
            </w:r>
          </w:p>
        </w:tc>
        <w:tc>
          <w:tcPr>
            <w:tcW w:w="0" w:type="dxa"/>
            <w:vAlign w:val="bottom"/>
          </w:tcPr>
          <w:p>
            <w:pPr>
              <w:spacing w:after="0"/>
              <w:rPr>
                <w:sz w:val="1"/>
                <w:szCs w:val="1"/>
                <w:color w:val="auto"/>
              </w:rPr>
            </w:pPr>
          </w:p>
        </w:tc>
      </w:tr>
      <w:tr>
        <w:trPr>
          <w:trHeight w:val="122"/>
        </w:trPr>
        <w:tc>
          <w:tcPr>
            <w:tcW w:w="4220" w:type="dxa"/>
            <w:vAlign w:val="bottom"/>
            <w:vMerge w:val="continue"/>
          </w:tcPr>
          <w:p>
            <w:pPr>
              <w:spacing w:after="0"/>
              <w:rPr>
                <w:sz w:val="10"/>
                <w:szCs w:val="10"/>
                <w:color w:val="auto"/>
              </w:rPr>
            </w:pPr>
          </w:p>
        </w:tc>
        <w:tc>
          <w:tcPr>
            <w:tcW w:w="7180" w:type="dxa"/>
            <w:vAlign w:val="bottom"/>
            <w:vMerge w:val="restart"/>
          </w:tcPr>
          <w:p>
            <w:pPr>
              <w:ind w:left="480"/>
              <w:spacing w:after="0"/>
              <w:rPr>
                <w:sz w:val="20"/>
                <w:szCs w:val="20"/>
                <w:color w:val="auto"/>
              </w:rPr>
            </w:pPr>
            <w:r>
              <w:rPr>
                <w:rFonts w:ascii="Arial" w:cs="Arial" w:eastAsia="Arial" w:hAnsi="Arial"/>
                <w:sz w:val="18"/>
                <w:szCs w:val="18"/>
                <w:color w:val="auto"/>
              </w:rPr>
              <w:t>/ Average* assets</w:t>
            </w:r>
          </w:p>
        </w:tc>
        <w:tc>
          <w:tcPr>
            <w:tcW w:w="0" w:type="dxa"/>
            <w:vAlign w:val="bottom"/>
          </w:tcPr>
          <w:p>
            <w:pPr>
              <w:spacing w:after="0"/>
              <w:rPr>
                <w:sz w:val="1"/>
                <w:szCs w:val="1"/>
                <w:color w:val="auto"/>
              </w:rPr>
            </w:pPr>
          </w:p>
        </w:tc>
      </w:tr>
      <w:tr>
        <w:trPr>
          <w:trHeight w:val="108"/>
        </w:trPr>
        <w:tc>
          <w:tcPr>
            <w:tcW w:w="4220" w:type="dxa"/>
            <w:vAlign w:val="bottom"/>
          </w:tcPr>
          <w:p>
            <w:pPr>
              <w:spacing w:after="0"/>
              <w:rPr>
                <w:sz w:val="9"/>
                <w:szCs w:val="9"/>
                <w:color w:val="auto"/>
              </w:rPr>
            </w:pPr>
          </w:p>
        </w:tc>
        <w:tc>
          <w:tcPr>
            <w:tcW w:w="7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4220" w:type="dxa"/>
            <w:vAlign w:val="bottom"/>
          </w:tcPr>
          <w:p>
            <w:pPr>
              <w:spacing w:after="0"/>
              <w:rPr>
                <w:sz w:val="24"/>
                <w:szCs w:val="24"/>
                <w:color w:val="auto"/>
              </w:rPr>
            </w:pPr>
          </w:p>
        </w:tc>
        <w:tc>
          <w:tcPr>
            <w:tcW w:w="7180" w:type="dxa"/>
            <w:vAlign w:val="bottom"/>
          </w:tcPr>
          <w:p>
            <w:pPr>
              <w:jc w:val="center"/>
              <w:ind w:right="4110"/>
              <w:spacing w:after="0"/>
              <w:rPr>
                <w:sz w:val="20"/>
                <w:szCs w:val="20"/>
                <w:color w:val="auto"/>
              </w:rPr>
            </w:pPr>
            <w:r>
              <w:rPr>
                <w:rFonts w:ascii="Arial" w:cs="Arial" w:eastAsia="Arial" w:hAnsi="Arial"/>
                <w:sz w:val="18"/>
                <w:szCs w:val="18"/>
                <w:b w:val="1"/>
                <w:bCs w:val="1"/>
                <w:color w:val="auto"/>
                <w:w w:val="91"/>
              </w:rPr>
              <w:t>Capital Adequacy</w:t>
            </w:r>
          </w:p>
        </w:tc>
        <w:tc>
          <w:tcPr>
            <w:tcW w:w="0" w:type="dxa"/>
            <w:vAlign w:val="bottom"/>
          </w:tcPr>
          <w:p>
            <w:pPr>
              <w:spacing w:after="0"/>
              <w:rPr>
                <w:sz w:val="1"/>
                <w:szCs w:val="1"/>
                <w:color w:val="auto"/>
              </w:rPr>
            </w:pPr>
          </w:p>
        </w:tc>
      </w:tr>
      <w:tr>
        <w:trPr>
          <w:trHeight w:val="414"/>
        </w:trPr>
        <w:tc>
          <w:tcPr>
            <w:tcW w:w="4220" w:type="dxa"/>
            <w:vAlign w:val="bottom"/>
          </w:tcPr>
          <w:p>
            <w:pPr>
              <w:spacing w:after="0"/>
              <w:rPr>
                <w:sz w:val="20"/>
                <w:szCs w:val="20"/>
                <w:color w:val="auto"/>
              </w:rPr>
            </w:pPr>
            <w:r>
              <w:rPr>
                <w:rFonts w:ascii="Arial" w:cs="Arial" w:eastAsia="Arial" w:hAnsi="Arial"/>
                <w:sz w:val="18"/>
                <w:szCs w:val="18"/>
                <w:b w:val="1"/>
                <w:bCs w:val="1"/>
                <w:color w:val="auto"/>
              </w:rPr>
              <w:t>BIS ratio</w:t>
            </w:r>
          </w:p>
        </w:tc>
        <w:tc>
          <w:tcPr>
            <w:tcW w:w="7180" w:type="dxa"/>
            <w:vAlign w:val="bottom"/>
          </w:tcPr>
          <w:p>
            <w:pPr>
              <w:ind w:left="480"/>
              <w:spacing w:after="0"/>
              <w:rPr>
                <w:sz w:val="20"/>
                <w:szCs w:val="20"/>
                <w:color w:val="auto"/>
              </w:rPr>
            </w:pPr>
            <w:r>
              <w:rPr>
                <w:rFonts w:ascii="Arial" w:cs="Arial" w:eastAsia="Arial" w:hAnsi="Arial"/>
                <w:sz w:val="18"/>
                <w:szCs w:val="18"/>
                <w:color w:val="auto"/>
              </w:rPr>
              <w:t>Regulatory Capital / Risk-weighted assets</w:t>
            </w:r>
          </w:p>
        </w:tc>
        <w:tc>
          <w:tcPr>
            <w:tcW w:w="0" w:type="dxa"/>
            <w:vAlign w:val="bottom"/>
          </w:tcPr>
          <w:p>
            <w:pPr>
              <w:spacing w:after="0"/>
              <w:rPr>
                <w:sz w:val="1"/>
                <w:szCs w:val="1"/>
                <w:color w:val="auto"/>
              </w:rPr>
            </w:pPr>
          </w:p>
        </w:tc>
      </w:tr>
      <w:tr>
        <w:trPr>
          <w:trHeight w:val="220"/>
        </w:trPr>
        <w:tc>
          <w:tcPr>
            <w:tcW w:w="4220" w:type="dxa"/>
            <w:vAlign w:val="bottom"/>
          </w:tcPr>
          <w:p>
            <w:pPr>
              <w:spacing w:after="0"/>
              <w:rPr>
                <w:sz w:val="20"/>
                <w:szCs w:val="20"/>
                <w:color w:val="auto"/>
              </w:rPr>
            </w:pPr>
            <w:r>
              <w:rPr>
                <w:rFonts w:ascii="Arial" w:cs="Arial" w:eastAsia="Arial" w:hAnsi="Arial"/>
                <w:sz w:val="18"/>
                <w:szCs w:val="18"/>
                <w:b w:val="1"/>
                <w:bCs w:val="1"/>
                <w:color w:val="auto"/>
              </w:rPr>
              <w:t>Tier 1 ratio</w:t>
            </w:r>
          </w:p>
        </w:tc>
        <w:tc>
          <w:tcPr>
            <w:tcW w:w="7180" w:type="dxa"/>
            <w:vAlign w:val="bottom"/>
          </w:tcPr>
          <w:p>
            <w:pPr>
              <w:ind w:left="480"/>
              <w:spacing w:after="0"/>
              <w:rPr>
                <w:sz w:val="20"/>
                <w:szCs w:val="20"/>
                <w:color w:val="auto"/>
              </w:rPr>
            </w:pPr>
            <w:r>
              <w:rPr>
                <w:rFonts w:ascii="Arial" w:cs="Arial" w:eastAsia="Arial" w:hAnsi="Arial"/>
                <w:sz w:val="18"/>
                <w:szCs w:val="18"/>
                <w:color w:val="auto"/>
              </w:rPr>
              <w:t>Tier 1 / Risk-weighted assets</w:t>
            </w:r>
          </w:p>
        </w:tc>
        <w:tc>
          <w:tcPr>
            <w:tcW w:w="0" w:type="dxa"/>
            <w:vAlign w:val="bottom"/>
          </w:tcPr>
          <w:p>
            <w:pPr>
              <w:spacing w:after="0"/>
              <w:rPr>
                <w:sz w:val="1"/>
                <w:szCs w:val="1"/>
                <w:color w:val="auto"/>
              </w:rPr>
            </w:pPr>
          </w:p>
        </w:tc>
      </w:tr>
      <w:tr>
        <w:trPr>
          <w:trHeight w:val="216"/>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Common Equity Tier 1 ratio</w:t>
            </w:r>
          </w:p>
        </w:tc>
        <w:tc>
          <w:tcPr>
            <w:tcW w:w="7180" w:type="dxa"/>
            <w:vAlign w:val="bottom"/>
          </w:tcPr>
          <w:p>
            <w:pPr>
              <w:ind w:left="480"/>
              <w:spacing w:after="0"/>
              <w:rPr>
                <w:sz w:val="20"/>
                <w:szCs w:val="20"/>
                <w:color w:val="auto"/>
              </w:rPr>
            </w:pPr>
            <w:r>
              <w:rPr>
                <w:rFonts w:ascii="Arial" w:cs="Arial" w:eastAsia="Arial" w:hAnsi="Arial"/>
                <w:sz w:val="18"/>
                <w:szCs w:val="18"/>
                <w:color w:val="auto"/>
                <w:w w:val="93"/>
              </w:rPr>
              <w:t>Capital + Reserves – 100% of applicable deductions (investment in subsidiaries, goodwill,</w:t>
            </w:r>
          </w:p>
        </w:tc>
        <w:tc>
          <w:tcPr>
            <w:tcW w:w="0" w:type="dxa"/>
            <w:vAlign w:val="bottom"/>
          </w:tcPr>
          <w:p>
            <w:pPr>
              <w:spacing w:after="0"/>
              <w:rPr>
                <w:sz w:val="1"/>
                <w:szCs w:val="1"/>
                <w:color w:val="auto"/>
              </w:rPr>
            </w:pPr>
          </w:p>
        </w:tc>
      </w:tr>
      <w:tr>
        <w:trPr>
          <w:trHeight w:val="216"/>
        </w:trPr>
        <w:tc>
          <w:tcPr>
            <w:tcW w:w="4220" w:type="dxa"/>
            <w:vAlign w:val="bottom"/>
            <w:vMerge w:val="continue"/>
          </w:tcPr>
          <w:p>
            <w:pPr>
              <w:spacing w:after="0"/>
              <w:rPr>
                <w:sz w:val="18"/>
                <w:szCs w:val="18"/>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w w:val="95"/>
              </w:rPr>
              <w:t>intangibles and deferred tax assets that rely on future profitability) + retained earnings +</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unrealized gains.</w:t>
            </w:r>
          </w:p>
        </w:tc>
        <w:tc>
          <w:tcPr>
            <w:tcW w:w="0" w:type="dxa"/>
            <w:vAlign w:val="bottom"/>
          </w:tcPr>
          <w:p>
            <w:pPr>
              <w:spacing w:after="0"/>
              <w:rPr>
                <w:sz w:val="1"/>
                <w:szCs w:val="1"/>
                <w:color w:val="auto"/>
              </w:rPr>
            </w:pPr>
          </w:p>
        </w:tc>
      </w:tr>
      <w:tr>
        <w:trPr>
          <w:trHeight w:val="432"/>
        </w:trPr>
        <w:tc>
          <w:tcPr>
            <w:tcW w:w="4220" w:type="dxa"/>
            <w:vAlign w:val="bottom"/>
          </w:tcPr>
          <w:p>
            <w:pPr>
              <w:spacing w:after="0"/>
              <w:rPr>
                <w:sz w:val="24"/>
                <w:szCs w:val="24"/>
                <w:color w:val="auto"/>
              </w:rPr>
            </w:pPr>
          </w:p>
        </w:tc>
        <w:tc>
          <w:tcPr>
            <w:tcW w:w="7180" w:type="dxa"/>
            <w:vAlign w:val="bottom"/>
          </w:tcPr>
          <w:p>
            <w:pPr>
              <w:jc w:val="center"/>
              <w:ind w:right="4110"/>
              <w:spacing w:after="0"/>
              <w:rPr>
                <w:sz w:val="20"/>
                <w:szCs w:val="20"/>
                <w:color w:val="auto"/>
              </w:rPr>
            </w:pPr>
            <w:r>
              <w:rPr>
                <w:rFonts w:ascii="Arial" w:cs="Arial" w:eastAsia="Arial" w:hAnsi="Arial"/>
                <w:sz w:val="18"/>
                <w:szCs w:val="18"/>
                <w:b w:val="1"/>
                <w:bCs w:val="1"/>
                <w:color w:val="auto"/>
                <w:w w:val="91"/>
              </w:rPr>
              <w:t>Insurance</w:t>
            </w:r>
          </w:p>
        </w:tc>
        <w:tc>
          <w:tcPr>
            <w:tcW w:w="0" w:type="dxa"/>
            <w:vAlign w:val="bottom"/>
          </w:tcPr>
          <w:p>
            <w:pPr>
              <w:spacing w:after="0"/>
              <w:rPr>
                <w:sz w:val="1"/>
                <w:szCs w:val="1"/>
                <w:color w:val="auto"/>
              </w:rPr>
            </w:pPr>
          </w:p>
        </w:tc>
      </w:tr>
      <w:tr>
        <w:trPr>
          <w:trHeight w:val="418"/>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Combined ratio</w:t>
            </w:r>
          </w:p>
        </w:tc>
        <w:tc>
          <w:tcPr>
            <w:tcW w:w="7180" w:type="dxa"/>
            <w:vAlign w:val="bottom"/>
          </w:tcPr>
          <w:p>
            <w:pPr>
              <w:ind w:left="480"/>
              <w:spacing w:after="0"/>
              <w:rPr>
                <w:sz w:val="20"/>
                <w:szCs w:val="20"/>
                <w:color w:val="auto"/>
              </w:rPr>
            </w:pPr>
            <w:r>
              <w:rPr>
                <w:rFonts w:ascii="Arial" w:cs="Arial" w:eastAsia="Arial" w:hAnsi="Arial"/>
                <w:sz w:val="18"/>
                <w:szCs w:val="18"/>
                <w:color w:val="auto"/>
                <w:w w:val="97"/>
              </w:rPr>
              <w:t>(Net claims / Net earned premiums) + (Fees + Net underwriting expenses / Net earned</w:t>
            </w:r>
          </w:p>
        </w:tc>
        <w:tc>
          <w:tcPr>
            <w:tcW w:w="0" w:type="dxa"/>
            <w:vAlign w:val="bottom"/>
          </w:tcPr>
          <w:p>
            <w:pPr>
              <w:spacing w:after="0"/>
              <w:rPr>
                <w:sz w:val="1"/>
                <w:szCs w:val="1"/>
                <w:color w:val="auto"/>
              </w:rPr>
            </w:pPr>
          </w:p>
        </w:tc>
      </w:tr>
      <w:tr>
        <w:trPr>
          <w:trHeight w:val="122"/>
        </w:trPr>
        <w:tc>
          <w:tcPr>
            <w:tcW w:w="4220" w:type="dxa"/>
            <w:vAlign w:val="bottom"/>
            <w:vMerge w:val="continue"/>
          </w:tcPr>
          <w:p>
            <w:pPr>
              <w:spacing w:after="0"/>
              <w:rPr>
                <w:sz w:val="10"/>
                <w:szCs w:val="10"/>
                <w:color w:val="auto"/>
              </w:rPr>
            </w:pPr>
          </w:p>
        </w:tc>
        <w:tc>
          <w:tcPr>
            <w:tcW w:w="7180" w:type="dxa"/>
            <w:vAlign w:val="bottom"/>
            <w:vMerge w:val="restart"/>
          </w:tcPr>
          <w:p>
            <w:pPr>
              <w:ind w:left="480"/>
              <w:spacing w:after="0"/>
              <w:rPr>
                <w:sz w:val="20"/>
                <w:szCs w:val="20"/>
                <w:color w:val="auto"/>
              </w:rPr>
            </w:pPr>
            <w:r>
              <w:rPr>
                <w:rFonts w:ascii="Arial" w:cs="Arial" w:eastAsia="Arial" w:hAnsi="Arial"/>
                <w:sz w:val="18"/>
                <w:szCs w:val="18"/>
                <w:color w:val="auto"/>
              </w:rPr>
              <w:t>premiums)</w:t>
            </w:r>
          </w:p>
        </w:tc>
        <w:tc>
          <w:tcPr>
            <w:tcW w:w="0" w:type="dxa"/>
            <w:vAlign w:val="bottom"/>
          </w:tcPr>
          <w:p>
            <w:pPr>
              <w:spacing w:after="0"/>
              <w:rPr>
                <w:sz w:val="1"/>
                <w:szCs w:val="1"/>
                <w:color w:val="auto"/>
              </w:rPr>
            </w:pPr>
          </w:p>
        </w:tc>
      </w:tr>
      <w:tr>
        <w:trPr>
          <w:trHeight w:val="94"/>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Loss ratio</w:t>
            </w:r>
          </w:p>
        </w:tc>
        <w:tc>
          <w:tcPr>
            <w:tcW w:w="7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220" w:type="dxa"/>
            <w:vAlign w:val="bottom"/>
            <w:vMerge w:val="continue"/>
          </w:tcPr>
          <w:p>
            <w:pPr>
              <w:spacing w:after="0"/>
              <w:rPr>
                <w:sz w:val="18"/>
                <w:szCs w:val="18"/>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Net claims / Net earned premiums</w:t>
            </w: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Arial" w:cs="Arial" w:eastAsia="Arial" w:hAnsi="Arial"/>
                <w:sz w:val="18"/>
                <w:szCs w:val="18"/>
                <w:b w:val="1"/>
                <w:bCs w:val="1"/>
                <w:color w:val="auto"/>
              </w:rPr>
              <w:t>Underwriting results to net earned premiums</w:t>
            </w:r>
          </w:p>
        </w:tc>
        <w:tc>
          <w:tcPr>
            <w:tcW w:w="7180" w:type="dxa"/>
            <w:vAlign w:val="bottom"/>
          </w:tcPr>
          <w:p>
            <w:pPr>
              <w:ind w:left="480"/>
              <w:spacing w:after="0"/>
              <w:rPr>
                <w:sz w:val="20"/>
                <w:szCs w:val="20"/>
                <w:color w:val="auto"/>
              </w:rPr>
            </w:pPr>
            <w:r>
              <w:rPr>
                <w:rFonts w:ascii="Arial" w:cs="Arial" w:eastAsia="Arial" w:hAnsi="Arial"/>
                <w:sz w:val="18"/>
                <w:szCs w:val="18"/>
                <w:color w:val="auto"/>
              </w:rPr>
              <w:t>Underwriting results / Net earned premiums</w:t>
            </w:r>
          </w:p>
        </w:tc>
        <w:tc>
          <w:tcPr>
            <w:tcW w:w="0" w:type="dxa"/>
            <w:vAlign w:val="bottom"/>
          </w:tcPr>
          <w:p>
            <w:pPr>
              <w:spacing w:after="0"/>
              <w:rPr>
                <w:sz w:val="1"/>
                <w:szCs w:val="1"/>
                <w:color w:val="auto"/>
              </w:rPr>
            </w:pPr>
          </w:p>
        </w:tc>
      </w:tr>
    </w:tbl>
    <w:p>
      <w:pPr>
        <w:ind w:left="140" w:hanging="132"/>
        <w:spacing w:after="0"/>
        <w:tabs>
          <w:tab w:leader="none" w:pos="1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N/A: Not applicable</w:t>
      </w:r>
    </w:p>
    <w:p>
      <w:pPr>
        <w:spacing w:after="0" w:line="200" w:lineRule="exact"/>
        <w:rPr>
          <w:rFonts w:ascii="Arial" w:cs="Arial" w:eastAsia="Arial" w:hAnsi="Arial"/>
          <w:sz w:val="15"/>
          <w:szCs w:val="15"/>
          <w:b w:val="1"/>
          <w:bCs w:val="1"/>
          <w:color w:val="auto"/>
        </w:rPr>
      </w:pPr>
    </w:p>
    <w:p>
      <w:pPr>
        <w:spacing w:after="0" w:line="220" w:lineRule="exact"/>
        <w:rPr>
          <w:rFonts w:ascii="Arial" w:cs="Arial" w:eastAsia="Arial" w:hAnsi="Arial"/>
          <w:sz w:val="15"/>
          <w:szCs w:val="15"/>
          <w:b w:val="1"/>
          <w:bCs w:val="1"/>
          <w:color w:val="auto"/>
        </w:rPr>
      </w:pPr>
    </w:p>
    <w:p>
      <w:pPr>
        <w:ind w:left="11140"/>
        <w:spacing w:after="0"/>
        <w:rPr>
          <w:sz w:val="20"/>
          <w:szCs w:val="20"/>
          <w:color w:val="auto"/>
        </w:rPr>
      </w:pPr>
      <w:r>
        <w:rPr>
          <w:rFonts w:ascii="Arial" w:cs="Arial" w:eastAsia="Arial" w:hAnsi="Arial"/>
          <w:sz w:val="22"/>
          <w:szCs w:val="22"/>
          <w:color w:val="auto"/>
        </w:rPr>
        <w:t>63</w:t>
      </w:r>
    </w:p>
    <w:p>
      <w:pPr>
        <w:spacing w:after="0" w:line="20" w:lineRule="exact"/>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65" w:name="page66"/>
    <w:bookmarkEnd w:id="65"/>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November 05,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Bottger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8987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1)"/>
      <w:numFmt w:val="decimal"/>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1)"/>
      <w:numFmt w:val="lowerRoman"/>
      <w:start w:val="1"/>
    </w:lvl>
  </w:abstractNum>
  <w:abstractNum w:abstractNumId="6">
    <w:nsid w:val="5E884ADC"/>
    <w:multiLevelType w:val="hybridMultilevel"/>
    <w:lvl w:ilvl="0">
      <w:lvlJc w:val="left"/>
      <w:lvlText w:val="(%1)"/>
      <w:numFmt w:val="lowerRoman"/>
      <w:start w:val="1"/>
    </w:lvl>
  </w:abstractNum>
  <w:abstractNum w:abstractNumId="7">
    <w:nsid w:val="51EAD36B"/>
    <w:multiLevelType w:val="hybridMultilevel"/>
    <w:lvl w:ilvl="0">
      <w:lvlJc w:val="left"/>
      <w:lvlText w:val="(%1)"/>
      <w:numFmt w:val="decimal"/>
      <w:start w:val="1"/>
    </w:lvl>
  </w:abstractNum>
  <w:abstractNum w:abstractNumId="8">
    <w:nsid w:val="2D517796"/>
    <w:multiLevelType w:val="hybridMultilevel"/>
    <w:lvl w:ilvl="0">
      <w:lvlJc w:val="left"/>
      <w:lvlText w:val="(%1)"/>
      <w:numFmt w:val="lowerRoman"/>
      <w:start w:val="1"/>
    </w:lvl>
  </w:abstractNum>
  <w:abstractNum w:abstractNumId="9">
    <w:nsid w:val="580BD78F"/>
    <w:multiLevelType w:val="hybridMultilevel"/>
    <w:lvl w:ilvl="0">
      <w:lvlJc w:val="left"/>
      <w:lvlText w:val="(%1)"/>
      <w:numFmt w:val="lowerRoman"/>
      <w:start w:val="1"/>
    </w:lvl>
  </w:abstractNum>
  <w:abstractNum w:abstractNumId="10">
    <w:nsid w:val="153EA438"/>
    <w:multiLevelType w:val="hybridMultilevel"/>
    <w:lvl w:ilvl="0">
      <w:lvlJc w:val="left"/>
      <w:lvlText w:val="(%1)"/>
      <w:numFmt w:val="decimal"/>
      <w:start w:val="1"/>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1."/>
      <w:numFmt w:val="decimal"/>
      <w:start w:val="2"/>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2"/>
      <w:numFmt w:val="bullet"/>
      <w:start w:val="1"/>
    </w:lvl>
  </w:abstractNum>
  <w:abstractNum w:abstractNumId="15">
    <w:nsid w:val="1D4ED43B"/>
    <w:multiLevelType w:val="hybridMultilevel"/>
    <w:lvl w:ilvl="0">
      <w:lvlJc w:val="left"/>
      <w:lvlText w:val="(%1)"/>
      <w:numFmt w:val="decimal"/>
      <w:start w:val="1"/>
    </w:lvl>
  </w:abstractNum>
  <w:abstractNum w:abstractNumId="16">
    <w:nsid w:val="725A06FB"/>
    <w:multiLevelType w:val="hybridMultilevel"/>
    <w:lvl w:ilvl="0">
      <w:lvlJc w:val="left"/>
      <w:lvlText w:val="(%1)"/>
      <w:numFmt w:val="decimal"/>
      <w:start w:val="1"/>
    </w:lvl>
  </w:abstractNum>
  <w:abstractNum w:abstractNumId="17">
    <w:nsid w:val="2CD89A32"/>
    <w:multiLevelType w:val="hybridMultilevel"/>
    <w:lvl w:ilvl="0">
      <w:lvlJc w:val="left"/>
      <w:lvlText w:val="(%1)"/>
      <w:numFmt w:val="decimal"/>
      <w:start w:val="1"/>
    </w:lvl>
  </w:abstractNum>
  <w:abstractNum w:abstractNumId="18">
    <w:nsid w:val="57E4CCAF"/>
    <w:multiLevelType w:val="hybridMultilevel"/>
    <w:lvl w:ilvl="0">
      <w:lvlJc w:val="left"/>
      <w:lvlText w:val="%1."/>
      <w:numFmt w:val="decimal"/>
      <w:start w:val="3"/>
    </w:lvl>
  </w:abstractNum>
  <w:abstractNum w:abstractNumId="19">
    <w:nsid w:val="7A6D8D3C"/>
    <w:multiLevelType w:val="hybridMultilevel"/>
    <w:lvl w:ilvl="0">
      <w:lvlJc w:val="left"/>
      <w:lvlText w:val="(%1)"/>
      <w:numFmt w:val="decimal"/>
      <w:start w:val="1"/>
    </w:lvl>
  </w:abstractNum>
  <w:abstractNum w:abstractNumId="20">
    <w:nsid w:val="4B588F54"/>
    <w:multiLevelType w:val="hybridMultilevel"/>
    <w:lvl w:ilvl="0">
      <w:lvlJc w:val="left"/>
      <w:lvlText w:val="%1)"/>
      <w:numFmt w:val="lowerRoman"/>
      <w:start w:val="1"/>
    </w:lvl>
  </w:abstractNum>
  <w:abstractNum w:abstractNumId="21">
    <w:nsid w:val="542289EC"/>
    <w:multiLevelType w:val="hybridMultilevel"/>
    <w:lvl w:ilvl="0">
      <w:lvlJc w:val="left"/>
      <w:lvlText w:val="(%1)"/>
      <w:numFmt w:val="lowerRoman"/>
      <w:start w:val="1"/>
    </w:lvl>
  </w:abstractNum>
  <w:abstractNum w:abstractNumId="22">
    <w:nsid w:val="6DE91B18"/>
    <w:multiLevelType w:val="hybridMultilevel"/>
    <w:lvl w:ilvl="0">
      <w:lvlJc w:val="left"/>
      <w:lvlText w:val="(%1)"/>
      <w:numFmt w:val="lowerRoman"/>
      <w:start w:val="1"/>
    </w:lvl>
  </w:abstractNum>
  <w:abstractNum w:abstractNumId="23">
    <w:nsid w:val="38437FDB"/>
    <w:multiLevelType w:val="hybridMultilevel"/>
    <w:lvl w:ilvl="0">
      <w:lvlJc w:val="left"/>
      <w:lvlText w:val="(%1)"/>
      <w:numFmt w:val="lowerRoman"/>
      <w:start w:val="2"/>
    </w:lvl>
  </w:abstractNum>
  <w:abstractNum w:abstractNumId="24">
    <w:nsid w:val="7644A45C"/>
    <w:multiLevelType w:val="hybridMultilevel"/>
    <w:lvl w:ilvl="0">
      <w:lvlJc w:val="left"/>
      <w:lvlText w:val="(%1)"/>
      <w:numFmt w:val="lowerRoman"/>
      <w:start w:val="3"/>
    </w:lvl>
  </w:abstractNum>
  <w:abstractNum w:abstractNumId="25">
    <w:nsid w:val="32FFF902"/>
    <w:multiLevelType w:val="hybridMultilevel"/>
    <w:lvl w:ilvl="0">
      <w:lvlJc w:val="left"/>
      <w:lvlText w:val="(%1)"/>
      <w:numFmt w:val="lowerRoman"/>
      <w:start w:val="4"/>
    </w:lvl>
  </w:abstractNum>
  <w:abstractNum w:abstractNumId="26">
    <w:nsid w:val="684A481A"/>
    <w:multiLevelType w:val="hybridMultilevel"/>
    <w:lvl w:ilvl="0">
      <w:lvlJc w:val="left"/>
      <w:lvlText w:val="(%1)"/>
      <w:numFmt w:val="lowerRoman"/>
      <w:start w:val="5"/>
    </w:lvl>
    <w:lvl w:ilvl="1">
      <w:lvlJc w:val="left"/>
      <w:lvlText w:val="%2."/>
      <w:numFmt w:val="lowerLetter"/>
      <w:start w:val="1"/>
    </w:lvl>
  </w:abstractNum>
  <w:abstractNum w:abstractNumId="27">
    <w:nsid w:val="579478FE"/>
    <w:multiLevelType w:val="hybridMultilevel"/>
    <w:lvl w:ilvl="0">
      <w:lvlJc w:val="left"/>
      <w:lvlText w:val="3"/>
      <w:numFmt w:val="bullet"/>
      <w:start w:val="1"/>
    </w:lvl>
  </w:abstractNum>
  <w:abstractNum w:abstractNumId="28">
    <w:nsid w:val="749ABB43"/>
    <w:multiLevelType w:val="hybridMultilevel"/>
    <w:lvl w:ilvl="0">
      <w:lvlJc w:val="left"/>
      <w:lvlText w:val="(%1)"/>
      <w:numFmt w:val="lowerRoman"/>
      <w:start w:val="6"/>
    </w:lvl>
    <w:lvl w:ilvl="1">
      <w:lvlJc w:val="left"/>
      <w:lvlText w:val="%2."/>
      <w:numFmt w:val="lowerLetter"/>
      <w:start w:val="1"/>
    </w:lvl>
  </w:abstractNum>
  <w:abstractNum w:abstractNumId="29">
    <w:nsid w:val="3DC240FB"/>
    <w:multiLevelType w:val="hybridMultilevel"/>
    <w:lvl w:ilvl="0">
      <w:lvlJc w:val="left"/>
      <w:lvlText w:val="(%1)"/>
      <w:numFmt w:val="lowerRoman"/>
      <w:start w:val="7"/>
    </w:lvl>
  </w:abstractNum>
  <w:abstractNum w:abstractNumId="30">
    <w:nsid w:val="1BA026FA"/>
    <w:multiLevelType w:val="hybridMultilevel"/>
    <w:lvl w:ilvl="0">
      <w:lvlJc w:val="left"/>
      <w:lvlText w:val="(%1)"/>
      <w:numFmt w:val="lowerRoman"/>
      <w:start w:val="8"/>
    </w:lvl>
  </w:abstractNum>
  <w:abstractNum w:abstractNumId="31">
    <w:nsid w:val="79A1DEAA"/>
    <w:multiLevelType w:val="hybridMultilevel"/>
    <w:lvl w:ilvl="0">
      <w:lvlJc w:val="left"/>
      <w:lvlText w:val="4"/>
      <w:numFmt w:val="bullet"/>
      <w:start w:val="1"/>
    </w:lvl>
  </w:abstractNum>
  <w:abstractNum w:abstractNumId="32">
    <w:nsid w:val="75C6C33A"/>
    <w:multiLevelType w:val="hybridMultilevel"/>
    <w:lvl w:ilvl="0">
      <w:lvlJc w:val="left"/>
      <w:lvlText w:val="%1."/>
      <w:numFmt w:val="decimal"/>
      <w:start w:val="4"/>
    </w:lvl>
  </w:abstractNum>
  <w:abstractNum w:abstractNumId="33">
    <w:nsid w:val="12E685FB"/>
    <w:multiLevelType w:val="hybridMultilevel"/>
    <w:lvl w:ilvl="0">
      <w:lvlJc w:val="left"/>
      <w:lvlText w:val="(%1)"/>
      <w:numFmt w:val="lowerRoman"/>
      <w:start w:val="1"/>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5"/>
      <w:numFmt w:val="bullet"/>
      <w:start w:val="1"/>
    </w:lvl>
  </w:abstractNum>
  <w:abstractNum w:abstractNumId="36">
    <w:nsid w:val="374A3FE6"/>
    <w:multiLevelType w:val="hybridMultilevel"/>
    <w:lvl w:ilvl="0">
      <w:lvlJc w:val="left"/>
      <w:lvlText w:val="%1."/>
      <w:numFmt w:val="decimal"/>
      <w:start w:val="5"/>
    </w:lvl>
  </w:abstractNum>
  <w:abstractNum w:abstractNumId="37">
    <w:nsid w:val="4F4EF005"/>
    <w:multiLevelType w:val="hybridMultilevel"/>
    <w:lvl w:ilvl="0">
      <w:lvlJc w:val="left"/>
      <w:lvlText w:val="(%1)"/>
      <w:numFmt w:val="decimal"/>
      <w:start w:val="1"/>
    </w:lvl>
  </w:abstractNum>
  <w:abstractNum w:abstractNumId="38">
    <w:nsid w:val="23F9C13C"/>
    <w:multiLevelType w:val="hybridMultilevel"/>
    <w:lvl w:ilvl="0">
      <w:lvlJc w:val="left"/>
      <w:lvlText w:val="(%1)"/>
      <w:numFmt w:val="decimal"/>
      <w:start w:val="1"/>
    </w:lvl>
  </w:abstractNum>
  <w:abstractNum w:abstractNumId="39">
    <w:nsid w:val="649BB77C"/>
    <w:multiLevelType w:val="hybridMultilevel"/>
    <w:lvl w:ilvl="0">
      <w:lvlJc w:val="left"/>
      <w:lvlText w:val="%1)"/>
      <w:numFmt w:val="lowerRoman"/>
      <w:start w:val="1"/>
    </w:lvl>
  </w:abstractNum>
  <w:abstractNum w:abstractNumId="40">
    <w:nsid w:val="275AC794"/>
    <w:multiLevelType w:val="hybridMultilevel"/>
    <w:lvl w:ilvl="0">
      <w:lvlJc w:val="left"/>
      <w:lvlText w:val="%1."/>
      <w:numFmt w:val="decimal"/>
      <w:start w:val="6"/>
    </w:lvl>
  </w:abstractNum>
  <w:abstractNum w:abstractNumId="41">
    <w:nsid w:val="39386575"/>
    <w:multiLevelType w:val="hybridMultilevel"/>
    <w:lvl w:ilvl="0">
      <w:lvlJc w:val="left"/>
      <w:lvlText w:val="(%1)"/>
      <w:numFmt w:val="decimal"/>
      <w:start w:val="1"/>
    </w:lvl>
  </w:abstractNum>
  <w:abstractNum w:abstractNumId="42">
    <w:nsid w:val="1CF10FD8"/>
    <w:multiLevelType w:val="hybridMultilevel"/>
    <w:lvl w:ilvl="0">
      <w:lvlJc w:val="left"/>
      <w:lvlText w:val="6"/>
      <w:numFmt w:val="bullet"/>
      <w:start w:val="1"/>
    </w:lvl>
  </w:abstractNum>
  <w:abstractNum w:abstractNumId="43">
    <w:nsid w:val="180115BE"/>
    <w:multiLevelType w:val="hybridMultilevel"/>
    <w:lvl w:ilvl="0">
      <w:lvlJc w:val="left"/>
      <w:lvlText w:val="7"/>
      <w:numFmt w:val="bullet"/>
      <w:start w:val="1"/>
    </w:lvl>
  </w:abstractNum>
  <w:abstractNum w:abstractNumId="44">
    <w:nsid w:val="235BA861"/>
    <w:multiLevelType w:val="hybridMultilevel"/>
    <w:lvl w:ilvl="0">
      <w:lvlJc w:val="left"/>
      <w:lvlText w:val="8"/>
      <w:numFmt w:val="bullet"/>
      <w:start w:val="1"/>
    </w:lvl>
  </w:abstractNum>
  <w:abstractNum w:abstractNumId="45">
    <w:nsid w:val="47398C89"/>
    <w:multiLevelType w:val="hybridMultilevel"/>
    <w:lvl w:ilvl="0">
      <w:lvlJc w:val="left"/>
      <w:lvlText w:val="%1"/>
      <w:numFmt w:val="decimal"/>
      <w:start w:val="11"/>
    </w:lvl>
  </w:abstractNum>
  <w:abstractNum w:abstractNumId="46">
    <w:nsid w:val="354FE9F9"/>
    <w:multiLevelType w:val="hybridMultilevel"/>
    <w:lvl w:ilvl="0">
      <w:lvlJc w:val="left"/>
      <w:lvlText w:val="%1."/>
      <w:numFmt w:val="decimal"/>
      <w:start w:val="7"/>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decimal"/>
      <w:start w:val="13"/>
    </w:lvl>
  </w:abstractNum>
  <w:abstractNum w:abstractNumId="49">
    <w:nsid w:val="D34B6A8"/>
    <w:multiLevelType w:val="hybridMultilevel"/>
    <w:lvl w:ilvl="0">
      <w:lvlJc w:val="left"/>
      <w:lvlText w:val="(%1)"/>
      <w:numFmt w:val="decimal"/>
      <w:start w:val="1"/>
    </w:lvl>
  </w:abstractNum>
  <w:abstractNum w:abstractNumId="50">
    <w:nsid w:val="10233C99"/>
    <w:multiLevelType w:val="hybridMultilevel"/>
    <w:lvl w:ilvl="0">
      <w:lvlJc w:val="left"/>
      <w:lvlText w:val="(%1)"/>
      <w:numFmt w:val="lowerRoman"/>
      <w:start w:val="1"/>
    </w:lvl>
  </w:abstractNum>
  <w:abstractNum w:abstractNumId="51">
    <w:nsid w:val="3F6AB60F"/>
    <w:multiLevelType w:val="hybridMultilevel"/>
    <w:lvl w:ilvl="0">
      <w:lvlJc w:val="left"/>
      <w:lvlText w:val="(%1)"/>
      <w:numFmt w:val="lowerRoman"/>
      <w:start w:val="1"/>
    </w:lvl>
  </w:abstractNum>
  <w:abstractNum w:abstractNumId="52">
    <w:nsid w:val="61574095"/>
    <w:multiLevelType w:val="hybridMultilevel"/>
    <w:lvl w:ilvl="0">
      <w:lvlJc w:val="left"/>
      <w:lvlText w:val="%1."/>
      <w:numFmt w:val="decimal"/>
      <w:start w:val="8"/>
    </w:lvl>
  </w:abstractNum>
  <w:abstractNum w:abstractNumId="53">
    <w:nsid w:val="7E0C57B1"/>
    <w:multiLevelType w:val="hybridMultilevel"/>
    <w:lvl w:ilvl="0">
      <w:lvlJc w:val="left"/>
      <w:lvlText w:val="(%1)"/>
      <w:numFmt w:val="decimal"/>
      <w:start w:val="1"/>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1)"/>
      <w:numFmt w:val="lowerRoman"/>
      <w:start w:val="1"/>
    </w:lvl>
  </w:abstractNum>
  <w:abstractNum w:abstractNumId="56">
    <w:nsid w:val="310C50B3"/>
    <w:multiLevelType w:val="hybridMultilevel"/>
    <w:lvl w:ilvl="0">
      <w:lvlJc w:val="left"/>
      <w:lvlText w:val="%1."/>
      <w:numFmt w:val="decimal"/>
      <w:start w:val="9"/>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1)"/>
      <w:numFmt w:val="decimal"/>
      <w:start w:val="1"/>
    </w:lvl>
  </w:abstractNum>
  <w:abstractNum w:abstractNumId="59">
    <w:nsid w:val="25A70BF7"/>
    <w:multiLevelType w:val="hybridMultilevel"/>
    <w:lvl w:ilvl="0">
      <w:lvlJc w:val="left"/>
      <w:lvlText w:val="(%1)"/>
      <w:numFmt w:val="lowerRoman"/>
      <w:start w:val="1"/>
    </w:lvl>
  </w:abstractNum>
  <w:abstractNum w:abstractNumId="60">
    <w:nsid w:val="1DBABF00"/>
    <w:multiLevelType w:val="hybridMultilevel"/>
    <w:lvl w:ilvl="0">
      <w:lvlJc w:val="left"/>
      <w:lvlText w:val="%1."/>
      <w:numFmt w:val="decimal"/>
      <w:start w:val="10"/>
    </w:lvl>
  </w:abstractNum>
  <w:abstractNum w:abstractNumId="61">
    <w:nsid w:val="4AD084E9"/>
    <w:multiLevelType w:val="hybridMultilevel"/>
    <w:lvl w:ilvl="0">
      <w:lvlJc w:val="left"/>
      <w:lvlText w:val="(%1)"/>
      <w:numFmt w:val="lowerRoman"/>
      <w:start w:val="1"/>
    </w:lvl>
  </w:abstractNum>
  <w:abstractNum w:abstractNumId="62">
    <w:nsid w:val="1F48EAA1"/>
    <w:multiLevelType w:val="hybridMultilevel"/>
    <w:lvl w:ilvl="0">
      <w:lvlJc w:val="left"/>
      <w:lvlText w:val="%1."/>
      <w:numFmt w:val="decimal"/>
      <w:start w:val="11"/>
    </w:lvl>
  </w:abstractNum>
  <w:abstractNum w:abstractNumId="63">
    <w:nsid w:val="1381823A"/>
    <w:multiLevelType w:val="hybridMultilevel"/>
    <w:lvl w:ilvl="0">
      <w:lvlJc w:val="left"/>
      <w:lvlText w:val="(%1)"/>
      <w:numFmt w:val="decimal"/>
      <w:start w:val="1"/>
    </w:lvl>
  </w:abstractNum>
  <w:abstractNum w:abstractNumId="64">
    <w:nsid w:val="5DB70AE5"/>
    <w:multiLevelType w:val="hybridMultilevel"/>
    <w:lvl w:ilvl="0">
      <w:lvlJc w:val="left"/>
      <w:lvlText w:val="(%1)"/>
      <w:numFmt w:val="decimal"/>
      <w:start w:val="1"/>
    </w:lvl>
  </w:abstractNum>
  <w:abstractNum w:abstractNumId="65">
    <w:nsid w:val="100F8FCA"/>
    <w:multiLevelType w:val="hybridMultilevel"/>
    <w:lvl w:ilvl="0">
      <w:lvlJc w:val="left"/>
      <w:lvlText w:val="(%1)"/>
      <w:numFmt w:val="decimal"/>
      <w:start w:val="1"/>
    </w:lvl>
  </w:abstractNum>
  <w:abstractNum w:abstractNumId="66">
    <w:nsid w:val="6590700B"/>
    <w:multiLevelType w:val="hybridMultilevel"/>
    <w:lvl w:ilvl="0">
      <w:lvlJc w:val="left"/>
      <w:lvlText w:val="(%1)"/>
      <w:numFmt w:val="decimal"/>
      <w:start w:val="1"/>
    </w:lvl>
  </w:abstractNum>
  <w:abstractNum w:abstractNumId="67">
    <w:nsid w:val="15014ACB"/>
    <w:multiLevelType w:val="hybridMultilevel"/>
    <w:lvl w:ilvl="0">
      <w:lvlJc w:val="left"/>
      <w:lvlText w:val="%1)"/>
      <w:numFmt w:val="lowerRoman"/>
      <w:start w:val="1"/>
    </w:lvl>
  </w:abstractNum>
  <w:abstractNum w:abstractNumId="68">
    <w:nsid w:val="5F5E7FD0"/>
    <w:multiLevelType w:val="hybridMultilevel"/>
    <w:lvl w:ilvl="0">
      <w:lvlJc w:val="left"/>
      <w:lvlText w:val="(%1)"/>
      <w:numFmt w:val="decimal"/>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2019-12-06T13:50:07Z</dcterms:created>
  <dcterms:modified xsi:type="dcterms:W3CDTF">2019-12-06T13:50:07Z</dcterms:modified>
</cp:coreProperties>
</file>