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420"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September 27, 2024</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Milagros Cigüeñas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September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Presentation on Credicorp’s Strategic Update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Attached herewith find a summary of the Press Release dated September 26, 2024, with respect to a presentation Credicorp Ltd. delivered on September 26, 2024, regarding its 2024 Strategic Update. The full press release and presentation can be found on our investor relations website, but which presentation is not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Milagros Cigüeñas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Credicorp Ltd. hosted its 2024 Strategic Update, highlighting its commitment to innovation and sustainable growth. Management highlighted that Credicorp is on track to achieve a sustainable 18% return on equity (ROE) despite challenging macroeconomic conditions. Key initiatives include accelerating digital transformation, enhancing customer engagement, and improving operational efficiency. Credicorp aims to generate 10% of its risk-adjusted revenues from new business models by 2026. CEO Gianfranco Ferrari emphasized the company’s robust performance, noting that BCP achieved a 23.7% ROE in the first half of the year, and Yape reached break-even in May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Chief Innovation Officer Francesca Raffo discussed Credicorp’s disciplined approach to self-disruptive initiatives, focusing on market penetration, expanding total addressable market (TAM), and accelerating the development of key capabilities. The company maintains strict investment boundaries to ensure alignment with strategic objectives. During a fireside chat, leaders from Yape and Krealo discussed collaboration opportunities and future aspirations. In the Company’s Strategic Update 2024 - Appendix, posted on its website, it provided new 2026 Aspirations for Yape that include 16.5 million active users, an increase of 6.5 million from the 2026 Aspiration set two years ago, and to achieve S/ 600 billion in transactions per year as compared to S/ 100 billion in transactions per year set two years ago, among others. The event concluded with a Q&amp;A session, reinforcing Credicorp’s focus on market penetration, untapped business segments, and transformative technologies.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full press release issued by the company can be found at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https://credicorp.gcs-web.com/news-releases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web page and presentations can be found at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https://credicorp.gcs-web.com/presentations/investor-conference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2024-09-27T05:14:27Z</dcterms:created>
  <dcterms:modified xsi:type="dcterms:W3CDTF">2024-09-27T05:14:27Z</dcterms:modified>
</cp:coreProperties>
</file>