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156845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165"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Report of Foreign Private Issuer</w:t>
      </w:r>
    </w:p>
    <w:p>
      <w:pPr>
        <w:jc w:val="center"/>
        <w:ind w:right="40"/>
        <w:spacing w:after="0" w:line="238" w:lineRule="auto"/>
        <w:rPr>
          <w:sz w:val="20"/>
          <w:szCs w:val="20"/>
          <w:color w:val="auto"/>
        </w:rPr>
      </w:pPr>
      <w:r>
        <w:rPr>
          <w:rFonts w:ascii="Arial" w:cs="Arial" w:eastAsia="Arial" w:hAnsi="Arial"/>
          <w:sz w:val="22"/>
          <w:szCs w:val="22"/>
          <w:color w:val="auto"/>
        </w:rPr>
        <w:t>Pursuant to Rule 13a-16 or 15d-16 of the</w:t>
      </w:r>
    </w:p>
    <w:p>
      <w:pPr>
        <w:jc w:val="center"/>
        <w:ind w:right="40"/>
        <w:spacing w:after="0"/>
        <w:rPr>
          <w:sz w:val="20"/>
          <w:szCs w:val="20"/>
          <w:color w:val="auto"/>
        </w:rPr>
      </w:pPr>
      <w:r>
        <w:rPr>
          <w:rFonts w:ascii="Arial" w:cs="Arial" w:eastAsia="Arial" w:hAnsi="Arial"/>
          <w:sz w:val="22"/>
          <w:szCs w:val="22"/>
          <w:color w:val="auto"/>
        </w:rPr>
        <w:t>Securities Exchange Act of 1934</w:t>
      </w:r>
    </w:p>
    <w:p>
      <w:pPr>
        <w:spacing w:after="0" w:line="11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 the month of November,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309245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CREDICORP LTD.</w:t>
      </w:r>
    </w:p>
    <w:p>
      <w:pPr>
        <w:spacing w:after="0" w:line="4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Clarendon House</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Church Street</w:t>
      </w:r>
    </w:p>
    <w:p>
      <w:pPr>
        <w:jc w:val="center"/>
        <w:ind w:right="40"/>
        <w:spacing w:after="0"/>
        <w:rPr>
          <w:sz w:val="20"/>
          <w:szCs w:val="20"/>
          <w:color w:val="auto"/>
        </w:rPr>
      </w:pPr>
      <w:r>
        <w:rPr>
          <w:rFonts w:ascii="Arial" w:cs="Arial" w:eastAsia="Arial" w:hAnsi="Arial"/>
          <w:sz w:val="22"/>
          <w:szCs w:val="22"/>
          <w:b w:val="1"/>
          <w:bCs w:val="1"/>
          <w:color w:val="auto"/>
        </w:rPr>
        <w:t>Hamilton HM 11 Bermuda</w:t>
      </w: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00"/>
        <w:spacing w:after="0"/>
        <w:rPr>
          <w:sz w:val="20"/>
          <w:szCs w:val="20"/>
          <w:color w:val="auto"/>
        </w:rPr>
      </w:pPr>
      <w:r>
        <w:rPr>
          <w:rFonts w:ascii="Arial" w:cs="Arial" w:eastAsia="Arial" w:hAnsi="Arial"/>
          <w:sz w:val="21"/>
          <w:szCs w:val="21"/>
          <w:color w:val="auto"/>
        </w:rPr>
        <w:t>Indicate by check mark whether the registrant files or will file annual reports under cover Form 20-F or Form 40-F.</w:t>
      </w:r>
    </w:p>
    <w:p>
      <w:pPr>
        <w:spacing w:after="0" w:line="218" w:lineRule="exact"/>
        <w:rPr>
          <w:sz w:val="24"/>
          <w:szCs w:val="24"/>
          <w:color w:val="auto"/>
        </w:rPr>
      </w:pPr>
    </w:p>
    <w:p>
      <w:pPr>
        <w:ind w:left="3740"/>
        <w:spacing w:after="0"/>
        <w:rPr>
          <w:sz w:val="20"/>
          <w:szCs w:val="20"/>
          <w:color w:val="auto"/>
        </w:rPr>
      </w:pPr>
      <w:r>
        <w:rPr>
          <w:rFonts w:ascii="Arial" w:cs="Arial" w:eastAsia="Arial" w:hAnsi="Arial"/>
          <w:sz w:val="22"/>
          <w:szCs w:val="22"/>
          <w:color w:val="auto"/>
        </w:rPr>
        <w:t>Form 20-F ___X___ Form 40-F _______</w:t>
      </w:r>
    </w:p>
    <w:p>
      <w:pPr>
        <w:spacing w:after="0" w:line="206" w:lineRule="exact"/>
        <w:rPr>
          <w:sz w:val="24"/>
          <w:szCs w:val="24"/>
          <w:color w:val="auto"/>
        </w:rPr>
      </w:pPr>
    </w:p>
    <w:p>
      <w:pPr>
        <w:ind w:left="1020" w:hanging="1022"/>
        <w:spacing w:after="0" w:line="328" w:lineRule="auto"/>
        <w:rPr>
          <w:sz w:val="20"/>
          <w:szCs w:val="20"/>
          <w:color w:val="auto"/>
        </w:rPr>
      </w:pPr>
      <w:r>
        <w:rPr>
          <w:rFonts w:ascii="Arial" w:cs="Arial" w:eastAsia="Arial" w:hAnsi="Arial"/>
          <w:sz w:val="19"/>
          <w:szCs w:val="19"/>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05" w:lineRule="exact"/>
        <w:rPr>
          <w:sz w:val="24"/>
          <w:szCs w:val="24"/>
          <w:color w:val="auto"/>
        </w:rPr>
      </w:pPr>
    </w:p>
    <w:p>
      <w:pPr>
        <w:ind w:left="4320"/>
        <w:spacing w:after="0"/>
        <w:rPr>
          <w:sz w:val="20"/>
          <w:szCs w:val="20"/>
          <w:color w:val="auto"/>
        </w:rPr>
      </w:pPr>
      <w:r>
        <w:rPr>
          <w:rFonts w:ascii="Arial" w:cs="Arial" w:eastAsia="Arial" w:hAnsi="Arial"/>
          <w:sz w:val="22"/>
          <w:szCs w:val="22"/>
          <w:color w:val="auto"/>
        </w:rPr>
        <w:t>Yes _______ No ___X____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-110490</wp:posOffset>
            </wp:positionH>
            <wp:positionV relativeFrom="paragraph">
              <wp:posOffset>142240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20" w:top="517"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Lima, November 25,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Comisión Nacional Supervisora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CONASEV</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Attention: Public Registry of the Securities Market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Reference: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company, CREDICORP LTD. (NYSE: BAP) in accordance with the amended Peruvian Capital Market Law (TUO - Texto Unico Ordenado) approved by the Supreme Decree N° 093-2002-EF and the Material Event Regulation, Private Information and Other Communications, approved by the CONASEV resolution N° 107-2002-EF/94.10.0 (The Rule), hereby notify you of the following “Material Event”:</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Credicorp Ltd., in Board of Directors meeting held on November 25, 2004, approved that its subsidiary Inversiones Crédito del PerúS.A. will take part, as the principal shareholder together with other Peruvian shareholders, in the start-up of a new Private Pension Fund Management company (Administradora de Fondos de Pensiones –AFP) which will operate in the Peruvian pension fund market according to applicable regulations.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required application for approval of the organization of the company will be submitted to the Peruvian Superintendency of Banking and Insurance.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Fernando Palao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11420"/>
          </w:cols>
          <w:pgMar w:left="240" w:top="80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SIGNATURE</w:t>
      </w:r>
    </w:p>
    <w:p>
      <w:pPr>
        <w:spacing w:after="0" w:line="293" w:lineRule="exact"/>
        <w:rPr>
          <w:sz w:val="20"/>
          <w:szCs w:val="20"/>
          <w:color w:val="auto"/>
        </w:rPr>
      </w:pPr>
    </w:p>
    <w:p>
      <w:pPr>
        <w:ind w:right="60" w:firstLine="456"/>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Date: November 25, 2004</w:t>
      </w:r>
    </w:p>
    <w:p>
      <w:pPr>
        <w:spacing w:after="0" w:line="35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CREDICORP LTD.</w:t>
      </w:r>
    </w:p>
    <w:p>
      <w:pPr>
        <w:spacing w:after="0" w:line="219" w:lineRule="exact"/>
        <w:rPr>
          <w:sz w:val="20"/>
          <w:szCs w:val="20"/>
          <w:color w:val="auto"/>
        </w:rPr>
      </w:pPr>
    </w:p>
    <w:p>
      <w:pPr>
        <w:ind w:left="286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80010</wp:posOffset>
            </wp:positionV>
            <wp:extent cx="32499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Authorized Representative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8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2019-12-14T05:57:02Z</dcterms:created>
  <dcterms:modified xsi:type="dcterms:W3CDTF">2019-12-14T05:57:02Z</dcterms:modified>
</cp:coreProperties>
</file>