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20320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220" w:hanging="249"/>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rFonts w:ascii="MS PGothic" w:cs="MS PGothic" w:eastAsia="MS PGothic" w:hAnsi="MS PGothic"/>
          <w:sz w:val="18"/>
          <w:szCs w:val="18"/>
          <w:color w:val="auto"/>
        </w:rPr>
      </w:pPr>
    </w:p>
    <w:p>
      <w:pPr>
        <w:jc w:val="both"/>
        <w:ind w:left="5000" w:right="4980" w:hanging="19"/>
        <w:spacing w:after="0" w:line="566" w:lineRule="auto"/>
        <w:tabs>
          <w:tab w:leader="none" w:pos="5226"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Rule 13d-1(c) x Rule 13d-1(d)</w:t>
      </w:r>
    </w:p>
    <w:p>
      <w:pPr>
        <w:ind w:right="20" w:firstLine="648"/>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ind w:left="820" w:hanging="61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-130175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Atlantic Security Holding Corp</w:t>
      </w:r>
    </w:p>
    <w:p>
      <w:pPr>
        <w:spacing w:after="0" w:line="27" w:lineRule="exact"/>
        <w:rPr>
          <w:sz w:val="20"/>
          <w:szCs w:val="20"/>
          <w:color w:val="auto"/>
        </w:rPr>
      </w:pPr>
    </w:p>
    <w:p>
      <w:pPr>
        <w:ind w:left="820" w:hanging="63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right"/>
        <w:ind w:right="340"/>
        <w:spacing w:after="0" w:line="207" w:lineRule="exact"/>
        <w:rPr>
          <w:sz w:val="20"/>
          <w:szCs w:val="20"/>
          <w:color w:val="auto"/>
        </w:rPr>
      </w:pPr>
      <w:r>
        <w:rPr>
          <w:rFonts w:ascii="Arial" w:cs="Arial" w:eastAsia="Arial" w:hAnsi="Arial"/>
          <w:sz w:val="18"/>
          <w:szCs w:val="18"/>
          <w:color w:val="auto"/>
        </w:rPr>
        <w:t xml:space="preserve">(a) :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340"/>
        <w:spacing w:after="0" w:line="207" w:lineRule="exact"/>
        <w:rPr>
          <w:sz w:val="20"/>
          <w:szCs w:val="20"/>
          <w:color w:val="auto"/>
        </w:rPr>
      </w:pPr>
      <w:r>
        <w:rPr>
          <w:rFonts w:ascii="Arial" w:cs="Arial" w:eastAsia="Arial" w:hAnsi="Arial"/>
          <w:sz w:val="18"/>
          <w:szCs w:val="18"/>
          <w:color w:val="auto"/>
        </w:rPr>
        <w:t xml:space="preserve">(b) : </w:t>
      </w:r>
      <w:r>
        <w:rPr>
          <w:rFonts w:ascii="MS PGothic" w:cs="MS PGothic" w:eastAsia="MS PGothic" w:hAnsi="MS PGothic"/>
          <w:sz w:val="18"/>
          <w:szCs w:val="18"/>
          <w:color w:val="auto"/>
        </w:rPr>
        <w:t>☐</w:t>
      </w:r>
    </w:p>
    <w:p>
      <w:pPr>
        <w:spacing w:after="0" w:line="29" w:lineRule="exact"/>
        <w:rPr>
          <w:sz w:val="20"/>
          <w:szCs w:val="20"/>
          <w:color w:val="auto"/>
        </w:rPr>
      </w:pPr>
    </w:p>
    <w:p>
      <w:pPr>
        <w:ind w:left="820" w:hanging="63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820" w:hanging="63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NUMBER OF</w:t>
            </w:r>
          </w:p>
        </w:tc>
        <w:tc>
          <w:tcPr>
            <w:tcW w:w="54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14,620,846</w:t>
            </w:r>
          </w:p>
        </w:tc>
        <w:tc>
          <w:tcPr>
            <w:tcW w:w="0" w:type="dxa"/>
            <w:vAlign w:val="bottom"/>
          </w:tcPr>
          <w:p>
            <w:pPr>
              <w:spacing w:after="0"/>
              <w:rPr>
                <w:sz w:val="1"/>
                <w:szCs w:val="1"/>
                <w:color w:val="auto"/>
              </w:rPr>
            </w:pPr>
          </w:p>
        </w:tc>
      </w:tr>
      <w:tr>
        <w:trPr>
          <w:trHeight w:val="178"/>
        </w:trPr>
        <w:tc>
          <w:tcPr>
            <w:tcW w:w="15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5"/>
              </w:rPr>
              <w:t>SHARES</w:t>
            </w:r>
          </w:p>
        </w:tc>
        <w:tc>
          <w:tcPr>
            <w:tcW w:w="540" w:type="dxa"/>
            <w:vAlign w:val="bottom"/>
          </w:tcPr>
          <w:p>
            <w:pPr>
              <w:jc w:val="right"/>
              <w:ind w:right="110"/>
              <w:spacing w:after="0" w:line="177" w:lineRule="exact"/>
              <w:rPr>
                <w:sz w:val="20"/>
                <w:szCs w:val="20"/>
                <w:color w:val="auto"/>
              </w:rPr>
            </w:pPr>
            <w:r>
              <w:rPr>
                <w:rFonts w:ascii="Arial" w:cs="Arial" w:eastAsia="Arial" w:hAnsi="Arial"/>
                <w:sz w:val="18"/>
                <w:szCs w:val="18"/>
                <w:color w:val="auto"/>
              </w:rPr>
              <w:t>6</w:t>
            </w:r>
          </w:p>
        </w:tc>
        <w:tc>
          <w:tcPr>
            <w:tcW w:w="9000" w:type="dxa"/>
            <w:vAlign w:val="bottom"/>
          </w:tcPr>
          <w:p>
            <w:pPr>
              <w:ind w:left="220"/>
              <w:spacing w:after="0" w:line="17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OWNED BY</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Arial" w:cs="Arial" w:eastAsia="Arial" w:hAnsi="Arial"/>
                <w:sz w:val="18"/>
                <w:szCs w:val="18"/>
                <w:b w:val="1"/>
                <w:bCs w:val="1"/>
                <w:color w:val="auto"/>
              </w:rPr>
              <w:t>1,495,295</w:t>
            </w:r>
          </w:p>
        </w:tc>
        <w:tc>
          <w:tcPr>
            <w:tcW w:w="0" w:type="dxa"/>
            <w:vAlign w:val="bottom"/>
          </w:tcPr>
          <w:p>
            <w:pPr>
              <w:spacing w:after="0"/>
              <w:rPr>
                <w:sz w:val="1"/>
                <w:szCs w:val="1"/>
                <w:color w:val="auto"/>
              </w:rPr>
            </w:pPr>
          </w:p>
        </w:tc>
      </w:tr>
      <w:tr>
        <w:trPr>
          <w:trHeight w:val="32"/>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EACH</w:t>
            </w:r>
          </w:p>
        </w:tc>
        <w:tc>
          <w:tcPr>
            <w:tcW w:w="5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540" w:type="dxa"/>
            <w:vAlign w:val="bottom"/>
          </w:tcPr>
          <w:p>
            <w:pPr>
              <w:jc w:val="right"/>
              <w:ind w:right="110"/>
              <w:spacing w:after="0" w:line="164" w:lineRule="exact"/>
              <w:rPr>
                <w:sz w:val="20"/>
                <w:szCs w:val="20"/>
                <w:color w:val="auto"/>
              </w:rPr>
            </w:pPr>
            <w:r>
              <w:rPr>
                <w:rFonts w:ascii="Arial" w:cs="Arial" w:eastAsia="Arial" w:hAnsi="Arial"/>
                <w:sz w:val="18"/>
                <w:szCs w:val="18"/>
                <w:color w:val="auto"/>
              </w:rPr>
              <w:t>7</w:t>
            </w:r>
          </w:p>
        </w:tc>
        <w:tc>
          <w:tcPr>
            <w:tcW w:w="9000" w:type="dxa"/>
            <w:vAlign w:val="bottom"/>
          </w:tcPr>
          <w:p>
            <w:pPr>
              <w:ind w:left="220"/>
              <w:spacing w:after="0" w:line="16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Arial" w:cs="Arial" w:eastAsia="Arial" w:hAnsi="Arial"/>
                <w:sz w:val="18"/>
                <w:szCs w:val="18"/>
                <w:b w:val="1"/>
                <w:bCs w:val="1"/>
                <w:color w:val="auto"/>
              </w:rPr>
              <w:t>14,620,846</w:t>
            </w:r>
          </w:p>
        </w:tc>
        <w:tc>
          <w:tcPr>
            <w:tcW w:w="0" w:type="dxa"/>
            <w:vAlign w:val="bottom"/>
          </w:tcPr>
          <w:p>
            <w:pPr>
              <w:spacing w:after="0"/>
              <w:rPr>
                <w:sz w:val="1"/>
                <w:szCs w:val="1"/>
                <w:color w:val="auto"/>
              </w:rPr>
            </w:pPr>
          </w:p>
        </w:tc>
      </w:tr>
      <w:tr>
        <w:trPr>
          <w:trHeight w:val="45"/>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WITH</w:t>
            </w:r>
          </w:p>
        </w:tc>
        <w:tc>
          <w:tcPr>
            <w:tcW w:w="540" w:type="dxa"/>
            <w:vAlign w:val="bottom"/>
            <w:tcBorders>
              <w:bottom w:val="single" w:sz="8" w:color="auto"/>
            </w:tcBorders>
          </w:tcPr>
          <w:p>
            <w:pPr>
              <w:spacing w:after="0"/>
              <w:rPr>
                <w:sz w:val="3"/>
                <w:szCs w:val="3"/>
                <w:color w:val="auto"/>
              </w:rPr>
            </w:pPr>
          </w:p>
        </w:tc>
        <w:tc>
          <w:tcPr>
            <w:tcW w:w="9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520" w:type="dxa"/>
            <w:vAlign w:val="bottom"/>
            <w:vMerge w:val="continue"/>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900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1,495,295</w:t>
      </w:r>
    </w:p>
    <w:p>
      <w:pPr>
        <w:spacing w:after="0" w:line="27" w:lineRule="exact"/>
        <w:rPr>
          <w:sz w:val="20"/>
          <w:szCs w:val="20"/>
          <w:color w:val="auto"/>
        </w:rPr>
      </w:pPr>
    </w:p>
    <w:p>
      <w:pPr>
        <w:ind w:left="820" w:hanging="63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16,116,141</w:t>
      </w:r>
    </w:p>
    <w:p>
      <w:pPr>
        <w:spacing w:after="0" w:line="27" w:lineRule="exact"/>
        <w:rPr>
          <w:sz w:val="20"/>
          <w:szCs w:val="20"/>
          <w:color w:val="auto"/>
        </w:rPr>
      </w:pPr>
    </w:p>
    <w:p>
      <w:pPr>
        <w:ind w:left="820" w:hanging="67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7" w:lineRule="exact"/>
        <w:rPr>
          <w:rFonts w:ascii="Arial" w:cs="Arial" w:eastAsia="Arial" w:hAnsi="Arial"/>
          <w:sz w:val="18"/>
          <w:szCs w:val="18"/>
          <w:color w:val="auto"/>
        </w:rPr>
      </w:pPr>
    </w:p>
    <w:p>
      <w:pPr>
        <w:ind w:left="820" w:hanging="67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17.11%</w:t>
      </w:r>
    </w:p>
    <w:p>
      <w:pPr>
        <w:spacing w:after="0" w:line="27" w:lineRule="exact"/>
        <w:rPr>
          <w:rFonts w:ascii="Arial" w:cs="Arial" w:eastAsia="Arial" w:hAnsi="Arial"/>
          <w:sz w:val="18"/>
          <w:szCs w:val="18"/>
          <w:color w:val="auto"/>
        </w:rPr>
      </w:pPr>
    </w:p>
    <w:p>
      <w:pPr>
        <w:ind w:left="820" w:hanging="67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591820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922" w:right="339" w:bottom="1440" w:gutter="0" w:footer="0" w:header="0"/>
        </w:sectPr>
      </w:pPr>
    </w:p>
    <w:bookmarkStart w:id="2" w:name="page3"/>
    <w:bookmarkEnd w:id="2"/>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of Issuer</w:t>
      </w:r>
      <w:r>
        <w:rPr>
          <w:rFonts w:ascii="Arial" w:cs="Arial" w:eastAsia="Arial" w:hAnsi="Arial"/>
          <w:sz w:val="16"/>
          <w:szCs w:val="16"/>
          <w:b w:val="1"/>
          <w:bCs w:val="1"/>
          <w:color w:val="auto"/>
        </w:rPr>
        <w:t>:</w:t>
      </w:r>
    </w:p>
    <w:p>
      <w:pPr>
        <w:spacing w:after="0" w:line="204" w:lineRule="exact"/>
        <w:rPr>
          <w:sz w:val="20"/>
          <w:szCs w:val="20"/>
          <w:color w:val="auto"/>
        </w:rPr>
      </w:pPr>
    </w:p>
    <w:p>
      <w:pPr>
        <w:sectPr>
          <w:pgSz w:w="11900" w:h="16838" w:orient="portrait"/>
          <w:cols w:equalWidth="0" w:num="2">
            <w:col w:w="720" w:space="580"/>
            <w:col w:w="9940"/>
          </w:cols>
          <w:pgMar w:left="320" w:top="904" w:right="339" w:bottom="1440" w:gutter="0" w:footer="0" w:header="0"/>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Credicorp Ltd.</w:t>
      </w:r>
    </w:p>
    <w:p>
      <w:pPr>
        <w:sectPr>
          <w:pgSz w:w="11900" w:h="16838" w:orient="portrait"/>
          <w:cols w:equalWidth="0" w:num="1">
            <w:col w:w="11240"/>
          </w:cols>
          <w:pgMar w:left="320" w:top="90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c/o Banco de Crédito del Perú</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Calle Centenario N° 156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Las Laderas de Melgarejo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Lima 12 Perú</w:t>
      </w:r>
    </w:p>
    <w:p>
      <w:pPr>
        <w:sectPr>
          <w:pgSz w:w="11900" w:h="16838" w:orient="portrait"/>
          <w:cols w:equalWidth="0" w:num="1">
            <w:col w:w="11240"/>
          </w:cols>
          <w:pgMar w:left="320" w:top="904"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Item 2(a).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Name of Persons Filing:</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Atlantic Security Holding Corp</w:t>
      </w:r>
    </w:p>
    <w:p>
      <w:pPr>
        <w:sectPr>
          <w:pgSz w:w="11900" w:h="16838" w:orient="portrait"/>
          <w:cols w:equalWidth="0" w:num="1">
            <w:col w:w="11240"/>
          </w:cols>
          <w:pgMar w:left="320" w:top="90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2(b).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Ugland House, South Church St., KY1-1104</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George Town, Grand Cayman, Cayman Islands</w:t>
      </w:r>
    </w:p>
    <w:p>
      <w:pPr>
        <w:sectPr>
          <w:pgSz w:w="11900" w:h="16838" w:orient="portrait"/>
          <w:cols w:equalWidth="0" w:num="1">
            <w:col w:w="11240"/>
          </w:cols>
          <w:pgMar w:left="320" w:top="904"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Item 2(c).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Item 4 on Page 2</w:t>
      </w:r>
    </w:p>
    <w:p>
      <w:pPr>
        <w:sectPr>
          <w:pgSz w:w="11900" w:h="16838" w:orient="portrait"/>
          <w:cols w:equalWidth="0" w:num="1">
            <w:col w:w="11240"/>
          </w:cols>
          <w:pgMar w:left="320" w:top="904"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Common Shares</w:t>
      </w:r>
    </w:p>
    <w:p>
      <w:pPr>
        <w:sectPr>
          <w:pgSz w:w="11900" w:h="16838" w:orient="portrait"/>
          <w:cols w:equalWidth="0" w:num="1">
            <w:col w:w="11240"/>
          </w:cols>
          <w:pgMar w:left="320" w:top="90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Cusip Number:</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G2519Y 10 8</w:t>
      </w:r>
    </w:p>
    <w:p>
      <w:pPr>
        <w:sectPr>
          <w:pgSz w:w="11900" w:h="16838" w:orient="portrait"/>
          <w:cols w:equalWidth="0" w:num="1">
            <w:col w:w="11240"/>
          </w:cols>
          <w:pgMar w:left="320" w:top="90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Rules 13d-1(b), or 13d-2(b), check whether the person filing is a:</w:t>
      </w:r>
    </w:p>
    <w:p>
      <w:pPr>
        <w:spacing w:after="0" w:line="200"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19" w:lineRule="exact"/>
        <w:rPr>
          <w:sz w:val="20"/>
          <w:szCs w:val="20"/>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§240.13d-1(b)(ii)(G)</w:t>
      </w:r>
    </w:p>
    <w:p>
      <w:pPr>
        <w:spacing w:after="0" w:line="225"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w:t>
      </w:r>
    </w:p>
    <w:p>
      <w:pPr>
        <w:spacing w:after="0" w:line="225" w:lineRule="exact"/>
        <w:rPr>
          <w:rFonts w:ascii="Arial" w:cs="Arial" w:eastAsia="Arial" w:hAnsi="Arial"/>
          <w:sz w:val="18"/>
          <w:szCs w:val="18"/>
          <w:color w:val="auto"/>
        </w:rPr>
      </w:pPr>
    </w:p>
    <w:p>
      <w:pPr>
        <w:ind w:left="3040" w:hanging="1682"/>
        <w:spacing w:after="0" w:line="223" w:lineRule="exact"/>
        <w:tabs>
          <w:tab w:leader="none" w:pos="2487"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2500" w:hanging="1142"/>
        <w:spacing w:after="0" w:line="207" w:lineRule="exact"/>
        <w:tabs>
          <w:tab w:leader="none" w:pos="2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right="7800" w:hanging="964"/>
        <w:spacing w:after="0" w:line="530"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Beneficially Owned: See Item 9 on Page 2</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Item 11 on Page 2</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right="6420" w:hanging="976"/>
        <w:spacing w:after="0" w:line="500" w:lineRule="auto"/>
        <w:tabs>
          <w:tab w:leader="none" w:pos="19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See Item 6 on Page 2.</w:t>
      </w:r>
    </w:p>
    <w:p>
      <w:pPr>
        <w:spacing w:after="0" w:line="225" w:lineRule="exact"/>
        <w:rPr>
          <w:sz w:val="20"/>
          <w:szCs w:val="20"/>
          <w:color w:val="auto"/>
        </w:rPr>
      </w:pPr>
    </w:p>
    <w:p>
      <w:pPr>
        <w:jc w:val="both"/>
        <w:ind w:left="1960"/>
        <w:spacing w:after="0" w:line="270" w:lineRule="auto"/>
        <w:rPr>
          <w:sz w:val="20"/>
          <w:szCs w:val="20"/>
          <w:color w:val="auto"/>
        </w:rPr>
      </w:pPr>
      <w:r>
        <w:rPr>
          <w:rFonts w:ascii="Arial" w:cs="Arial" w:eastAsia="Arial" w:hAnsi="Arial"/>
          <w:sz w:val="17"/>
          <w:szCs w:val="17"/>
          <w:color w:val="auto"/>
        </w:rPr>
        <w:t>The information in Items 6, 8, 9 and 11 above include 1,947,775 shares held by ASHC’s subsidiary, ASB Bank Corp (ASB). These 1,947,775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1,947,775 Credicorp shares held by ASB on behalf of clients and included in this Schedule 13G.</w:t>
      </w:r>
    </w:p>
    <w:p>
      <w:pPr>
        <w:spacing w:after="0" w:line="181" w:lineRule="exact"/>
        <w:rPr>
          <w:sz w:val="20"/>
          <w:szCs w:val="20"/>
          <w:color w:val="auto"/>
        </w:rPr>
      </w:pPr>
    </w:p>
    <w:p>
      <w:pPr>
        <w:ind w:left="2280" w:right="5520" w:hanging="976"/>
        <w:spacing w:after="0" w:line="500" w:lineRule="auto"/>
        <w:tabs>
          <w:tab w:leader="none" w:pos="19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1" w:lineRule="exact"/>
        <w:rPr>
          <w:rFonts w:ascii="Arial" w:cs="Arial" w:eastAsia="Arial" w:hAnsi="Arial"/>
          <w:sz w:val="18"/>
          <w:szCs w:val="18"/>
          <w:color w:val="auto"/>
        </w:rPr>
      </w:pPr>
    </w:p>
    <w:p>
      <w:pPr>
        <w:ind w:left="2280" w:right="5340" w:hanging="976"/>
        <w:spacing w:after="0" w:line="527" w:lineRule="auto"/>
        <w:tabs>
          <w:tab w:leader="none" w:pos="19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See the explanation under Item 4(c)(ii), above.</w:t>
      </w:r>
    </w:p>
    <w:p>
      <w:pPr>
        <w:spacing w:after="0" w:line="229"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See the explanation under Item 4(c)(ii), above.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1" w:lineRule="exact"/>
        <w:rPr>
          <w:sz w:val="20"/>
          <w:szCs w:val="20"/>
          <w:color w:val="auto"/>
        </w:rPr>
      </w:pPr>
    </w:p>
    <w:p>
      <w:pPr>
        <w:jc w:val="both"/>
        <w:ind w:left="1300"/>
        <w:spacing w:after="0" w:line="314" w:lineRule="auto"/>
        <w:rPr>
          <w:sz w:val="20"/>
          <w:szCs w:val="20"/>
          <w:color w:val="auto"/>
        </w:rPr>
      </w:pPr>
      <w:r>
        <w:rPr>
          <w:rFonts w:ascii="Arial" w:cs="Arial" w:eastAsia="Arial" w:hAnsi="Arial"/>
          <w:sz w:val="16"/>
          <w:szCs w:val="16"/>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ind w:left="5400"/>
              <w:spacing w:after="0"/>
              <w:rPr>
                <w:sz w:val="20"/>
                <w:szCs w:val="20"/>
                <w:color w:val="auto"/>
              </w:rPr>
            </w:pPr>
            <w:r>
              <w:rPr>
                <w:rFonts w:ascii="Arial" w:cs="Arial" w:eastAsia="Arial" w:hAnsi="Arial"/>
                <w:sz w:val="18"/>
                <w:szCs w:val="18"/>
                <w:color w:val="auto"/>
              </w:rPr>
              <w:t>February 9, 2022</w:t>
            </w:r>
          </w:p>
        </w:tc>
        <w:tc>
          <w:tcPr>
            <w:tcW w:w="5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8220" w:type="dxa"/>
            <w:vAlign w:val="bottom"/>
            <w:gridSpan w:val="2"/>
          </w:tcPr>
          <w:p>
            <w:pPr>
              <w:ind w:left="5400"/>
              <w:spacing w:after="0"/>
              <w:rPr>
                <w:sz w:val="20"/>
                <w:szCs w:val="20"/>
                <w:color w:val="auto"/>
              </w:rPr>
            </w:pPr>
            <w:r>
              <w:rPr>
                <w:rFonts w:ascii="Arial" w:cs="Arial" w:eastAsia="Arial" w:hAnsi="Arial"/>
                <w:sz w:val="18"/>
                <w:szCs w:val="18"/>
                <w:color w:val="auto"/>
              </w:rPr>
              <w:t>Atlantic Security Holding Corp</w:t>
            </w:r>
          </w:p>
        </w:tc>
        <w:tc>
          <w:tcPr>
            <w:tcW w:w="5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8220" w:type="dxa"/>
            <w:vAlign w:val="bottom"/>
            <w:gridSpan w:val="2"/>
          </w:tcPr>
          <w:p>
            <w:pPr>
              <w:ind w:left="5400"/>
              <w:spacing w:after="0"/>
              <w:rPr>
                <w:sz w:val="20"/>
                <w:szCs w:val="20"/>
                <w:color w:val="auto"/>
              </w:rPr>
            </w:pPr>
            <w:r>
              <w:rPr>
                <w:rFonts w:ascii="Arial" w:cs="Arial" w:eastAsia="Arial" w:hAnsi="Arial"/>
                <w:sz w:val="18"/>
                <w:szCs w:val="18"/>
                <w:color w:val="auto"/>
              </w:rPr>
              <w:t>By: /s/ Juan Inchaustegui</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By: /s/ Luis Eduardo Rodríguez</w:t>
            </w:r>
          </w:p>
        </w:tc>
      </w:tr>
      <w:tr>
        <w:trPr>
          <w:trHeight w:val="20"/>
        </w:trPr>
        <w:tc>
          <w:tcPr>
            <w:tcW w:w="57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411"/>
        </w:trPr>
        <w:tc>
          <w:tcPr>
            <w:tcW w:w="8220" w:type="dxa"/>
            <w:vAlign w:val="bottom"/>
            <w:gridSpan w:val="2"/>
          </w:tcPr>
          <w:p>
            <w:pPr>
              <w:ind w:left="5400"/>
              <w:spacing w:after="0"/>
              <w:rPr>
                <w:sz w:val="20"/>
                <w:szCs w:val="20"/>
                <w:color w:val="auto"/>
              </w:rPr>
            </w:pPr>
            <w:r>
              <w:rPr>
                <w:rFonts w:ascii="Arial" w:cs="Arial" w:eastAsia="Arial" w:hAnsi="Arial"/>
                <w:sz w:val="18"/>
                <w:szCs w:val="18"/>
                <w:color w:val="auto"/>
              </w:rPr>
              <w:t>Name: Juan Inchaustegui</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Name: Luis Eduardo Rodríguez</w:t>
            </w:r>
          </w:p>
        </w:tc>
      </w:tr>
      <w:tr>
        <w:trPr>
          <w:trHeight w:val="230"/>
        </w:trPr>
        <w:tc>
          <w:tcPr>
            <w:tcW w:w="8220" w:type="dxa"/>
            <w:vAlign w:val="bottom"/>
            <w:gridSpan w:val="2"/>
          </w:tcPr>
          <w:p>
            <w:pPr>
              <w:ind w:left="5400"/>
              <w:spacing w:after="0"/>
              <w:rPr>
                <w:sz w:val="20"/>
                <w:szCs w:val="20"/>
                <w:color w:val="auto"/>
              </w:rPr>
            </w:pPr>
            <w:r>
              <w:rPr>
                <w:rFonts w:ascii="Arial" w:cs="Arial" w:eastAsia="Arial" w:hAnsi="Arial"/>
                <w:sz w:val="18"/>
                <w:szCs w:val="18"/>
                <w:color w:val="auto"/>
              </w:rPr>
              <w:t>Title: Attorney-In-Fact</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Title: Attorney-In-Fact</w:t>
            </w:r>
          </w:p>
        </w:tc>
      </w:tr>
      <w:tr>
        <w:trPr>
          <w:trHeight w:val="702"/>
        </w:trPr>
        <w:tc>
          <w:tcPr>
            <w:tcW w:w="5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2022-02-09T12:52:32Z</dcterms:created>
  <dcterms:modified xsi:type="dcterms:W3CDTF">2022-02-09T12:52:32Z</dcterms:modified>
</cp:coreProperties>
</file>