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August,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5260340</wp:posOffset>
            </wp:positionH>
            <wp:positionV relativeFrom="page">
              <wp:posOffset>517525</wp:posOffset>
            </wp:positionV>
            <wp:extent cx="214376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760" cy="56578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contact:</w:t>
      </w:r>
    </w:p>
    <w:p>
      <w:pPr>
        <w:sectPr>
          <w:pgSz w:w="11900" w:h="16843" w:orient="portrait"/>
          <w:cols w:equalWidth="0" w:num="1">
            <w:col w:w="11420"/>
          </w:cols>
          <w:pgMar w:left="240" w:top="1440" w:right="239" w:bottom="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Jose N. Hung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Phone: (511) 313-2123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jhung@bcp.com.pe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Alfredo Montero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Phone: (305) 448-0971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amontero@bcpmiami.com</w:t>
      </w:r>
    </w:p>
    <w:p>
      <w:pPr>
        <w:spacing w:after="0" w:line="200" w:lineRule="exact"/>
        <w:rPr>
          <w:sz w:val="20"/>
          <w:szCs w:val="20"/>
          <w:color w:val="auto"/>
        </w:rPr>
      </w:pPr>
    </w:p>
    <w:p>
      <w:pPr>
        <w:sectPr>
          <w:pgSz w:w="11900" w:h="16843" w:orient="portrait"/>
          <w:cols w:equalWidth="0" w:num="2">
            <w:col w:w="5000" w:space="720"/>
            <w:col w:w="5700"/>
          </w:cols>
          <w:pgMar w:left="240" w:top="1440" w:right="239" w:bottom="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CREDICORP LTD. ANNOUNCES FINANCIAL RESULTS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2004</w:t>
      </w:r>
    </w:p>
    <w:p>
      <w:pPr>
        <w:sectPr>
          <w:pgSz w:w="11900" w:h="16843" w:orient="portrait"/>
          <w:cols w:equalWidth="0" w:num="1">
            <w:col w:w="11420"/>
          </w:cols>
          <w:pgMar w:left="240" w:top="1440" w:right="239" w:bottom="0" w:gutter="0" w:footer="0" w:header="0"/>
          <w:type w:val="continuous"/>
        </w:sect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Credicorp (NYSE:BAP; LSE:BAPC1) reported a consolidated net income for the six month period ended in June 30, 2004 of US$62.9 million, or US$0.79 per share, 104.4% above net income of US$30.8 million, or US$0.39 per share, in first-half 2003. In the quarter ended June 30, 2004 Credicorp had net income of US$32.9 million, or US$0.41 per share, above net income of US$28.3 million, or US$0.35 per share, in second quarter 2003, and resulted also above net income in first quarter 2004 of US$30.1 million, or US$0.38 per share.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Results in first-half 2004 improve with respect to the same period of 2003, mainly due to decreased loan loss provisions and to lower merger costs, which offset declining financial and non-financial income. Second quarter 2004 results are higher than profits in the same year-ago quarter mainly because of lower loan loss provisions and to reduced operating expenses, which offset diminished financial and non-financial income. Non-financial income decline mainly due to losses on the securities portfolio.</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mentioned merger costs, of US$17.5 million in first-half 2003 for the merger of Banco Santander Central Hispano-Peru (“BSCH-Peru”), decline to US$3.2 million as of June 2004, related with the Solución Financiera de Crédito merger. Provisions for loan losses decreased from US$19.7 million to US$7.2 million, comparing the second quarters of 2003 and 2004, respectively, due to improved loan portfolio quality. Loan quality improvement is noted through a lower past-due loan ratio, that decreased from 7.9% at June 2003, to 4.8% at the end of June 2004, and by the improved coverage of bad loans by provisions which increased from 113.1% to 131.8%,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 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tcPr>
          <w:p>
            <w:pPr>
              <w:spacing w:after="0"/>
              <w:rPr>
                <w:sz w:val="19"/>
                <w:szCs w:val="19"/>
                <w:color w:val="auto"/>
              </w:rPr>
            </w:pPr>
          </w:p>
        </w:tc>
        <w:tc>
          <w:tcPr>
            <w:tcW w:w="2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254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Six months ended</w:t>
            </w:r>
          </w:p>
        </w:tc>
      </w:tr>
      <w:tr>
        <w:trPr>
          <w:trHeight w:val="124"/>
        </w:trPr>
        <w:tc>
          <w:tcPr>
            <w:tcW w:w="4580" w:type="dxa"/>
            <w:vAlign w:val="bottom"/>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r>
        <w:trPr>
          <w:trHeight w:val="316"/>
        </w:trPr>
        <w:tc>
          <w:tcPr>
            <w:tcW w:w="4580" w:type="dxa"/>
            <w:vAlign w:val="bottom"/>
          </w:tcPr>
          <w:p>
            <w:pPr>
              <w:ind w:left="620"/>
              <w:spacing w:after="0"/>
              <w:rPr>
                <w:sz w:val="20"/>
                <w:szCs w:val="20"/>
                <w:color w:val="auto"/>
              </w:rPr>
            </w:pPr>
            <w:r>
              <w:rPr>
                <w:rFonts w:ascii="Arial" w:cs="Arial" w:eastAsia="Arial" w:hAnsi="Arial"/>
                <w:sz w:val="18"/>
                <w:szCs w:val="18"/>
                <w:i w:val="1"/>
                <w:iCs w:val="1"/>
                <w:color w:val="auto"/>
              </w:rPr>
              <w:t>(In U.S.$ millions, except net income per share)</w:t>
            </w:r>
          </w:p>
        </w:tc>
        <w:tc>
          <w:tcPr>
            <w:tcW w:w="1580" w:type="dxa"/>
            <w:vAlign w:val="bottom"/>
          </w:tcPr>
          <w:p>
            <w:pPr>
              <w:jc w:val="right"/>
              <w:ind w:right="492"/>
              <w:spacing w:after="0"/>
              <w:rPr>
                <w:sz w:val="20"/>
                <w:szCs w:val="20"/>
                <w:color w:val="auto"/>
              </w:rPr>
            </w:pPr>
            <w:r>
              <w:rPr>
                <w:rFonts w:ascii="Arial" w:cs="Arial" w:eastAsia="Arial" w:hAnsi="Arial"/>
                <w:sz w:val="18"/>
                <w:szCs w:val="18"/>
                <w:b w:val="1"/>
                <w:bCs w:val="1"/>
                <w:color w:val="auto"/>
              </w:rPr>
              <w:t>30.06.03</w:t>
            </w: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31.03.04</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30.06.04</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30.06.03</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30.06.04</w:t>
            </w:r>
          </w:p>
        </w:tc>
      </w:tr>
      <w:tr>
        <w:trPr>
          <w:trHeight w:val="110"/>
        </w:trPr>
        <w:tc>
          <w:tcPr>
            <w:tcW w:w="45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09"/>
        </w:trPr>
        <w:tc>
          <w:tcPr>
            <w:tcW w:w="4580" w:type="dxa"/>
            <w:vAlign w:val="bottom"/>
          </w:tcPr>
          <w:p>
            <w:pPr>
              <w:spacing w:after="0"/>
              <w:rPr>
                <w:sz w:val="20"/>
                <w:szCs w:val="20"/>
                <w:color w:val="auto"/>
              </w:rPr>
            </w:pPr>
            <w:r>
              <w:rPr>
                <w:rFonts w:ascii="Arial" w:cs="Arial" w:eastAsia="Arial" w:hAnsi="Arial"/>
                <w:sz w:val="18"/>
                <w:szCs w:val="18"/>
                <w:color w:val="auto"/>
              </w:rPr>
              <w:t>Net interest income (1)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96.9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90.0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92.6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191.4</w:t>
            </w:r>
          </w:p>
        </w:tc>
        <w:tc>
          <w:tcPr>
            <w:tcW w:w="118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Provisions for possible loan losses, net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19.7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53.9</w:t>
            </w: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income (1)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101.7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108.8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96.8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208.6</w:t>
            </w:r>
          </w:p>
        </w:tc>
        <w:tc>
          <w:tcPr>
            <w:tcW w:w="1180" w:type="dxa"/>
            <w:vAlign w:val="bottom"/>
          </w:tcPr>
          <w:p>
            <w:pPr>
              <w:jc w:val="right"/>
              <w:spacing w:after="0"/>
              <w:rPr>
                <w:sz w:val="20"/>
                <w:szCs w:val="20"/>
                <w:color w:val="auto"/>
              </w:rPr>
            </w:pPr>
            <w:r>
              <w:rPr>
                <w:rFonts w:ascii="Arial" w:cs="Arial" w:eastAsia="Arial" w:hAnsi="Arial"/>
                <w:sz w:val="18"/>
                <w:szCs w:val="18"/>
                <w:color w:val="auto"/>
              </w:rPr>
              <w:t>205.7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26.4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28.7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27.1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51.6</w:t>
            </w:r>
          </w:p>
        </w:tc>
        <w:tc>
          <w:tcPr>
            <w:tcW w:w="118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 expenses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112.4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108.2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106.3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221.5</w:t>
            </w:r>
          </w:p>
        </w:tc>
        <w:tc>
          <w:tcPr>
            <w:tcW w:w="1180" w:type="dxa"/>
            <w:vAlign w:val="bottom"/>
          </w:tcPr>
          <w:p>
            <w:pPr>
              <w:jc w:val="right"/>
              <w:spacing w:after="0"/>
              <w:rPr>
                <w:sz w:val="20"/>
                <w:szCs w:val="20"/>
                <w:color w:val="auto"/>
              </w:rPr>
            </w:pPr>
            <w:r>
              <w:rPr>
                <w:rFonts w:ascii="Arial" w:cs="Arial" w:eastAsia="Arial" w:hAnsi="Arial"/>
                <w:sz w:val="18"/>
                <w:szCs w:val="18"/>
                <w:color w:val="auto"/>
              </w:rPr>
              <w:t>214.4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Merger costs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17.5</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Translation result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4580" w:type="dxa"/>
            <w:vAlign w:val="bottom"/>
          </w:tcPr>
          <w:p>
            <w:pPr>
              <w:spacing w:after="0"/>
              <w:rPr>
                <w:sz w:val="20"/>
                <w:szCs w:val="20"/>
                <w:color w:val="auto"/>
              </w:rPr>
            </w:pPr>
            <w:r>
              <w:rPr>
                <w:rFonts w:ascii="Arial" w:cs="Arial" w:eastAsia="Arial" w:hAnsi="Arial"/>
                <w:sz w:val="18"/>
                <w:szCs w:val="18"/>
                <w:b w:val="1"/>
                <w:bCs w:val="1"/>
                <w:color w:val="auto"/>
              </w:rPr>
              <w:t>Income before inc. tax and min. interest</w:t>
            </w:r>
          </w:p>
        </w:tc>
        <w:tc>
          <w:tcPr>
            <w:tcW w:w="1580" w:type="dxa"/>
            <w:vAlign w:val="bottom"/>
          </w:tcPr>
          <w:p>
            <w:pPr>
              <w:jc w:val="right"/>
              <w:ind w:right="112"/>
              <w:spacing w:after="0"/>
              <w:rPr>
                <w:sz w:val="20"/>
                <w:szCs w:val="20"/>
                <w:color w:val="auto"/>
              </w:rPr>
            </w:pPr>
            <w:r>
              <w:rPr>
                <w:rFonts w:ascii="Arial" w:cs="Arial" w:eastAsia="Arial" w:hAnsi="Arial"/>
                <w:sz w:val="18"/>
                <w:szCs w:val="18"/>
                <w:b w:val="1"/>
                <w:bCs w:val="1"/>
                <w:color w:val="auto"/>
              </w:rPr>
              <w:t>40.7</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44.5</w:t>
            </w:r>
          </w:p>
        </w:tc>
        <w:tc>
          <w:tcPr>
            <w:tcW w:w="1320" w:type="dxa"/>
            <w:vAlign w:val="bottom"/>
          </w:tcPr>
          <w:p>
            <w:pPr>
              <w:jc w:val="right"/>
              <w:ind w:right="92"/>
              <w:spacing w:after="0"/>
              <w:rPr>
                <w:sz w:val="20"/>
                <w:szCs w:val="20"/>
                <w:color w:val="auto"/>
              </w:rPr>
            </w:pPr>
            <w:r>
              <w:rPr>
                <w:rFonts w:ascii="Arial" w:cs="Arial" w:eastAsia="Arial" w:hAnsi="Arial"/>
                <w:sz w:val="18"/>
                <w:szCs w:val="18"/>
                <w:b w:val="1"/>
                <w:bCs w:val="1"/>
                <w:color w:val="auto"/>
              </w:rPr>
              <w:t>48.2</w:t>
            </w: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rPr>
              <w:t>51.4</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92.7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Tax</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(9.8)</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(16.6)</w:t>
            </w: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Minority Interest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2"/>
        </w:trPr>
        <w:tc>
          <w:tcPr>
            <w:tcW w:w="4580" w:type="dxa"/>
            <w:vAlign w:val="bottom"/>
          </w:tcPr>
          <w:p>
            <w:pPr>
              <w:ind w:left="1860"/>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Pr>
          <w:p>
            <w:pPr>
              <w:jc w:val="right"/>
              <w:ind w:right="112"/>
              <w:spacing w:after="0"/>
              <w:rPr>
                <w:sz w:val="20"/>
                <w:szCs w:val="20"/>
                <w:color w:val="auto"/>
              </w:rPr>
            </w:pPr>
            <w:r>
              <w:rPr>
                <w:rFonts w:ascii="Arial" w:cs="Arial" w:eastAsia="Arial" w:hAnsi="Arial"/>
                <w:sz w:val="18"/>
                <w:szCs w:val="18"/>
                <w:b w:val="1"/>
                <w:bCs w:val="1"/>
                <w:color w:val="auto"/>
              </w:rPr>
              <w:t>28.3</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30.1</w:t>
            </w:r>
          </w:p>
        </w:tc>
        <w:tc>
          <w:tcPr>
            <w:tcW w:w="1320" w:type="dxa"/>
            <w:vAlign w:val="bottom"/>
          </w:tcPr>
          <w:p>
            <w:pPr>
              <w:jc w:val="right"/>
              <w:ind w:right="92"/>
              <w:spacing w:after="0"/>
              <w:rPr>
                <w:sz w:val="20"/>
                <w:szCs w:val="20"/>
                <w:color w:val="auto"/>
              </w:rPr>
            </w:pPr>
            <w:r>
              <w:rPr>
                <w:rFonts w:ascii="Arial" w:cs="Arial" w:eastAsia="Arial" w:hAnsi="Arial"/>
                <w:sz w:val="18"/>
                <w:szCs w:val="18"/>
                <w:b w:val="1"/>
                <w:bCs w:val="1"/>
                <w:color w:val="auto"/>
              </w:rPr>
              <w:t>32.9</w:t>
            </w:r>
          </w:p>
        </w:tc>
        <w:tc>
          <w:tcPr>
            <w:tcW w:w="1360" w:type="dxa"/>
            <w:vAlign w:val="bottom"/>
          </w:tcPr>
          <w:p>
            <w:pPr>
              <w:jc w:val="right"/>
              <w:ind w:right="92"/>
              <w:spacing w:after="0"/>
              <w:rPr>
                <w:sz w:val="20"/>
                <w:szCs w:val="20"/>
                <w:color w:val="auto"/>
              </w:rPr>
            </w:pPr>
            <w:r>
              <w:rPr>
                <w:rFonts w:ascii="Arial" w:cs="Arial" w:eastAsia="Arial" w:hAnsi="Arial"/>
                <w:sz w:val="18"/>
                <w:szCs w:val="18"/>
                <w:b w:val="1"/>
                <w:bCs w:val="1"/>
                <w:color w:val="auto"/>
              </w:rPr>
              <w:t>30.8</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62.9</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0.35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0.38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0.41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0.39</w:t>
            </w:r>
          </w:p>
        </w:tc>
        <w:tc>
          <w:tcPr>
            <w:tcW w:w="1180" w:type="dxa"/>
            <w:vAlign w:val="bottom"/>
          </w:tcPr>
          <w:p>
            <w:pPr>
              <w:jc w:val="right"/>
              <w:spacing w:after="0"/>
              <w:rPr>
                <w:sz w:val="20"/>
                <w:szCs w:val="20"/>
                <w:color w:val="auto"/>
              </w:rPr>
            </w:pPr>
            <w:r>
              <w:rPr>
                <w:rFonts w:ascii="Arial" w:cs="Arial" w:eastAsia="Arial" w:hAnsi="Arial"/>
                <w:sz w:val="18"/>
                <w:szCs w:val="18"/>
                <w:color w:val="auto"/>
              </w:rPr>
              <w:t>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3765550</wp:posOffset>
            </wp:positionH>
            <wp:positionV relativeFrom="paragraph">
              <wp:posOffset>-2017395</wp:posOffset>
            </wp:positionV>
            <wp:extent cx="3429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-2017395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-2017395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-2017395</wp:posOffset>
            </wp:positionV>
            <wp:extent cx="3429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-2017395</wp:posOffset>
            </wp:positionV>
            <wp:extent cx="3429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-1734820</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-1734820</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-1734820</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-1734820</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-1734820</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-1734820</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left="600" w:hanging="592"/>
        <w:spacing w:after="0"/>
        <w:tabs>
          <w:tab w:leader="none" w:pos="6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US$7.9Mn in 2Q03 and US$13.4Mn in 6m03 were reclassified from Other income into Interest income.</w:t>
      </w:r>
    </w:p>
    <w:p>
      <w:pPr>
        <w:spacing w:after="0" w:line="15" w:lineRule="exact"/>
        <w:rPr>
          <w:rFonts w:ascii="Arial" w:cs="Arial" w:eastAsia="Arial" w:hAnsi="Arial"/>
          <w:sz w:val="18"/>
          <w:szCs w:val="18"/>
          <w:i w:val="1"/>
          <w:iCs w:val="1"/>
          <w:color w:val="auto"/>
        </w:rPr>
      </w:pPr>
    </w:p>
    <w:p>
      <w:pPr>
        <w:ind w:left="600" w:hanging="592"/>
        <w:spacing w:after="0"/>
        <w:tabs>
          <w:tab w:leader="none" w:pos="6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Based on 79.8 million net outstanding shares in all periods.</w:t>
      </w:r>
    </w:p>
    <w:p>
      <w:pPr>
        <w:spacing w:after="0" w:line="9" w:lineRule="exact"/>
        <w:rPr>
          <w:rFonts w:ascii="Arial" w:cs="Arial" w:eastAsia="Arial" w:hAnsi="Arial"/>
          <w:sz w:val="18"/>
          <w:szCs w:val="18"/>
          <w:i w:val="1"/>
          <w:iCs w:val="1"/>
          <w:color w:val="auto"/>
        </w:rPr>
      </w:pPr>
    </w:p>
    <w:p>
      <w:pPr>
        <w:ind w:left="600" w:right="20"/>
        <w:spacing w:after="0" w:line="261"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is 94.4 million, however, as 14.6 million are held by affiliates as treasury shares, the net consolidated outstanding shares are 79.8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from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20"/>
                <w:szCs w:val="20"/>
                <w:color w:val="auto"/>
              </w:rPr>
            </w:pPr>
            <w:r>
              <w:rPr>
                <w:rFonts w:ascii="Arial" w:cs="Arial" w:eastAsia="Arial" w:hAnsi="Arial"/>
                <w:sz w:val="18"/>
                <w:szCs w:val="18"/>
                <w:i w:val="1"/>
                <w:iCs w:val="1"/>
                <w:color w:val="auto"/>
              </w:rPr>
              <w:t>(US$Mn)</w:t>
            </w:r>
          </w:p>
        </w:tc>
        <w:tc>
          <w:tcPr>
            <w:tcW w:w="2760" w:type="dxa"/>
            <w:vAlign w:val="bottom"/>
          </w:tcPr>
          <w:p>
            <w:pPr>
              <w:jc w:val="right"/>
              <w:ind w:right="632"/>
              <w:spacing w:after="0"/>
              <w:rPr>
                <w:sz w:val="20"/>
                <w:szCs w:val="20"/>
                <w:color w:val="auto"/>
              </w:rPr>
            </w:pPr>
            <w:r>
              <w:rPr>
                <w:rFonts w:ascii="Arial" w:cs="Arial" w:eastAsia="Arial" w:hAnsi="Arial"/>
                <w:sz w:val="18"/>
                <w:szCs w:val="18"/>
                <w:b w:val="1"/>
                <w:bCs w:val="1"/>
                <w:color w:val="auto"/>
              </w:rPr>
              <w:t>2Q03</w:t>
            </w: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1Q04</w:t>
            </w:r>
          </w:p>
        </w:tc>
        <w:tc>
          <w:tcPr>
            <w:tcW w:w="1380" w:type="dxa"/>
            <w:vAlign w:val="bottom"/>
          </w:tcPr>
          <w:p>
            <w:pPr>
              <w:jc w:val="right"/>
              <w:ind w:right="652"/>
              <w:spacing w:after="0"/>
              <w:rPr>
                <w:sz w:val="20"/>
                <w:szCs w:val="20"/>
                <w:color w:val="auto"/>
              </w:rPr>
            </w:pPr>
            <w:r>
              <w:rPr>
                <w:rFonts w:ascii="Arial" w:cs="Arial" w:eastAsia="Arial" w:hAnsi="Arial"/>
                <w:sz w:val="18"/>
                <w:szCs w:val="18"/>
                <w:b w:val="1"/>
                <w:bCs w:val="1"/>
                <w:color w:val="auto"/>
              </w:rPr>
              <w:t>2Q04</w:t>
            </w: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6m03</w:t>
            </w: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6m04</w:t>
            </w:r>
          </w:p>
        </w:tc>
      </w:tr>
      <w:tr>
        <w:trPr>
          <w:trHeight w:val="110"/>
        </w:trPr>
        <w:tc>
          <w:tcPr>
            <w:tcW w:w="34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309"/>
        </w:trPr>
        <w:tc>
          <w:tcPr>
            <w:tcW w:w="3440" w:type="dxa"/>
            <w:vAlign w:val="bottom"/>
          </w:tcPr>
          <w:p>
            <w:pPr>
              <w:spacing w:after="0"/>
              <w:rPr>
                <w:sz w:val="20"/>
                <w:szCs w:val="20"/>
                <w:color w:val="auto"/>
              </w:rPr>
            </w:pPr>
            <w:r>
              <w:rPr>
                <w:rFonts w:ascii="Arial" w:cs="Arial" w:eastAsia="Arial" w:hAnsi="Arial"/>
                <w:sz w:val="18"/>
                <w:szCs w:val="18"/>
                <w:color w:val="auto"/>
              </w:rPr>
              <w:t>Banco de Crédito BCP(1)</w:t>
            </w:r>
          </w:p>
        </w:tc>
        <w:tc>
          <w:tcPr>
            <w:tcW w:w="2760" w:type="dxa"/>
            <w:vAlign w:val="bottom"/>
          </w:tcPr>
          <w:p>
            <w:pPr>
              <w:jc w:val="right"/>
              <w:ind w:right="152"/>
              <w:spacing w:after="0"/>
              <w:rPr>
                <w:sz w:val="20"/>
                <w:szCs w:val="20"/>
                <w:color w:val="auto"/>
              </w:rPr>
            </w:pPr>
            <w:r>
              <w:rPr>
                <w:rFonts w:ascii="Arial" w:cs="Arial" w:eastAsia="Arial" w:hAnsi="Arial"/>
                <w:sz w:val="18"/>
                <w:szCs w:val="18"/>
                <w:color w:val="auto"/>
              </w:rPr>
              <w:t>US$27.2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US$25.9</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US$27.4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US$35.2</w:t>
            </w:r>
          </w:p>
        </w:tc>
        <w:tc>
          <w:tcPr>
            <w:tcW w:w="1120" w:type="dxa"/>
            <w:vAlign w:val="bottom"/>
          </w:tcPr>
          <w:p>
            <w:pPr>
              <w:jc w:val="right"/>
              <w:spacing w:after="0"/>
              <w:rPr>
                <w:sz w:val="20"/>
                <w:szCs w:val="20"/>
                <w:color w:val="auto"/>
              </w:rPr>
            </w:pPr>
            <w:r>
              <w:rPr>
                <w:rFonts w:ascii="Arial" w:cs="Arial" w:eastAsia="Arial" w:hAnsi="Arial"/>
                <w:sz w:val="18"/>
                <w:szCs w:val="18"/>
                <w:color w:val="auto"/>
              </w:rPr>
              <w:t>US$53.2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Atlantic</w:t>
            </w:r>
          </w:p>
        </w:tc>
        <w:tc>
          <w:tcPr>
            <w:tcW w:w="276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2.9</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PPS</w:t>
            </w:r>
          </w:p>
        </w:tc>
        <w:tc>
          <w:tcPr>
            <w:tcW w:w="276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Banco Tequendama</w:t>
            </w:r>
          </w:p>
        </w:tc>
        <w:tc>
          <w:tcPr>
            <w:tcW w:w="276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Credicorp y otros(2)</w:t>
            </w:r>
          </w:p>
        </w:tc>
        <w:tc>
          <w:tcPr>
            <w:tcW w:w="276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-13.1</w:t>
            </w: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59"/>
        </w:trPr>
        <w:tc>
          <w:tcPr>
            <w:tcW w:w="34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760" w:type="dxa"/>
            <w:vAlign w:val="bottom"/>
          </w:tcPr>
          <w:p>
            <w:pPr>
              <w:jc w:val="right"/>
              <w:ind w:right="152"/>
              <w:spacing w:after="0"/>
              <w:rPr>
                <w:sz w:val="20"/>
                <w:szCs w:val="20"/>
                <w:color w:val="auto"/>
              </w:rPr>
            </w:pPr>
            <w:r>
              <w:rPr>
                <w:rFonts w:ascii="Arial" w:cs="Arial" w:eastAsia="Arial" w:hAnsi="Arial"/>
                <w:sz w:val="18"/>
                <w:szCs w:val="18"/>
                <w:b w:val="1"/>
                <w:bCs w:val="1"/>
                <w:color w:val="auto"/>
              </w:rPr>
              <w:t>US$28.3</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US$30.1</w:t>
            </w: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rPr>
              <w:t>US$32.9</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US$30.8</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US$62.9</w:t>
            </w:r>
          </w:p>
        </w:tc>
      </w:tr>
      <w:tr>
        <w:trPr>
          <w:trHeight w:val="110"/>
        </w:trPr>
        <w:tc>
          <w:tcPr>
            <w:tcW w:w="34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-1144270</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-1144270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-1144270</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-1144270</wp:posOffset>
            </wp:positionV>
            <wp:extent cx="34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-1144270</wp:posOffset>
            </wp:positionV>
            <wp:extent cx="3429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-1144270</wp:posOffset>
            </wp:positionV>
            <wp:extent cx="3429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-20955</wp:posOffset>
            </wp:positionV>
            <wp:extent cx="342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-20955</wp:posOffset>
            </wp:positionV>
            <wp:extent cx="342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-20955</wp:posOffset>
            </wp:positionV>
            <wp:extent cx="342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43" w:orient="portrait"/>
          <w:cols w:equalWidth="0" w:num="1">
            <w:col w:w="11420"/>
          </w:cols>
          <w:pgMar w:left="240" w:top="1440" w:right="239" w:bottom="0" w:gutter="0" w:footer="0" w:header="0"/>
          <w:type w:val="continuous"/>
        </w:sectPr>
      </w:pPr>
    </w:p>
    <w:bookmarkStart w:id="2" w:name="page3"/>
    <w:bookmarkEnd w:id="2"/>
    <w:p>
      <w:pPr>
        <w:ind w:left="600" w:hanging="592"/>
        <w:spacing w:after="0"/>
        <w:tabs>
          <w:tab w:leader="none" w:pos="6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w:t>
      </w:r>
    </w:p>
    <w:p>
      <w:pPr>
        <w:spacing w:after="0" w:line="15" w:lineRule="exact"/>
        <w:rPr>
          <w:rFonts w:ascii="Arial" w:cs="Arial" w:eastAsia="Arial" w:hAnsi="Arial"/>
          <w:sz w:val="18"/>
          <w:szCs w:val="18"/>
          <w:i w:val="1"/>
          <w:iCs w:val="1"/>
          <w:color w:val="auto"/>
        </w:rPr>
      </w:pPr>
    </w:p>
    <w:p>
      <w:pPr>
        <w:ind w:left="600" w:hanging="592"/>
        <w:spacing w:after="0"/>
        <w:tabs>
          <w:tab w:leader="none" w:pos="60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Inversiones Crédito, Credicorp Securities and others.</w:t>
      </w:r>
    </w:p>
    <w:p>
      <w:pPr>
        <w:spacing w:after="0" w:line="21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In the second quarter of 2004, the </w:t>
      </w:r>
      <w:r>
        <w:rPr>
          <w:rFonts w:ascii="Arial" w:cs="Arial" w:eastAsia="Arial" w:hAnsi="Arial"/>
          <w:sz w:val="16"/>
          <w:szCs w:val="16"/>
          <w:b w:val="1"/>
          <w:bCs w:val="1"/>
          <w:color w:val="auto"/>
        </w:rPr>
        <w:t>Credicorp and others</w:t>
      </w:r>
      <w:r>
        <w:rPr>
          <w:rFonts w:ascii="Arial" w:cs="Arial" w:eastAsia="Arial" w:hAnsi="Arial"/>
          <w:sz w:val="16"/>
          <w:szCs w:val="16"/>
          <w:color w:val="auto"/>
        </w:rPr>
        <w:t xml:space="preserve"> concept contributed a loss of US$0.4 million, which includes a US$0.7 million provision for substandard loans transferred from Banco Tequendama. The US$7.0 million loss contribution in the second quarter of 2003 included a US$4.5 million charge for investments and contingencies reserves and a US$1.4 million provision for substandard loans transferred from Banco Tequendama.</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auto"/>
        </w:rPr>
        <w:t xml:space="preserve">Banco de Crédito BCP </w:t>
      </w:r>
      <w:r>
        <w:rPr>
          <w:rFonts w:ascii="Arial" w:cs="Arial" w:eastAsia="Arial" w:hAnsi="Arial"/>
          <w:sz w:val="16"/>
          <w:szCs w:val="16"/>
          <w:color w:val="auto"/>
        </w:rPr>
        <w:t>contributed US$27.4 million to Credicorp’s net income in second quarter 2004, above its results according to Peruvian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principles reported in Section II, which amounted to US$23.7 million. The difference is mainly due to the </w:t>
      </w:r>
      <w:r>
        <w:rPr>
          <w:rFonts w:ascii="Arial" w:cs="Arial" w:eastAsia="Arial" w:hAnsi="Arial"/>
          <w:sz w:val="16"/>
          <w:szCs w:val="16"/>
          <w:u w:val="single" w:color="auto"/>
          <w:color w:val="auto"/>
        </w:rPr>
        <w:t>loss</w:t>
      </w:r>
      <w:r>
        <w:rPr>
          <w:rFonts w:ascii="Arial" w:cs="Arial" w:eastAsia="Arial" w:hAnsi="Arial"/>
          <w:sz w:val="16"/>
          <w:szCs w:val="16"/>
          <w:color w:val="auto"/>
        </w:rPr>
        <w:t xml:space="preserve"> on inflation exposure in local books while translation </w:t>
      </w:r>
      <w:r>
        <w:rPr>
          <w:rFonts w:ascii="Arial" w:cs="Arial" w:eastAsia="Arial" w:hAnsi="Arial"/>
          <w:sz w:val="16"/>
          <w:szCs w:val="16"/>
          <w:u w:val="single" w:color="auto"/>
          <w:color w:val="auto"/>
        </w:rPr>
        <w:t>gains</w:t>
      </w:r>
      <w:r>
        <w:rPr>
          <w:rFonts w:ascii="Arial" w:cs="Arial" w:eastAsia="Arial" w:hAnsi="Arial"/>
          <w:sz w:val="16"/>
          <w:szCs w:val="16"/>
          <w:color w:val="auto"/>
        </w:rPr>
        <w:t xml:space="preserve"> were registered by Credicorp. Credicorp’s Dollar-based accounting shows a US$0.5 million translation gain, compared to a US$4.8 million loss in BCP’s local records, which resulted from inflation adjustment losses and losses on foreign currency positions caused by the Nuevo Sol appreciation against the Dollar. Additionally, Credicorp registered a minority interest elimination amounting to approximately US$1.1 million.</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contribution of </w:t>
      </w:r>
      <w:r>
        <w:rPr>
          <w:rFonts w:ascii="Arial" w:cs="Arial" w:eastAsia="Arial" w:hAnsi="Arial"/>
          <w:sz w:val="18"/>
          <w:szCs w:val="18"/>
          <w:b w:val="1"/>
          <w:bCs w:val="1"/>
          <w:color w:val="auto"/>
        </w:rPr>
        <w:t>Atlantic Security Holding Corporation</w:t>
      </w:r>
      <w:r>
        <w:rPr>
          <w:rFonts w:ascii="Arial" w:cs="Arial" w:eastAsia="Arial" w:hAnsi="Arial"/>
          <w:sz w:val="18"/>
          <w:szCs w:val="18"/>
          <w:color w:val="auto"/>
        </w:rPr>
        <w:t xml:space="preserve"> of US$3.6 million in the current quarter is below US$4.6 million net income shown in its books (see Section III), due to the elimination for consolidation purposes of US$1.0 million of dividends from Credicorp and registered as income in April 2004. Cumulative through June 2004, Atlantic received US$5.8 million in dividends from Credicorp, with its net income reaching US$12.3 million, compared to a contribution of US$6.5 million. In the year-ago second quarter no dividend was received from Credicorp and there was no difference between the contributed net income and profits in Atlantic’s books.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second quarter 2004, Credicorp received a US$1.9 million profit contribution from </w:t>
      </w:r>
      <w:r>
        <w:rPr>
          <w:rFonts w:ascii="Arial" w:cs="Arial" w:eastAsia="Arial" w:hAnsi="Arial"/>
          <w:sz w:val="18"/>
          <w:szCs w:val="18"/>
          <w:b w:val="1"/>
          <w:bCs w:val="1"/>
          <w:color w:val="auto"/>
        </w:rPr>
        <w:t>Pacífico Peruano Suiza</w:t>
      </w:r>
      <w:r>
        <w:rPr>
          <w:rFonts w:ascii="Arial" w:cs="Arial" w:eastAsia="Arial" w:hAnsi="Arial"/>
          <w:sz w:val="18"/>
          <w:szCs w:val="18"/>
          <w:color w:val="auto"/>
        </w:rPr>
        <w:t>, lower than the consolidated net income of US$16.6 million in its local Peruvian GAAP books (See Section IV), mainly because Credicorp’s records did not register: 1) US$21.7 million in gains from the sale to ASHC of Credicorp’s treasury shares, and 2) US$6.4 million in provision expense for the amortization of the investment in the acquired company Novasalud. The contribution in the year-ago second quarter includes a US$3.0 million gain from the sale of long term investments, net of income taxes and minority interests.</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Banco Tequendama </w:t>
      </w:r>
      <w:r>
        <w:rPr>
          <w:rFonts w:ascii="Arial" w:cs="Arial" w:eastAsia="Arial" w:hAnsi="Arial"/>
          <w:sz w:val="18"/>
          <w:szCs w:val="18"/>
          <w:color w:val="auto"/>
        </w:rPr>
        <w:t>contributed net income of US$0.4 million in the second quarter of 2004, compared to a US$0.9 million profit in the prior year quarter. These</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amounts do not include provision expense incurred by Credicorp of US$0.7 million and US$1.4 million, respectively, for transferred loans as mentioned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I.1 INTEREST INCOME AND OTHER INCOME</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u w:val="single" w:color="auto"/>
          <w:color w:val="auto"/>
        </w:rPr>
        <w:t>Note</w:t>
      </w:r>
      <w:r>
        <w:rPr>
          <w:rFonts w:ascii="Arial" w:cs="Arial" w:eastAsia="Arial" w:hAnsi="Arial"/>
          <w:sz w:val="16"/>
          <w:szCs w:val="16"/>
          <w:color w:val="auto"/>
        </w:rPr>
        <w:t xml:space="preserve">: For comparison purposes, in periods prior to 2004, certain financial revenue items registered by insurance subsidiaries have been retroactively reclassified from the </w:t>
      </w:r>
      <w:r>
        <w:rPr>
          <w:rFonts w:ascii="Arial" w:cs="Arial" w:eastAsia="Arial" w:hAnsi="Arial"/>
          <w:sz w:val="16"/>
          <w:szCs w:val="16"/>
          <w:i w:val="1"/>
          <w:iCs w:val="1"/>
          <w:u w:val="single" w:color="auto"/>
          <w:color w:val="auto"/>
        </w:rPr>
        <w:t>Other non-financial income</w:t>
      </w:r>
      <w:r>
        <w:rPr>
          <w:rFonts w:ascii="Arial" w:cs="Arial" w:eastAsia="Arial" w:hAnsi="Arial"/>
          <w:sz w:val="16"/>
          <w:szCs w:val="16"/>
          <w:color w:val="auto"/>
        </w:rPr>
        <w:t xml:space="preserve"> concept into the </w:t>
      </w:r>
      <w:r>
        <w:rPr>
          <w:rFonts w:ascii="Arial" w:cs="Arial" w:eastAsia="Arial" w:hAnsi="Arial"/>
          <w:sz w:val="16"/>
          <w:szCs w:val="16"/>
          <w:i w:val="1"/>
          <w:iCs w:val="1"/>
          <w:u w:val="single" w:color="auto"/>
          <w:color w:val="auto"/>
        </w:rPr>
        <w:t>Interest Income</w:t>
      </w:r>
      <w:r>
        <w:rPr>
          <w:rFonts w:ascii="Arial" w:cs="Arial" w:eastAsia="Arial" w:hAnsi="Arial"/>
          <w:sz w:val="16"/>
          <w:szCs w:val="16"/>
          <w:color w:val="auto"/>
        </w:rPr>
        <w:t xml:space="preserve"> concept, with no effect on either net income nor total revenue.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interest income in the second quarter of 2004 was US$92.6 million, lower than US$96.9 million earned in the same period of 2003, mostly due to a decrease in interest margins, partly offset with slightly higher interest earning assets.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interest margin (net interest income over average interest earning assets), on an annualized basis, was 5.31% during the second quarter of 2004, lower than 5.65% in the year-ago quarter, but remains similar to 5.26% in the preceding first quarter of 2004. During the current quarter both loan rates and funding costs remained stable, within a continuing overall excess of liquid funds.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volume of interest earning assets, as an average of quarter-end balances, reached US$6,978 million in this quarter, increasing 1.7% compared to US$6,860 million in the second quarter of 2003.</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was US$96.8 million in the second quarter of 2004, 4.8% lower than US$101.7 million in the same period of 2003, principally due to losses on the securities portfolio. In second quarter 2003, a US$5.7 million gain on securities was obtained from the sale by PPS of long term investments. Non-interest income components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2440" w:type="dxa"/>
            <w:vAlign w:val="bottom"/>
          </w:tcPr>
          <w:p>
            <w:pPr>
              <w:jc w:val="right"/>
              <w:ind w:right="632"/>
              <w:spacing w:after="0"/>
              <w:rPr>
                <w:sz w:val="20"/>
                <w:szCs w:val="20"/>
                <w:color w:val="auto"/>
              </w:rPr>
            </w:pPr>
            <w:r>
              <w:rPr>
                <w:rFonts w:ascii="Arial" w:cs="Arial" w:eastAsia="Arial" w:hAnsi="Arial"/>
                <w:sz w:val="18"/>
                <w:szCs w:val="18"/>
                <w:b w:val="1"/>
                <w:bCs w:val="1"/>
                <w:color w:val="auto"/>
              </w:rPr>
              <w:t>2Q03</w:t>
            </w: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1Q04</w:t>
            </w:r>
          </w:p>
        </w:tc>
        <w:tc>
          <w:tcPr>
            <w:tcW w:w="1200" w:type="dxa"/>
            <w:vAlign w:val="bottom"/>
          </w:tcPr>
          <w:p>
            <w:pPr>
              <w:jc w:val="right"/>
              <w:ind w:right="472"/>
              <w:spacing w:after="0"/>
              <w:rPr>
                <w:sz w:val="20"/>
                <w:szCs w:val="20"/>
                <w:color w:val="auto"/>
              </w:rPr>
            </w:pPr>
            <w:r>
              <w:rPr>
                <w:rFonts w:ascii="Arial" w:cs="Arial" w:eastAsia="Arial" w:hAnsi="Arial"/>
                <w:sz w:val="18"/>
                <w:szCs w:val="18"/>
                <w:b w:val="1"/>
                <w:bCs w:val="1"/>
                <w:color w:val="auto"/>
              </w:rPr>
              <w:t>2Q04</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2Q04 vs. 1Q04</w:t>
            </w:r>
          </w:p>
        </w:tc>
        <w:tc>
          <w:tcPr>
            <w:tcW w:w="130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2Q04 vs. 2Q03</w:t>
            </w:r>
          </w:p>
        </w:tc>
      </w:tr>
      <w:tr>
        <w:trPr>
          <w:trHeight w:val="110"/>
        </w:trPr>
        <w:tc>
          <w:tcPr>
            <w:tcW w:w="37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r>
        <w:trPr>
          <w:trHeight w:val="309"/>
        </w:trPr>
        <w:tc>
          <w:tcPr>
            <w:tcW w:w="376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2440" w:type="dxa"/>
            <w:vAlign w:val="bottom"/>
          </w:tcPr>
          <w:p>
            <w:pPr>
              <w:jc w:val="right"/>
              <w:ind w:right="152"/>
              <w:spacing w:after="0"/>
              <w:rPr>
                <w:sz w:val="20"/>
                <w:szCs w:val="20"/>
                <w:color w:val="auto"/>
              </w:rPr>
            </w:pPr>
            <w:r>
              <w:rPr>
                <w:rFonts w:ascii="Arial" w:cs="Arial" w:eastAsia="Arial" w:hAnsi="Arial"/>
                <w:sz w:val="18"/>
                <w:szCs w:val="18"/>
                <w:color w:val="auto"/>
              </w:rPr>
              <w:t>47.5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47.1</w:t>
            </w: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premiums</w:t>
            </w:r>
          </w:p>
        </w:tc>
        <w:tc>
          <w:tcPr>
            <w:tcW w:w="2440" w:type="dxa"/>
            <w:vAlign w:val="bottom"/>
          </w:tcPr>
          <w:p>
            <w:pPr>
              <w:jc w:val="right"/>
              <w:ind w:right="152"/>
              <w:spacing w:after="0"/>
              <w:rPr>
                <w:sz w:val="20"/>
                <w:szCs w:val="20"/>
                <w:color w:val="auto"/>
              </w:rPr>
            </w:pPr>
            <w:r>
              <w:rPr>
                <w:rFonts w:ascii="Arial" w:cs="Arial" w:eastAsia="Arial" w:hAnsi="Arial"/>
                <w:sz w:val="18"/>
                <w:szCs w:val="18"/>
                <w:color w:val="auto"/>
              </w:rPr>
              <w:t>32.1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38.0</w:t>
            </w:r>
          </w:p>
        </w:tc>
        <w:tc>
          <w:tcPr>
            <w:tcW w:w="1200" w:type="dxa"/>
            <w:vAlign w:val="bottom"/>
          </w:tcPr>
          <w:p>
            <w:pPr>
              <w:jc w:val="right"/>
              <w:spacing w:after="0"/>
              <w:rPr>
                <w:sz w:val="20"/>
                <w:szCs w:val="20"/>
                <w:color w:val="auto"/>
              </w:rPr>
            </w:pPr>
            <w:r>
              <w:rPr>
                <w:rFonts w:ascii="Arial" w:cs="Arial" w:eastAsia="Arial" w:hAnsi="Arial"/>
                <w:sz w:val="18"/>
                <w:szCs w:val="18"/>
                <w:color w:val="auto"/>
              </w:rPr>
              <w:t>33.1</w:t>
            </w: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2440" w:type="dxa"/>
            <w:vAlign w:val="bottom"/>
          </w:tcPr>
          <w:p>
            <w:pPr>
              <w:jc w:val="right"/>
              <w:ind w:right="152"/>
              <w:spacing w:after="0"/>
              <w:rPr>
                <w:sz w:val="20"/>
                <w:szCs w:val="20"/>
                <w:color w:val="auto"/>
              </w:rPr>
            </w:pPr>
            <w:r>
              <w:rPr>
                <w:rFonts w:ascii="Arial" w:cs="Arial" w:eastAsia="Arial" w:hAnsi="Arial"/>
                <w:sz w:val="18"/>
                <w:szCs w:val="18"/>
                <w:color w:val="auto"/>
              </w:rPr>
              <w:t>7.6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360" w:type="dxa"/>
            <w:vAlign w:val="bottom"/>
          </w:tcPr>
          <w:p>
            <w:pPr>
              <w:jc w:val="right"/>
              <w:spacing w:after="0"/>
              <w:rPr>
                <w:sz w:val="20"/>
                <w:szCs w:val="20"/>
                <w:color w:val="auto"/>
              </w:rPr>
            </w:pPr>
            <w:r>
              <w:rPr>
                <w:rFonts w:ascii="Arial" w:cs="Arial" w:eastAsia="Arial" w:hAnsi="Arial"/>
                <w:sz w:val="18"/>
                <w:szCs w:val="18"/>
                <w:color w:val="auto"/>
              </w:rPr>
              <w:t>N/A</w:t>
            </w:r>
          </w:p>
        </w:tc>
        <w:tc>
          <w:tcPr>
            <w:tcW w:w="1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2440" w:type="dxa"/>
            <w:vAlign w:val="bottom"/>
          </w:tcPr>
          <w:p>
            <w:pPr>
              <w:jc w:val="right"/>
              <w:ind w:right="152"/>
              <w:spacing w:after="0"/>
              <w:rPr>
                <w:sz w:val="20"/>
                <w:szCs w:val="20"/>
                <w:color w:val="auto"/>
              </w:rPr>
            </w:pPr>
            <w:r>
              <w:rPr>
                <w:rFonts w:ascii="Arial" w:cs="Arial" w:eastAsia="Arial" w:hAnsi="Arial"/>
                <w:sz w:val="18"/>
                <w:szCs w:val="18"/>
                <w:color w:val="auto"/>
              </w:rPr>
              <w:t>5.8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2440" w:type="dxa"/>
            <w:vAlign w:val="bottom"/>
          </w:tcPr>
          <w:p>
            <w:pPr>
              <w:jc w:val="right"/>
              <w:ind w:right="152"/>
              <w:spacing w:after="0"/>
              <w:rPr>
                <w:sz w:val="20"/>
                <w:szCs w:val="20"/>
                <w:color w:val="auto"/>
              </w:rPr>
            </w:pPr>
            <w:r>
              <w:rPr>
                <w:rFonts w:ascii="Arial" w:cs="Arial" w:eastAsia="Arial" w:hAnsi="Arial"/>
                <w:sz w:val="18"/>
                <w:szCs w:val="18"/>
                <w:color w:val="auto"/>
              </w:rPr>
              <w:t>8.6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14.2</w:t>
            </w: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130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28"/>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Non-Interest Income</w:t>
            </w:r>
          </w:p>
        </w:tc>
        <w:tc>
          <w:tcPr>
            <w:tcW w:w="2440" w:type="dxa"/>
            <w:vAlign w:val="bottom"/>
          </w:tcPr>
          <w:p>
            <w:pPr>
              <w:jc w:val="right"/>
              <w:ind w:right="152"/>
              <w:spacing w:after="0"/>
              <w:rPr>
                <w:sz w:val="20"/>
                <w:szCs w:val="20"/>
                <w:color w:val="auto"/>
              </w:rPr>
            </w:pPr>
            <w:r>
              <w:rPr>
                <w:rFonts w:ascii="Arial" w:cs="Arial" w:eastAsia="Arial" w:hAnsi="Arial"/>
                <w:sz w:val="18"/>
                <w:szCs w:val="18"/>
                <w:b w:val="1"/>
                <w:bCs w:val="1"/>
                <w:color w:val="auto"/>
              </w:rPr>
              <w:t>101.7</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108.8</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96.8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110"/>
        </w:trPr>
        <w:tc>
          <w:tcPr>
            <w:tcW w:w="37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-989965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-989965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-989965</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-989965</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-989965</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-20955</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-20955</wp:posOffset>
            </wp:positionV>
            <wp:extent cx="3429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-20955</wp:posOffset>
            </wp:positionV>
            <wp:extent cx="3429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I.2 OTHER NON-INTEREST EXPENSES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non-interest expenses amounted to US$107.6 million in second quarter 2004, 5.9% less than expenses in the same period of the previous year. The decrease is explained principally by the US$4.5 million charge made by Credicorp in second quarter 2003, for provisions for investments and contingencies, shown in the Other caption.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20"/>
                <w:szCs w:val="20"/>
                <w:color w:val="auto"/>
              </w:rPr>
            </w:pPr>
            <w:r>
              <w:rPr>
                <w:rFonts w:ascii="Arial" w:cs="Arial" w:eastAsia="Arial" w:hAnsi="Arial"/>
                <w:sz w:val="18"/>
                <w:szCs w:val="18"/>
                <w:i w:val="1"/>
                <w:iCs w:val="1"/>
                <w:color w:val="auto"/>
              </w:rPr>
              <w:t>(% change and US$Mn)</w:t>
            </w:r>
          </w:p>
        </w:tc>
        <w:tc>
          <w:tcPr>
            <w:tcW w:w="2460" w:type="dxa"/>
            <w:vAlign w:val="bottom"/>
          </w:tcPr>
          <w:p>
            <w:pPr>
              <w:jc w:val="right"/>
              <w:ind w:right="632"/>
              <w:spacing w:after="0"/>
              <w:rPr>
                <w:sz w:val="20"/>
                <w:szCs w:val="20"/>
                <w:color w:val="auto"/>
              </w:rPr>
            </w:pPr>
            <w:r>
              <w:rPr>
                <w:rFonts w:ascii="Arial" w:cs="Arial" w:eastAsia="Arial" w:hAnsi="Arial"/>
                <w:sz w:val="18"/>
                <w:szCs w:val="18"/>
                <w:b w:val="1"/>
                <w:bCs w:val="1"/>
                <w:color w:val="auto"/>
              </w:rPr>
              <w:t>2Q03</w:t>
            </w: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1Q04</w:t>
            </w:r>
          </w:p>
        </w:tc>
        <w:tc>
          <w:tcPr>
            <w:tcW w:w="1200" w:type="dxa"/>
            <w:vAlign w:val="bottom"/>
          </w:tcPr>
          <w:p>
            <w:pPr>
              <w:jc w:val="right"/>
              <w:ind w:right="472"/>
              <w:spacing w:after="0"/>
              <w:rPr>
                <w:sz w:val="20"/>
                <w:szCs w:val="20"/>
                <w:color w:val="auto"/>
              </w:rPr>
            </w:pPr>
            <w:r>
              <w:rPr>
                <w:rFonts w:ascii="Arial" w:cs="Arial" w:eastAsia="Arial" w:hAnsi="Arial"/>
                <w:sz w:val="18"/>
                <w:szCs w:val="18"/>
                <w:b w:val="1"/>
                <w:bCs w:val="1"/>
                <w:color w:val="auto"/>
              </w:rPr>
              <w:t>2Q04</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2Q04 vs. 1Q04</w:t>
            </w:r>
          </w:p>
        </w:tc>
        <w:tc>
          <w:tcPr>
            <w:tcW w:w="1300" w:type="dxa"/>
            <w:vAlign w:val="bottom"/>
          </w:tcPr>
          <w:p>
            <w:pPr>
              <w:jc w:val="right"/>
              <w:ind w:right="52"/>
              <w:spacing w:after="0"/>
              <w:rPr>
                <w:sz w:val="20"/>
                <w:szCs w:val="20"/>
                <w:color w:val="auto"/>
              </w:rPr>
            </w:pPr>
            <w:r>
              <w:rPr>
                <w:rFonts w:ascii="Arial" w:cs="Arial" w:eastAsia="Arial" w:hAnsi="Arial"/>
                <w:sz w:val="18"/>
                <w:szCs w:val="18"/>
                <w:b w:val="1"/>
                <w:bCs w:val="1"/>
                <w:color w:val="auto"/>
                <w:w w:val="92"/>
              </w:rPr>
              <w:t>2Q04 vs. 2Q03</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r>
        <w:trPr>
          <w:trHeight w:val="309"/>
        </w:trPr>
        <w:tc>
          <w:tcPr>
            <w:tcW w:w="374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45.1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44.4</w:t>
            </w:r>
          </w:p>
        </w:tc>
        <w:tc>
          <w:tcPr>
            <w:tcW w:w="1200" w:type="dxa"/>
            <w:vAlign w:val="bottom"/>
          </w:tcPr>
          <w:p>
            <w:pPr>
              <w:jc w:val="right"/>
              <w:spacing w:after="0"/>
              <w:rPr>
                <w:sz w:val="20"/>
                <w:szCs w:val="20"/>
                <w:color w:val="auto"/>
              </w:rPr>
            </w:pPr>
            <w:r>
              <w:rPr>
                <w:rFonts w:ascii="Arial" w:cs="Arial" w:eastAsia="Arial" w:hAnsi="Arial"/>
                <w:sz w:val="18"/>
                <w:szCs w:val="18"/>
                <w:color w:val="auto"/>
              </w:rPr>
              <w:t>46.9</w:t>
            </w: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36.0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37.5</w:t>
            </w:r>
          </w:p>
        </w:tc>
        <w:tc>
          <w:tcPr>
            <w:tcW w:w="1200" w:type="dxa"/>
            <w:vAlign w:val="bottom"/>
          </w:tcPr>
          <w:p>
            <w:pPr>
              <w:jc w:val="right"/>
              <w:spacing w:after="0"/>
              <w:rPr>
                <w:sz w:val="20"/>
                <w:szCs w:val="20"/>
                <w:color w:val="auto"/>
              </w:rPr>
            </w:pPr>
            <w:r>
              <w:rPr>
                <w:rFonts w:ascii="Arial" w:cs="Arial" w:eastAsia="Arial" w:hAnsi="Arial"/>
                <w:sz w:val="18"/>
                <w:szCs w:val="18"/>
                <w:color w:val="auto"/>
              </w:rPr>
              <w:t>34.9</w:t>
            </w:r>
          </w:p>
        </w:tc>
        <w:tc>
          <w:tcPr>
            <w:tcW w:w="1360" w:type="dxa"/>
            <w:vAlign w:val="bottom"/>
          </w:tcPr>
          <w:p>
            <w:pPr>
              <w:jc w:val="right"/>
              <w:spacing w:after="0"/>
              <w:rPr>
                <w:sz w:val="20"/>
                <w:szCs w:val="20"/>
                <w:color w:val="auto"/>
              </w:rPr>
            </w:pPr>
            <w:r>
              <w:rPr>
                <w:rFonts w:ascii="Arial" w:cs="Arial" w:eastAsia="Arial" w:hAnsi="Arial"/>
                <w:sz w:val="18"/>
                <w:szCs w:val="18"/>
                <w:color w:val="auto"/>
              </w:rPr>
              <w:t>-6.9%</w:t>
            </w: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12.4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11.6</w:t>
            </w: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3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18.8</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14.7</w:t>
            </w: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360" w:type="dxa"/>
            <w:vAlign w:val="bottom"/>
          </w:tcPr>
          <w:p>
            <w:pPr>
              <w:jc w:val="right"/>
              <w:spacing w:after="0"/>
              <w:rPr>
                <w:sz w:val="20"/>
                <w:szCs w:val="20"/>
                <w:color w:val="auto"/>
              </w:rPr>
            </w:pPr>
            <w:r>
              <w:rPr>
                <w:rFonts w:ascii="Arial" w:cs="Arial" w:eastAsia="Arial" w:hAnsi="Arial"/>
                <w:sz w:val="18"/>
                <w:szCs w:val="18"/>
                <w:color w:val="auto"/>
              </w:rPr>
              <w:t>-8.4%</w:t>
            </w:r>
          </w:p>
        </w:tc>
        <w:tc>
          <w:tcPr>
            <w:tcW w:w="130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Merger costs</w:t>
            </w:r>
          </w:p>
        </w:tc>
        <w:tc>
          <w:tcPr>
            <w:tcW w:w="246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c>
          <w:tcPr>
            <w:tcW w:w="13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28"/>
        </w:trPr>
        <w:tc>
          <w:tcPr>
            <w:tcW w:w="374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2460" w:type="dxa"/>
            <w:vAlign w:val="bottom"/>
          </w:tcPr>
          <w:p>
            <w:pPr>
              <w:jc w:val="right"/>
              <w:ind w:right="152"/>
              <w:spacing w:after="0"/>
              <w:rPr>
                <w:sz w:val="20"/>
                <w:szCs w:val="20"/>
                <w:color w:val="auto"/>
              </w:rPr>
            </w:pPr>
            <w:r>
              <w:rPr>
                <w:rFonts w:ascii="Arial" w:cs="Arial" w:eastAsia="Arial" w:hAnsi="Arial"/>
                <w:sz w:val="18"/>
                <w:szCs w:val="18"/>
                <w:b w:val="1"/>
                <w:bCs w:val="1"/>
                <w:color w:val="auto"/>
              </w:rPr>
              <w:t>114.4</w:t>
            </w:r>
          </w:p>
        </w:tc>
        <w:tc>
          <w:tcPr>
            <w:tcW w:w="1360" w:type="dxa"/>
            <w:vAlign w:val="bottom"/>
          </w:tcPr>
          <w:p>
            <w:pPr>
              <w:jc w:val="right"/>
              <w:ind w:right="152"/>
              <w:spacing w:after="0"/>
              <w:rPr>
                <w:sz w:val="20"/>
                <w:szCs w:val="20"/>
                <w:color w:val="auto"/>
              </w:rPr>
            </w:pPr>
            <w:r>
              <w:rPr>
                <w:rFonts w:ascii="Arial" w:cs="Arial" w:eastAsia="Arial" w:hAnsi="Arial"/>
                <w:sz w:val="18"/>
                <w:szCs w:val="18"/>
                <w:b w:val="1"/>
                <w:bCs w:val="1"/>
                <w:color w:val="auto"/>
              </w:rPr>
              <w:t>110.0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107.6</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110"/>
        </w:trPr>
        <w:tc>
          <w:tcPr>
            <w:tcW w:w="37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-989965</wp:posOffset>
            </wp:positionV>
            <wp:extent cx="3429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-989965</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-989965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-989965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-989965</wp:posOffset>
            </wp:positionV>
            <wp:extent cx="3429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-20955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-20955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-20955</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72" w:right="239" w:bottom="0" w:gutter="0" w:footer="0" w:header="0"/>
        </w:sectPr>
      </w:pPr>
    </w:p>
    <w:bookmarkStart w:id="3" w:name="page4"/>
    <w:bookmarkEnd w:id="3"/>
    <w:p>
      <w:pPr>
        <w:jc w:val="both"/>
        <w:spacing w:after="0" w:line="256" w:lineRule="auto"/>
        <w:rPr>
          <w:sz w:val="20"/>
          <w:szCs w:val="20"/>
          <w:color w:val="auto"/>
        </w:rPr>
      </w:pPr>
      <w:r>
        <w:rPr>
          <w:rFonts w:ascii="Arial" w:cs="Arial" w:eastAsia="Arial" w:hAnsi="Arial"/>
          <w:sz w:val="18"/>
          <w:szCs w:val="18"/>
          <w:color w:val="auto"/>
        </w:rPr>
        <w:t>The efficiency ratio, “adjusted” operating expenses (determined by netting provisions for assets received in lieu of loan repayment, employee profit sharing expenses and non-recurrent expenses) as a percentage of total income, without extraordinary concepts, improve to 50.7% in the second quarter of 2004 having been 53.4% in the same period last year. “Adjusted” operating expenses as a percentage of average total assets decreased to 4.6% from 4.9%, in the same quarters.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I.3 ASSETS AND LIABILITIES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totals assets reached US$8.5 billion at June 30, 2004, increasing 3.0% since the end of March 2004, and are 3.8% higher than the balance at June 2003. The loan portfolio as of June 30, 2004 reached US$4.6 billion, growing 4.6% during the current quarter from US$4.4 billion in March 2004, and are also 0.5% higher compared to US$4.6 billion in June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and other obligations reached US$6.4 billion at June 30, 2004, increasing 2.3% over US$6.3 billion of last March 2004, and are 1.2% higher than the June 2003 balance. Due to banks and correspondents also grew, closing at US$374.2 million, increasing 46.7% during the current quarter and by 30.5% compared to the balance at June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funds under management decreased 4.0% during this quarter, to US$1.7 billion at the end of June 2004, but remain 13.9% higher than funds at June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20"/>
                <w:szCs w:val="20"/>
                <w:color w:val="auto"/>
              </w:rPr>
            </w:pPr>
            <w:r>
              <w:rPr>
                <w:rFonts w:ascii="Arial" w:cs="Arial" w:eastAsia="Arial" w:hAnsi="Arial"/>
                <w:sz w:val="18"/>
                <w:szCs w:val="18"/>
                <w:i w:val="1"/>
                <w:iCs w:val="1"/>
                <w:color w:val="auto"/>
              </w:rPr>
              <w:t>(In US$Mn)</w:t>
            </w:r>
          </w:p>
        </w:tc>
        <w:tc>
          <w:tcPr>
            <w:tcW w:w="4280" w:type="dxa"/>
            <w:vAlign w:val="bottom"/>
          </w:tcPr>
          <w:p>
            <w:pPr>
              <w:jc w:val="right"/>
              <w:ind w:right="652"/>
              <w:spacing w:after="0"/>
              <w:rPr>
                <w:sz w:val="20"/>
                <w:szCs w:val="20"/>
                <w:color w:val="auto"/>
              </w:rPr>
            </w:pPr>
            <w:r>
              <w:rPr>
                <w:rFonts w:ascii="Arial" w:cs="Arial" w:eastAsia="Arial" w:hAnsi="Arial"/>
                <w:sz w:val="18"/>
                <w:szCs w:val="18"/>
                <w:b w:val="1"/>
                <w:bCs w:val="1"/>
                <w:color w:val="auto"/>
              </w:rPr>
              <w:t>2Q03</w:t>
            </w:r>
          </w:p>
        </w:tc>
        <w:tc>
          <w:tcPr>
            <w:tcW w:w="1360" w:type="dxa"/>
            <w:vAlign w:val="bottom"/>
          </w:tcPr>
          <w:p>
            <w:pPr>
              <w:jc w:val="right"/>
              <w:ind w:right="632"/>
              <w:spacing w:after="0"/>
              <w:rPr>
                <w:sz w:val="20"/>
                <w:szCs w:val="20"/>
                <w:color w:val="auto"/>
              </w:rPr>
            </w:pPr>
            <w:r>
              <w:rPr>
                <w:rFonts w:ascii="Arial" w:cs="Arial" w:eastAsia="Arial" w:hAnsi="Arial"/>
                <w:sz w:val="18"/>
                <w:szCs w:val="18"/>
                <w:b w:val="1"/>
                <w:bCs w:val="1"/>
                <w:color w:val="auto"/>
              </w:rPr>
              <w:t>1Q04</w:t>
            </w:r>
          </w:p>
        </w:tc>
        <w:tc>
          <w:tcPr>
            <w:tcW w:w="1120" w:type="dxa"/>
            <w:vAlign w:val="bottom"/>
          </w:tcPr>
          <w:p>
            <w:pPr>
              <w:jc w:val="right"/>
              <w:ind w:right="392"/>
              <w:spacing w:after="0"/>
              <w:rPr>
                <w:sz w:val="20"/>
                <w:szCs w:val="20"/>
                <w:color w:val="auto"/>
              </w:rPr>
            </w:pPr>
            <w:r>
              <w:rPr>
                <w:rFonts w:ascii="Arial" w:cs="Arial" w:eastAsia="Arial" w:hAnsi="Arial"/>
                <w:sz w:val="18"/>
                <w:szCs w:val="18"/>
                <w:b w:val="1"/>
                <w:bCs w:val="1"/>
                <w:color w:val="auto"/>
              </w:rPr>
              <w:t>2Q04</w:t>
            </w:r>
          </w:p>
        </w:tc>
      </w:tr>
      <w:tr>
        <w:trPr>
          <w:trHeight w:val="110"/>
        </w:trPr>
        <w:tc>
          <w:tcPr>
            <w:tcW w:w="46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r>
        <w:trPr>
          <w:trHeight w:val="309"/>
        </w:trPr>
        <w:tc>
          <w:tcPr>
            <w:tcW w:w="4660" w:type="dxa"/>
            <w:vAlign w:val="bottom"/>
          </w:tcPr>
          <w:p>
            <w:pPr>
              <w:spacing w:after="0"/>
              <w:rPr>
                <w:sz w:val="20"/>
                <w:szCs w:val="20"/>
                <w:color w:val="auto"/>
              </w:rPr>
            </w:pPr>
            <w:r>
              <w:rPr>
                <w:rFonts w:ascii="Arial" w:cs="Arial" w:eastAsia="Arial" w:hAnsi="Arial"/>
                <w:sz w:val="18"/>
                <w:szCs w:val="18"/>
                <w:color w:val="auto"/>
              </w:rPr>
              <w:t>Total loans</w:t>
            </w:r>
          </w:p>
        </w:tc>
        <w:tc>
          <w:tcPr>
            <w:tcW w:w="4280" w:type="dxa"/>
            <w:vAlign w:val="bottom"/>
          </w:tcPr>
          <w:p>
            <w:pPr>
              <w:jc w:val="right"/>
              <w:ind w:right="152"/>
              <w:spacing w:after="0"/>
              <w:rPr>
                <w:sz w:val="20"/>
                <w:szCs w:val="20"/>
                <w:color w:val="auto"/>
              </w:rPr>
            </w:pPr>
            <w:r>
              <w:rPr>
                <w:rFonts w:ascii="Arial" w:cs="Arial" w:eastAsia="Arial" w:hAnsi="Arial"/>
                <w:sz w:val="18"/>
                <w:szCs w:val="18"/>
                <w:color w:val="auto"/>
              </w:rPr>
              <w:t>4,581.4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4,401.7</w:t>
            </w:r>
          </w:p>
        </w:tc>
        <w:tc>
          <w:tcPr>
            <w:tcW w:w="1120" w:type="dxa"/>
            <w:vAlign w:val="bottom"/>
          </w:tcPr>
          <w:p>
            <w:pPr>
              <w:jc w:val="right"/>
              <w:spacing w:after="0"/>
              <w:rPr>
                <w:sz w:val="20"/>
                <w:szCs w:val="20"/>
                <w:color w:val="auto"/>
              </w:rPr>
            </w:pPr>
            <w:r>
              <w:rPr>
                <w:rFonts w:ascii="Arial" w:cs="Arial" w:eastAsia="Arial" w:hAnsi="Arial"/>
                <w:sz w:val="18"/>
                <w:szCs w:val="18"/>
                <w:color w:val="auto"/>
              </w:rPr>
              <w:t>4,601.8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Past due loans</w:t>
            </w:r>
          </w:p>
        </w:tc>
        <w:tc>
          <w:tcPr>
            <w:tcW w:w="4280" w:type="dxa"/>
            <w:vAlign w:val="bottom"/>
          </w:tcPr>
          <w:p>
            <w:pPr>
              <w:jc w:val="right"/>
              <w:ind w:right="152"/>
              <w:spacing w:after="0"/>
              <w:rPr>
                <w:sz w:val="20"/>
                <w:szCs w:val="20"/>
                <w:color w:val="auto"/>
              </w:rPr>
            </w:pPr>
            <w:r>
              <w:rPr>
                <w:rFonts w:ascii="Arial" w:cs="Arial" w:eastAsia="Arial" w:hAnsi="Arial"/>
                <w:sz w:val="18"/>
                <w:szCs w:val="18"/>
                <w:color w:val="auto"/>
              </w:rPr>
              <w:t>360.1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249.8</w:t>
            </w:r>
          </w:p>
        </w:tc>
        <w:tc>
          <w:tcPr>
            <w:tcW w:w="1120" w:type="dxa"/>
            <w:vAlign w:val="bottom"/>
          </w:tcPr>
          <w:p>
            <w:pPr>
              <w:jc w:val="right"/>
              <w:spacing w:after="0"/>
              <w:rPr>
                <w:sz w:val="20"/>
                <w:szCs w:val="20"/>
                <w:color w:val="auto"/>
              </w:rPr>
            </w:pPr>
            <w:r>
              <w:rPr>
                <w:rFonts w:ascii="Arial" w:cs="Arial" w:eastAsia="Arial" w:hAnsi="Arial"/>
                <w:sz w:val="18"/>
                <w:szCs w:val="18"/>
                <w:color w:val="auto"/>
              </w:rPr>
              <w:t>222.5</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Loan loss reserves</w:t>
            </w:r>
          </w:p>
        </w:tc>
        <w:tc>
          <w:tcPr>
            <w:tcW w:w="4280" w:type="dxa"/>
            <w:vAlign w:val="bottom"/>
          </w:tcPr>
          <w:p>
            <w:pPr>
              <w:jc w:val="right"/>
              <w:ind w:right="152"/>
              <w:spacing w:after="0"/>
              <w:rPr>
                <w:sz w:val="20"/>
                <w:szCs w:val="20"/>
                <w:color w:val="auto"/>
              </w:rPr>
            </w:pPr>
            <w:r>
              <w:rPr>
                <w:rFonts w:ascii="Arial" w:cs="Arial" w:eastAsia="Arial" w:hAnsi="Arial"/>
                <w:sz w:val="18"/>
                <w:szCs w:val="18"/>
                <w:color w:val="auto"/>
              </w:rPr>
              <w:t>407.1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313.6</w:t>
            </w:r>
          </w:p>
        </w:tc>
        <w:tc>
          <w:tcPr>
            <w:tcW w:w="1120" w:type="dxa"/>
            <w:vAlign w:val="bottom"/>
          </w:tcPr>
          <w:p>
            <w:pPr>
              <w:jc w:val="right"/>
              <w:spacing w:after="0"/>
              <w:rPr>
                <w:sz w:val="20"/>
                <w:szCs w:val="20"/>
                <w:color w:val="auto"/>
              </w:rPr>
            </w:pPr>
            <w:r>
              <w:rPr>
                <w:rFonts w:ascii="Arial" w:cs="Arial" w:eastAsia="Arial" w:hAnsi="Arial"/>
                <w:sz w:val="18"/>
                <w:szCs w:val="18"/>
                <w:color w:val="auto"/>
              </w:rPr>
              <w:t>293.3</w:t>
            </w:r>
          </w:p>
        </w:tc>
      </w:tr>
      <w:tr>
        <w:trPr>
          <w:trHeight w:val="453"/>
        </w:trPr>
        <w:tc>
          <w:tcPr>
            <w:tcW w:w="4660" w:type="dxa"/>
            <w:vAlign w:val="bottom"/>
          </w:tcPr>
          <w:p>
            <w:pPr>
              <w:spacing w:after="0"/>
              <w:rPr>
                <w:sz w:val="20"/>
                <w:szCs w:val="20"/>
                <w:color w:val="auto"/>
              </w:rPr>
            </w:pPr>
            <w:r>
              <w:rPr>
                <w:rFonts w:ascii="Arial" w:cs="Arial" w:eastAsia="Arial" w:hAnsi="Arial"/>
                <w:sz w:val="18"/>
                <w:szCs w:val="18"/>
                <w:color w:val="auto"/>
              </w:rPr>
              <w:t>Past due / Total loans</w:t>
            </w:r>
          </w:p>
        </w:tc>
        <w:tc>
          <w:tcPr>
            <w:tcW w:w="4280" w:type="dxa"/>
            <w:vAlign w:val="bottom"/>
          </w:tcPr>
          <w:p>
            <w:pPr>
              <w:jc w:val="right"/>
              <w:ind w:right="152"/>
              <w:spacing w:after="0"/>
              <w:rPr>
                <w:sz w:val="20"/>
                <w:szCs w:val="20"/>
                <w:color w:val="auto"/>
              </w:rPr>
            </w:pPr>
            <w:r>
              <w:rPr>
                <w:rFonts w:ascii="Arial" w:cs="Arial" w:eastAsia="Arial" w:hAnsi="Arial"/>
                <w:sz w:val="18"/>
                <w:szCs w:val="18"/>
                <w:color w:val="auto"/>
              </w:rPr>
              <w:t>7.9%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5.7%</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Reserves / Past due</w:t>
            </w:r>
          </w:p>
        </w:tc>
        <w:tc>
          <w:tcPr>
            <w:tcW w:w="4280" w:type="dxa"/>
            <w:vAlign w:val="bottom"/>
          </w:tcPr>
          <w:p>
            <w:pPr>
              <w:jc w:val="right"/>
              <w:ind w:right="152"/>
              <w:spacing w:after="0"/>
              <w:rPr>
                <w:sz w:val="20"/>
                <w:szCs w:val="20"/>
                <w:color w:val="auto"/>
              </w:rPr>
            </w:pPr>
            <w:r>
              <w:rPr>
                <w:rFonts w:ascii="Arial" w:cs="Arial" w:eastAsia="Arial" w:hAnsi="Arial"/>
                <w:sz w:val="18"/>
                <w:szCs w:val="18"/>
                <w:color w:val="auto"/>
              </w:rPr>
              <w:t>113.1%</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125.5%</w:t>
            </w:r>
          </w:p>
        </w:tc>
        <w:tc>
          <w:tcPr>
            <w:tcW w:w="112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110"/>
        </w:trPr>
        <w:tc>
          <w:tcPr>
            <w:tcW w:w="466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-1007110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-1007110</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-1007110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-1007110</wp:posOffset>
            </wp:positionV>
            <wp:extent cx="3429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-20955</wp:posOffset>
            </wp:positionV>
            <wp:extent cx="3429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balance of past due loans decreased from US$249.8 million to US$222.5 million during the current quarter partly due to charge-offs amounting to US$22.6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I.4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Banco de Crédito de Bolivia ("BCB"), Bolivia</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Bolivian GDP grew 3.8% in first quarter 2004, higher than 2.5% in fourth quarter 2003, mainly due to increased exports of minerals, oil and gas, and agricultural products. Cumulative through May 2004, exports grew 31%, higher than the 20% growth in total 2003. Nevertheless, domestic demand and imports continue depressed, and are causing trade surpluses. It is expected that GDP will grow approximately 3.5% in 2004, with continued development of exports, with domestic demand and consumption remaining stagnant.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Public sector revenue increased 25.6% as of April 2004, higher than expenditure increase of 17.0%, as fiscal austerity measures were applied to reduce the deficit. After the budget deficits of 9% of GDP in 2002 and 8% in 2003, a 7% deficit is expected in 2004. In July, the government successfully conducted a referendum that authorized the export of the natural gas of Tarija.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Continuing with a slight tendency to increase, inflation was 1.2% in the second quarter 2004, and was 1.7% in first-half 2004, higher than 0.5% and 0.8% in the same year-ago periods. Devaluation continued at a slower pace with a 0.4% exchange rate increase in the current quarter and 1.5% in first-half 2004, reaching 7.93 Bolivianos per Dollar at June 30,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Uncertainty brought by the application of the financial transactions tax since July, total deposits in the system declined to US$2,398 million at June 2004, which are lower by 6.4% compared to the balance at March 2004, and are 11.6% below deposits at June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Loan volume in the banking system remained almost unchanged during the current quarter at US$2,464 million as of June 2004, but are 3.4% lower than loans at December 2003, and 6.1% lower than the June 2003 balances. Loan quality improved, from a past due ratio of 18.2% in March 2004, to 17.6% at June 2004, but remains over 16.7% past-due in December 2003. The coverage of past-due loans with provisions remained approximately at 70.8% during this quarter, which is below coverage of 74.0% in December 2003.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BCB’s market share in deposits at June 2004 was 12.9%, increasing sligthly from 12.5% at the end of December 2003 and of June 2003. In terms of loans, BCB had a 12.0% market share, below 12.2% it had last December, but remains similar to the market share of 12.1% at June 2003. In this way, BCB remained in the fourth position of twelve banks in the system.</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2004, BCB had total loans of US$295.9 million which compares to the US$309.9 million at December 2003, and US$315.1 million at the end of June 2003. Loan quality continued to improve. At the end of the second quarter 2004, BCB’s past due loans reached US$48.9 million, or 16.5% of total loans, lower than 19.2% at March 2004. Coverage of past due loans with loan loss provisions was 76.3% as of June 2004, increasing from 75.5% in March 2004. Net equity at the Bolivian subsidiary amounted to US$56.4 million as of June 2004.</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first-half 2004, loan loss provisions resulted in a US$0.1 million gain due to recoveries, compared to US$2.7 million charged against results during first-half 2003. In BCB’s own records, first-half 2004 net income was US$1.5 million, compared to US$0.5 million in the same year-go period.</w:t>
      </w:r>
    </w:p>
    <w:p>
      <w:pPr>
        <w:sectPr>
          <w:pgSz w:w="11900" w:h="16838" w:orient="portrait"/>
          <w:cols w:equalWidth="0" w:num="1">
            <w:col w:w="11420"/>
          </w:cols>
          <w:pgMar w:left="240" w:top="131" w:right="239" w:bottom="128"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Banco Tequendama, Colombia</w:t>
      </w:r>
    </w:p>
    <w:p>
      <w:pPr>
        <w:sectPr>
          <w:pgSz w:w="11900" w:h="16838" w:orient="portrait"/>
          <w:cols w:equalWidth="0" w:num="1">
            <w:col w:w="11420"/>
          </w:cols>
          <w:pgMar w:left="240" w:top="131" w:right="239" w:bottom="128" w:gutter="0" w:footer="0" w:header="0"/>
          <w:type w:val="continuous"/>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Colombian GDP grew 4.1% in the first quarter of 2004, after growing 4.3% in the last quarter of 2003, while industrial production increased 4.6%, confirming the recovery of economic activity which exceeds initial outlooks. Expected GDP growth for total 2004 has been raised slightly over 4%, where consumption is also expected to recover. In full-year 2003 GDP grew 3.6% and 1.7% in 2002.</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recovery in first quarter 2004 is noted in the construction sector (12%), due to low interest rates and the support of housing programs, and of the financial sector (7.5%), that increased its loans and the return on its investments.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consolidated fiscal deficit was 0.3% of GDP in first quarter 2004, below the 0.5% target, due to higher tax revenue from the improved economic activity and better results in state run companies. The fiscal deficit is expected to decrease from 2.9% in total 2003 to 2.5% in 2004. The government continues seeking complementary fiscal measures to ensure the lower deficit, among which the pension reform proposal is noteworthy.</w:t>
      </w:r>
    </w:p>
    <w:p>
      <w:pPr>
        <w:spacing w:after="0" w:line="16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Colombian Peso exchange rate was volatile during the second quarter 2004 because of the increase of the international interest rates. The exchange rate was Col$2,694 per US$1 at the end of June 2004, almost unchanged compared to Col$2,682 at March 2004. The Central Bank has applied various measures to stop the appreciation of the Peso, with little success, like the tax on short term capital flows and the fifty basis point reduction of the Central Bank’s intervention rate.</w:t>
      </w:r>
    </w:p>
    <w:p>
      <w:pPr>
        <w:spacing w:after="0" w:line="14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second quarter 2004 prices increased 1.5%, slightly below 1.6% in the same period of 2003, but higher than expected, due to increases in the prices of oil, energy and food. Inflation was 6.1% in the twelve months prior to June 2004, and of 6.5% in total 2003. In 2004 inflation is expected to continue decreasing to the target 5.5%, in spite of high oil prices and aided by the appreciating exchange rate, fiscal controls and by higher economic activity.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Banking system statistics show that loans increased 6.4%, from US$15.8 billion at December 2003, to US$16.8 billion at the close of May 2004, with the past-due ratio improving from 12.7% at year-end 2002, to 9.7% in December 2003, and further to 9.4% in May 2004. The coverage ratio of loan provisions over bad loans also improved, from 70.1% at December 2003 to 73.2% in May 2004. Total deposits in the banking entities were US$21.9 billion at the end of May 2004, increasing 6.9% from US$20.5 billion at December 2003, continuing their recovery.</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Tequendama’s loan market share, as of May 2004, was 1.48%, slightly over 1.44% obtained in December 2003. At the same dates, deposit market share was 0.78% and 0.90%, respectively.</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June 30, 2004, Banco Tequendama’s loans were US$261.5 million, increasing 12.7% from US$232.1 million in December 2003, and 18.3% compared to US$221.0 million as of June 2003. At the end of June 2004, deposits totaled US$192.4 million, higher than US$187.5 million in December 2003, and is 11.7% over US$172.2 million at the year-ago quarter. At June 30, 2004, the bank’s net equity amounted to US$29.8 million according to Credicorp’s accounting records.</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past due loan ratio was 2.2% in June 2004, higher than 1.1% at the end of December 2003 and 2.0% at June 2003, while coverage with provisions was 135.0%, compared to 238.2% and 122.4%,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I.5 PERUVIAN ECONOMIC SITUATION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second quarter 2004 Peruvian GDP continued its positive trend, which has caused continued growth during the last three years, and, moreover, the slowdown noted since the second half of 2003 has turned to higher growth rates. The better than expected GDP performance is driven by increased activity of non-primary sectors and by high international demand for exports which raised its prices.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GDP grew 4.6% in the first quarter of 2004 (6.3% in 1Q03), and by 3.3% in April and 4.2% in May, with a cumulative growth of 4.2% in the first five months of 2004, compared to 4.7% in the same year-ago period. Official estimates put 2004 GDP growth at 4.3%, increasing from the previous 4% outlook.</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Cumulative GDP growth through May 2004 benefited mainly from: 1) the continuing strength of metals mining, with a 10.9% increase, although with a declining trend due to maturity of major projects; 2) the recovery of fishing, which grew 16.4%; 3) the construction sector, that grew 5.5%; and, non-primary manufacturing, up by 6.2%. On the other hand, production was poor on the agricultural sector, which declined 2.9% through May, due to lack of rainfall.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Finance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first quarter 2004, the Public Sector budget had a surplus of 0.7% (of GDP), and it is expected to reach 0.6% in first-half 2004. The government expects to meet the target deficit of 1.5% for total 2004, improving from the 1.8% deficit in total 2003, which in turn decreased form 2.3% in 2002. The positive result in first quarter 2004 was mainly due to increased Central Government tax revenue that reached 13.3% of GDP (12.9% in total 2003) and to lower public investment expenditures.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Cumulative through May 2004, tax collections increased 13.6%, in nominal terms, noting a 25% increase of Income Tax revenue from corporations and the 17% growth in case of the value-added tax (IGV), which increased mainly due to administrative measures and improved business conditions. Non-financial expenses increased 4.6% (nominal), while capital expenses declined by 23.4%.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Prices and Devaluation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second quarter of 2004, the consumer price index in Peru increased 0.9%, lower than the 2.1% increase in the preceding first quarter, but is also over 0.6% inflation in the year-ago second quarter of 2003. Inflation was 3.0% in first-half 2004, and 4.3% in the twelve month period through June 2004. Inflation exceeded expectations principally due to higher fuel prices and increased food prices caused by temporary factors, noting higher cost imported wheat and the poor supply of agricultural products due to draught. Inflation is exceeding the range, 1.5% to 3.5%, targeted by the Central Bank for total 2004, therefore measures to lower it are expected.</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wholesale price index increased 1.9% in the current quarter, and 4.8% in first-half 2004, compared to a –0.7% (deflation) and 0.4% in the same periods in 2003. Wholesale prices increased 6.4% in the twelve months through June 2004. In the second quarter, wholesale prices increased mainly due to higher cost of imported intermediate goods.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average bank market Nuevos Soles exchange rate in Peru was S/.3.471 at June 30, 2004, increasing slightly 0.3% from S/.3.460 at the end of March 2004, but remains unchanged compared to June 2003. To avoid the strengthening of the currency, the Central Bank increased the purchase of foreign exchange in the currency market, which is sterilized with the sale of certificates of deposits, acquiring US$820 million in first-half 2004, after purchasing US$1,050 million during total 2003. Due to increasing inflation it is not expected that the Central Bank will keep the high volume of purchases.</w:t>
      </w:r>
    </w:p>
    <w:p>
      <w:pPr>
        <w:sectPr>
          <w:pgSz w:w="11900" w:h="16838" w:orient="portrait"/>
          <w:cols w:equalWidth="0" w:num="1">
            <w:col w:w="11420"/>
          </w:cols>
          <w:pgMar w:left="240" w:top="131"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International Reserves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International reserves of the Central Bank increased during second quarter 2004, reaching US$10,855 million at June 30, 2004 from US$10,411 million at March 31, 2004, and also compared to US$9,997 million at June 30, 2003.</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Trade Balance had a US$826 million cumulative surplus through May 2004, increasing compared to a US$50 million surplus in the same five month period of 2003. The improvement continues the positive trend noted in 2002, when the surplus reached US$503 million and in 2003 when the surplus grew to US$710 million. Cumulative through May 2004, exports grew 33% versus a 10% increase in imports. Exports, which reached US$4,536 million as of May 2004, grow on increased volume and prices, specially of copper and gold, and non-traditional textiles and agricultural exports. Imports through May 2004 amounted to US$3,710 million, increasing mainly due to higher imports of raw materials and durable goods, while consumer goods declined.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System</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current quarter commercial bank’s loan and deposit volumes increased, reversing the losses shown last March. Deposits at June 30, 2004 in the fourteen commercial banks in the system reached S/.48.2 billion (US$13.9 billion), according to the Asociación de Bancos del Peru (ASBANC), increasing 2.1%, in nominal terms, compared to the balance at March 31, 2004. Deposits remained almost unchanged compared to the year-ago balance at June 30, 2003.</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2004, total loans in the banking system increased 4.3%, in nominal terms, to S/.36.4 billion (US$10.5 billion), compared to loans at March 31, 2004, but are similar to June 30, 2003 loan balances. In the current quarter, local currency loans (22.0% of total loans) remained almost unchanged at S/.8.0 billion (US$2.3 billion), while foreign currency loans increased 5.9% to US$8.2 billion.</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June 30, 2004, the Peruvian bank's past due ratio was 5.1%, improving from the 5.8% rate in March 31, 2004 and from 7.9% in June 30, 2003. Commercial banks’ past due loans decreased 8.0% during the current quarter to S/.1.9 billion (US$537 million), and are lower by 34.8% compared to bad loans at June 30, 2003. At June 30, 2004, loan loss provisions were S/.2.8 billion (US$798 million), decreasing 4.8% during this quarter. The system-wide past due loan coverage ratio was 148.5% at June 30, 2004, higher than the 143.5% coverage at March 31, 2004, and is also higher than the ratio of 128.0% at June 30, 2003.</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second quarter 2004 commercial banks’ interest rates had mixed trends, with increases in loan rates while deposit rates remained almost unchanged. Local currency average loan rates (TAMN) were 24.6% in second quarter 2004, increasing from 24.1% in the first quarter of 2004, while deposits rates (TIPMN) remained 2.4%. In the second quarter 2003, TAMN was 20.2% and TIPMN was 3.3%. During the second quarter 2004 foreign currency loan rates (TAMEX) decreased to 8.9% from 9.3% in the preceding quarter, while deposit rates (TIPMEX) remained at 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Pension Funds and Mutual Funds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After high growth rates in prior quarters, managed assets in private pension funds and mutual funds suffered declines due to volatility of prices and valuations in capital markets and to the increase in interest rates. The private pension fund assets reached US$6.8 billion as of June 30, 2004, remaining almost unchanged during the current quarter, but is 29% higher than funds at June 2003, with a return of 11% in real terms in the twelve month period.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mutual funds amounted to US$1.9 billion at the end of the second quarter 2004, decreasing 9.1% in the quarter, but is still 3.3% over the balance at June 2003, with a return of 1.0% in the quarter and of 2.5% during the year since June 2003 (in Dollar terms).</w:t>
      </w:r>
    </w:p>
    <w:p>
      <w:pPr>
        <w:sectPr>
          <w:pgSz w:w="11900" w:h="16838" w:orient="portrait"/>
          <w:cols w:equalWidth="0" w:num="1">
            <w:col w:w="11420"/>
          </w:cols>
          <w:pgMar w:left="240" w:top="131" w:right="239" w:bottom="1440" w:gutter="0" w:footer="0" w:header="0"/>
        </w:sectPr>
      </w:pPr>
    </w:p>
    <w:bookmarkStart w:id="6" w:name="page7"/>
    <w:bookmarkEnd w:id="6"/>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II.1 NET INCOME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in the six month period ended in June 30, 2004 reached S/.150.8 million (US$43.4 million), 26.3% higher than net income of S/.119.4 million (US$34.4 million) in first-half 2003, meaning S/.0.12 and S/.0.10 per share, respectively. Improved net income in first semester 2004 is mainly due to lower loan loss provisions and to lower non-financial expenses required by the mergers with BSCH-Perú and Solución Financiera de Crédito. Nevertheless, cumulative through June 2004, lower financial and non-financial income are also noted.</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income in the second quarter 2004 was S/.82.4 million (US$23.7 million), decreasing compared with net income of S/.106.4 million (US$30.7 million) in the same quarter in 2003, but increases compared to net income in the preceding first quarter of 2004 that reached S/.68.4 million (US$19.7 million). Net income in the current quarter decreased compared to the year-ago period principally due to lower net interest income and to losses on inflation adjustment and on the securities portfolio. These adverse effects were partly offset with lower loan loss provisions and lower operating expenses.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spite of the loan increase in second quarter 2004, after declining continuously since the fourth quarter of 2002, interest income is lower mainly because of decreased loan volume and to lower net interest margins. Additionally, it should be noted that in first-half 2003 non-recurring gains related to the merger of BSCH-Perú were registered.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RESULTS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constant S/. and U.S.$ millions,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59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00" w:type="dxa"/>
            <w:vAlign w:val="bottom"/>
            <w:gridSpan w:val="2"/>
          </w:tcPr>
          <w:p>
            <w:pPr>
              <w:jc w:val="right"/>
              <w:ind w:right="432"/>
              <w:spacing w:after="0"/>
              <w:rPr>
                <w:sz w:val="20"/>
                <w:szCs w:val="20"/>
                <w:color w:val="auto"/>
              </w:rPr>
            </w:pPr>
            <w:r>
              <w:rPr>
                <w:rFonts w:ascii="Arial" w:cs="Arial" w:eastAsia="Arial" w:hAnsi="Arial"/>
                <w:sz w:val="18"/>
                <w:szCs w:val="18"/>
                <w:b w:val="1"/>
                <w:bCs w:val="1"/>
                <w:color w:val="auto"/>
                <w:w w:val="99"/>
              </w:rPr>
              <w:t>Three months ended</w:t>
            </w:r>
          </w:p>
        </w:tc>
        <w:tc>
          <w:tcPr>
            <w:tcW w:w="1120" w:type="dxa"/>
            <w:vAlign w:val="bottom"/>
          </w:tcPr>
          <w:p>
            <w:pPr>
              <w:spacing w:after="0"/>
              <w:rPr>
                <w:sz w:val="19"/>
                <w:szCs w:val="19"/>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960" w:type="dxa"/>
            <w:vAlign w:val="bottom"/>
          </w:tcPr>
          <w:p>
            <w:pPr>
              <w:spacing w:after="0"/>
              <w:rPr>
                <w:sz w:val="19"/>
                <w:szCs w:val="19"/>
                <w:color w:val="auto"/>
              </w:rPr>
            </w:pPr>
          </w:p>
        </w:tc>
      </w:tr>
      <w:tr>
        <w:trPr>
          <w:trHeight w:val="124"/>
        </w:trPr>
        <w:tc>
          <w:tcPr>
            <w:tcW w:w="3440" w:type="dxa"/>
            <w:vAlign w:val="bottom"/>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r>
        <w:trPr>
          <w:trHeight w:val="316"/>
        </w:trPr>
        <w:tc>
          <w:tcPr>
            <w:tcW w:w="3440" w:type="dxa"/>
            <w:vAlign w:val="bottom"/>
          </w:tcPr>
          <w:p>
            <w:pPr>
              <w:spacing w:after="0"/>
              <w:rPr>
                <w:sz w:val="24"/>
                <w:szCs w:val="24"/>
                <w:color w:val="auto"/>
              </w:rPr>
            </w:pPr>
          </w:p>
        </w:tc>
        <w:tc>
          <w:tcPr>
            <w:tcW w:w="1280" w:type="dxa"/>
            <w:vAlign w:val="bottom"/>
          </w:tcPr>
          <w:p>
            <w:pPr>
              <w:jc w:val="right"/>
              <w:ind w:right="312"/>
              <w:spacing w:after="0"/>
              <w:rPr>
                <w:sz w:val="20"/>
                <w:szCs w:val="20"/>
                <w:color w:val="auto"/>
              </w:rPr>
            </w:pPr>
            <w:r>
              <w:rPr>
                <w:rFonts w:ascii="Arial" w:cs="Arial" w:eastAsia="Arial" w:hAnsi="Arial"/>
                <w:sz w:val="18"/>
                <w:szCs w:val="18"/>
                <w:b w:val="1"/>
                <w:bCs w:val="1"/>
                <w:color w:val="auto"/>
              </w:rPr>
              <w:t>30.06.03</w:t>
            </w:r>
          </w:p>
        </w:tc>
        <w:tc>
          <w:tcPr>
            <w:tcW w:w="1140" w:type="dxa"/>
            <w:vAlign w:val="bottom"/>
          </w:tcPr>
          <w:p>
            <w:pPr>
              <w:jc w:val="right"/>
              <w:ind w:right="312"/>
              <w:spacing w:after="0"/>
              <w:rPr>
                <w:sz w:val="20"/>
                <w:szCs w:val="20"/>
                <w:color w:val="auto"/>
              </w:rPr>
            </w:pPr>
            <w:r>
              <w:rPr>
                <w:rFonts w:ascii="Arial" w:cs="Arial" w:eastAsia="Arial" w:hAnsi="Arial"/>
                <w:sz w:val="18"/>
                <w:szCs w:val="18"/>
                <w:b w:val="1"/>
                <w:bCs w:val="1"/>
                <w:color w:val="auto"/>
              </w:rPr>
              <w:t>31.03.04</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30.06.04</w:t>
            </w:r>
          </w:p>
        </w:tc>
        <w:tc>
          <w:tcPr>
            <w:tcW w:w="112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30.06.04</w:t>
            </w:r>
          </w:p>
        </w:tc>
        <w:tc>
          <w:tcPr>
            <w:tcW w:w="114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30.06.03</w:t>
            </w:r>
          </w:p>
        </w:tc>
        <w:tc>
          <w:tcPr>
            <w:tcW w:w="1180" w:type="dxa"/>
            <w:vAlign w:val="bottom"/>
          </w:tcPr>
          <w:p>
            <w:pPr>
              <w:jc w:val="right"/>
              <w:ind w:right="352"/>
              <w:spacing w:after="0"/>
              <w:rPr>
                <w:sz w:val="20"/>
                <w:szCs w:val="20"/>
                <w:color w:val="auto"/>
              </w:rPr>
            </w:pPr>
            <w:r>
              <w:rPr>
                <w:rFonts w:ascii="Arial" w:cs="Arial" w:eastAsia="Arial" w:hAnsi="Arial"/>
                <w:sz w:val="18"/>
                <w:szCs w:val="18"/>
                <w:b w:val="1"/>
                <w:bCs w:val="1"/>
                <w:color w:val="auto"/>
              </w:rPr>
              <w:t>30.06.04</w:t>
            </w:r>
          </w:p>
        </w:tc>
        <w:tc>
          <w:tcPr>
            <w:tcW w:w="960" w:type="dxa"/>
            <w:vAlign w:val="bottom"/>
          </w:tcPr>
          <w:p>
            <w:pPr>
              <w:jc w:val="right"/>
              <w:ind w:right="172"/>
              <w:spacing w:after="0"/>
              <w:rPr>
                <w:sz w:val="20"/>
                <w:szCs w:val="20"/>
                <w:color w:val="auto"/>
              </w:rPr>
            </w:pPr>
            <w:r>
              <w:rPr>
                <w:rFonts w:ascii="Arial" w:cs="Arial" w:eastAsia="Arial" w:hAnsi="Arial"/>
                <w:sz w:val="18"/>
                <w:szCs w:val="18"/>
                <w:b w:val="1"/>
                <w:bCs w:val="1"/>
                <w:color w:val="auto"/>
                <w:w w:val="96"/>
              </w:rPr>
              <w:t>30.06.04</w:t>
            </w:r>
          </w:p>
        </w:tc>
      </w:tr>
      <w:tr>
        <w:trPr>
          <w:trHeight w:val="110"/>
        </w:trPr>
        <w:tc>
          <w:tcPr>
            <w:tcW w:w="34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r>
        <w:trPr>
          <w:trHeight w:val="309"/>
        </w:trPr>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US$</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US$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Net interest income</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302.5</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267.4</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263.4</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$75.9</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602.4</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530.7</w:t>
            </w:r>
          </w:p>
        </w:tc>
        <w:tc>
          <w:tcPr>
            <w:tcW w:w="960" w:type="dxa"/>
            <w:vAlign w:val="bottom"/>
          </w:tcPr>
          <w:p>
            <w:pPr>
              <w:jc w:val="right"/>
              <w:spacing w:after="0"/>
              <w:rPr>
                <w:sz w:val="20"/>
                <w:szCs w:val="20"/>
                <w:color w:val="auto"/>
              </w:rPr>
            </w:pPr>
            <w:r>
              <w:rPr>
                <w:rFonts w:ascii="Arial" w:cs="Arial" w:eastAsia="Arial" w:hAnsi="Arial"/>
                <w:sz w:val="18"/>
                <w:szCs w:val="18"/>
                <w:color w:val="auto"/>
              </w:rPr>
              <w:t>$152.9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Provisions for loan losses, net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70.5</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20.6</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193.2</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68.6</w:t>
            </w: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income</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224.0</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205.6</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$59.2</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487.7</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432.2</w:t>
            </w:r>
          </w:p>
        </w:tc>
        <w:tc>
          <w:tcPr>
            <w:tcW w:w="960" w:type="dxa"/>
            <w:vAlign w:val="bottom"/>
          </w:tcPr>
          <w:p>
            <w:pPr>
              <w:jc w:val="right"/>
              <w:spacing w:after="0"/>
              <w:rPr>
                <w:sz w:val="20"/>
                <w:szCs w:val="20"/>
                <w:color w:val="auto"/>
              </w:rPr>
            </w:pPr>
            <w:r>
              <w:rPr>
                <w:rFonts w:ascii="Arial" w:cs="Arial" w:eastAsia="Arial" w:hAnsi="Arial"/>
                <w:sz w:val="18"/>
                <w:szCs w:val="18"/>
                <w:color w:val="auto"/>
              </w:rPr>
              <w:t>$124.5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Other expenses</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314.5</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306.9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307.0</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645.7</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613.9</w:t>
            </w:r>
          </w:p>
        </w:tc>
        <w:tc>
          <w:tcPr>
            <w:tcW w:w="96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Merger costs</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7.4</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64.2</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11.4</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(16.8)</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(52.4)</w:t>
            </w: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138.0</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119.7</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$34.5</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164.5</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216.6</w:t>
            </w: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Income Tax</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31.6</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37.3</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$10.8</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45.1</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65.9</w:t>
            </w: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2"/>
        </w:trPr>
        <w:tc>
          <w:tcPr>
            <w:tcW w:w="3440" w:type="dxa"/>
            <w:vAlign w:val="bottom"/>
          </w:tcPr>
          <w:p>
            <w:pPr>
              <w:ind w:left="1300"/>
              <w:spacing w:after="0"/>
              <w:rPr>
                <w:sz w:val="20"/>
                <w:szCs w:val="20"/>
                <w:color w:val="auto"/>
              </w:rPr>
            </w:pPr>
            <w:r>
              <w:rPr>
                <w:rFonts w:ascii="Arial" w:cs="Arial" w:eastAsia="Arial" w:hAnsi="Arial"/>
                <w:sz w:val="18"/>
                <w:szCs w:val="18"/>
                <w:b w:val="1"/>
                <w:bCs w:val="1"/>
                <w:color w:val="auto"/>
              </w:rPr>
              <w:t>Net Income</w:t>
            </w:r>
          </w:p>
        </w:tc>
        <w:tc>
          <w:tcPr>
            <w:tcW w:w="1280" w:type="dxa"/>
            <w:vAlign w:val="bottom"/>
          </w:tcPr>
          <w:p>
            <w:pPr>
              <w:jc w:val="right"/>
              <w:ind w:right="52"/>
              <w:spacing w:after="0"/>
              <w:rPr>
                <w:sz w:val="20"/>
                <w:szCs w:val="20"/>
                <w:color w:val="auto"/>
              </w:rPr>
            </w:pPr>
            <w:r>
              <w:rPr>
                <w:rFonts w:ascii="Arial" w:cs="Arial" w:eastAsia="Arial" w:hAnsi="Arial"/>
                <w:sz w:val="18"/>
                <w:szCs w:val="18"/>
                <w:b w:val="1"/>
                <w:bCs w:val="1"/>
                <w:color w:val="auto"/>
              </w:rPr>
              <w:t>106.4</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68.4</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82.4</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$23.7</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119.4</w:t>
            </w:r>
          </w:p>
        </w:tc>
        <w:tc>
          <w:tcPr>
            <w:tcW w:w="1180" w:type="dxa"/>
            <w:vAlign w:val="bottom"/>
          </w:tcPr>
          <w:p>
            <w:pPr>
              <w:jc w:val="right"/>
              <w:ind w:right="92"/>
              <w:spacing w:after="0"/>
              <w:rPr>
                <w:sz w:val="20"/>
                <w:szCs w:val="20"/>
                <w:color w:val="auto"/>
              </w:rPr>
            </w:pPr>
            <w:r>
              <w:rPr>
                <w:rFonts w:ascii="Arial" w:cs="Arial" w:eastAsia="Arial" w:hAnsi="Arial"/>
                <w:sz w:val="18"/>
                <w:szCs w:val="18"/>
                <w:b w:val="1"/>
                <w:bCs w:val="1"/>
                <w:color w:val="auto"/>
              </w:rPr>
              <w:t>150.8</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$43.4</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0.09</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0.07</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0.10</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0.12</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-1880235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-1880235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-1880235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-1880235</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-1880235</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-1880235</wp:posOffset>
            </wp:positionV>
            <wp:extent cx="342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-1880235</wp:posOffset>
            </wp:positionV>
            <wp:extent cx="3429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2162175</wp:posOffset>
            </wp:positionH>
            <wp:positionV relativeFrom="paragraph">
              <wp:posOffset>-1597025</wp:posOffset>
            </wp:positionV>
            <wp:extent cx="3429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-1597025</wp:posOffset>
            </wp:positionV>
            <wp:extent cx="3429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-1597025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4349115</wp:posOffset>
            </wp:positionH>
            <wp:positionV relativeFrom="paragraph">
              <wp:posOffset>-1597025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-1597025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-1597025</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-1597025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-1597025</wp:posOffset>
            </wp:positionV>
            <wp:extent cx="3429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ind w:left="600" w:hanging="592"/>
        <w:spacing w:after="0" w:line="254" w:lineRule="auto"/>
        <w:tabs>
          <w:tab w:leader="none" w:pos="6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prepared according to Peruvian GAAP. The financial information is in constant soles as of June 30, 2004. Figures in US$ have been translated at the exchange rate of S/.3.471 to the dollar.</w:t>
      </w:r>
    </w:p>
    <w:p>
      <w:pPr>
        <w:ind w:left="600" w:hanging="592"/>
        <w:spacing w:after="0"/>
        <w:tabs>
          <w:tab w:leader="none" w:pos="6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1,226 million outstanding shares in all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II.2 NET INTEREST INCOME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Interest income, net of interest payments, in the second quarter of 2004 reached S/.263.4 million (US$75.9 million), 12.9% lower compared to net interest income in the same period of last year, but it remained similar to net interest income in the preceding first quarter of 2004. Decreased net interest income is mostly due to continuous fall in average interest earning assets, in spite of recent loan growth, together with lower interest margins.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 earning assets reached S/.20,719 million (US$5,969 million) at the end of June 2004, a decline of 7.9% comparing with the second quarter of last year, while they are 0.8% lower than average assets in first quarter 2004. In the current quarter BCP continued its persistent excess liquidity environment in both local and foreign currencies.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second quarter of 2004, the net interest margin was 5.08%, slightly under 5.12% in the preceding first quarter, but declines from 5.38% during the second quarter of 2003. During the current quarter the margin declined mostly due to higher foreign currency loans, which have lower margins than local currency loans, which decreased. Both loan and deposit rates remained almost unchanged during the current quarter.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II.3 NON-INTEREST INCOME</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Non-interest income, which include fee revenue and other non-interest items, in the second quarter of 2004 amounted to S/.205.6 million (US$59.2 million), lower than S/.224.0 million (US$64.5 million) earned during the same period of 2003, mostly due to losses on the securities portfolio.</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second quarter of 2004, fees from banking services amounted to S/.161.0 million (US$46.4 million), 4.6% lower than in the same period of 2003, due to lower revenue in various concepts. In the quarter,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4020" w:type="dxa"/>
            <w:vAlign w:val="bottom"/>
          </w:tcPr>
          <w:p>
            <w:pPr>
              <w:jc w:val="right"/>
              <w:ind w:right="652"/>
              <w:spacing w:after="0"/>
              <w:rPr>
                <w:sz w:val="20"/>
                <w:szCs w:val="20"/>
                <w:color w:val="auto"/>
              </w:rPr>
            </w:pPr>
            <w:r>
              <w:rPr>
                <w:rFonts w:ascii="Arial" w:cs="Arial" w:eastAsia="Arial" w:hAnsi="Arial"/>
                <w:sz w:val="18"/>
                <w:szCs w:val="18"/>
                <w:b w:val="1"/>
                <w:bCs w:val="1"/>
                <w:color w:val="auto"/>
              </w:rPr>
              <w:t>2Q03</w:t>
            </w: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2Q04</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Growth</w:t>
            </w:r>
          </w:p>
        </w:tc>
      </w:tr>
      <w:tr>
        <w:trPr>
          <w:trHeight w:val="110"/>
        </w:trPr>
        <w:tc>
          <w:tcPr>
            <w:tcW w:w="492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Savings accounts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22.9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21.9</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Demand deposits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20.1</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21.5</w:t>
            </w: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Credit cards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21.6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19.5</w:t>
            </w: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Fund transfer services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13.3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14.4</w:t>
            </w: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Collections fees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13.0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12.7</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Billings and payments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14.6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13.1</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Contingent and foreign trade</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7.5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7.9</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Contingent credits</w:t>
            </w:r>
          </w:p>
        </w:tc>
        <w:tc>
          <w:tcPr>
            <w:tcW w:w="4020" w:type="dxa"/>
            <w:vAlign w:val="bottom"/>
          </w:tcPr>
          <w:p>
            <w:pPr>
              <w:jc w:val="right"/>
              <w:ind w:right="152"/>
              <w:spacing w:after="0"/>
              <w:rPr>
                <w:sz w:val="20"/>
                <w:szCs w:val="20"/>
                <w:color w:val="auto"/>
              </w:rPr>
            </w:pPr>
            <w:r>
              <w:rPr>
                <w:rFonts w:ascii="Arial" w:cs="Arial" w:eastAsia="Arial" w:hAnsi="Arial"/>
                <w:sz w:val="18"/>
                <w:szCs w:val="18"/>
                <w:color w:val="auto"/>
              </w:rPr>
              <w:t>7.8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7.7</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-1185545</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-1185545</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-1185545</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-1185545</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55" w:orient="portrait"/>
          <w:cols w:equalWidth="0" w:num="1">
            <w:col w:w="11420"/>
          </w:cols>
          <w:pgMar w:left="240" w:top="125" w:right="239" w:bottom="0" w:gutter="0" w:footer="0" w:header="0"/>
        </w:sectPr>
      </w:pPr>
    </w:p>
    <w:bookmarkStart w:id="7" w:name="page8"/>
    <w:bookmarkEnd w:id="7"/>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Debit cards</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8.4</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6.0</w:t>
            </w: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Corporate Finance</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6.6</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5.8</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Brokerage</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10.3</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9.8</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Commercial loans</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5.4</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9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Insurance</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5.3</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Mortgage loans</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1.7</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Channels and services</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1.4</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1.0</w:t>
            </w: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Master account</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2.0</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Personal loans</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0.8</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2.8</w:t>
            </w:r>
          </w:p>
        </w:tc>
        <w:tc>
          <w:tcPr>
            <w:tcW w:w="96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Micro-business credit</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0.3</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3.1</w:t>
            </w:r>
          </w:p>
        </w:tc>
        <w:tc>
          <w:tcPr>
            <w:tcW w:w="960" w:type="dxa"/>
            <w:vAlign w:val="bottom"/>
          </w:tcPr>
          <w:p>
            <w:pPr>
              <w:jc w:val="right"/>
              <w:spacing w:after="0"/>
              <w:rPr>
                <w:sz w:val="20"/>
                <w:szCs w:val="20"/>
                <w:color w:val="auto"/>
              </w:rPr>
            </w:pPr>
            <w:r>
              <w:rPr>
                <w:rFonts w:ascii="Arial" w:cs="Arial" w:eastAsia="Arial" w:hAnsi="Arial"/>
                <w:sz w:val="18"/>
                <w:szCs w:val="18"/>
                <w:color w:val="auto"/>
              </w:rPr>
              <w:t>933.3%</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4240" w:type="dxa"/>
            <w:vAlign w:val="bottom"/>
          </w:tcPr>
          <w:p>
            <w:pPr>
              <w:jc w:val="right"/>
              <w:ind w:right="392"/>
              <w:spacing w:after="0"/>
              <w:rPr>
                <w:sz w:val="20"/>
                <w:szCs w:val="20"/>
                <w:color w:val="auto"/>
              </w:rPr>
            </w:pPr>
            <w:r>
              <w:rPr>
                <w:rFonts w:ascii="Arial" w:cs="Arial" w:eastAsia="Arial" w:hAnsi="Arial"/>
                <w:sz w:val="18"/>
                <w:szCs w:val="18"/>
                <w:color w:val="auto"/>
              </w:rPr>
              <w:t>6.0</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96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28"/>
        </w:trPr>
        <w:tc>
          <w:tcPr>
            <w:tcW w:w="4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240" w:type="dxa"/>
            <w:vAlign w:val="bottom"/>
          </w:tcPr>
          <w:p>
            <w:pPr>
              <w:jc w:val="right"/>
              <w:ind w:right="392"/>
              <w:spacing w:after="0"/>
              <w:rPr>
                <w:sz w:val="20"/>
                <w:szCs w:val="20"/>
                <w:color w:val="auto"/>
              </w:rPr>
            </w:pPr>
            <w:r>
              <w:rPr>
                <w:rFonts w:ascii="Arial" w:cs="Arial" w:eastAsia="Arial" w:hAnsi="Arial"/>
                <w:sz w:val="18"/>
                <w:szCs w:val="18"/>
                <w:b w:val="1"/>
                <w:bCs w:val="1"/>
                <w:color w:val="auto"/>
              </w:rPr>
              <w:t>168.7</w:t>
            </w:r>
          </w:p>
        </w:tc>
        <w:tc>
          <w:tcPr>
            <w:tcW w:w="1280" w:type="dxa"/>
            <w:vAlign w:val="bottom"/>
          </w:tcPr>
          <w:p>
            <w:pPr>
              <w:jc w:val="right"/>
              <w:ind w:right="312"/>
              <w:spacing w:after="0"/>
              <w:rPr>
                <w:sz w:val="20"/>
                <w:szCs w:val="20"/>
                <w:color w:val="auto"/>
              </w:rPr>
            </w:pPr>
            <w:r>
              <w:rPr>
                <w:rFonts w:ascii="Arial" w:cs="Arial" w:eastAsia="Arial" w:hAnsi="Arial"/>
                <w:sz w:val="18"/>
                <w:szCs w:val="18"/>
                <w:b w:val="1"/>
                <w:bCs w:val="1"/>
                <w:color w:val="auto"/>
              </w:rPr>
              <w:t>161.0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59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Note: line items in this table aggregate concepts that are different from tables reported in prior year periods.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second quarter of 2004, securities transactions resulted in a loss of S/.8.7 million (US$2.5 million), compared to an opposite gain in the year-ago quarter of S/.8.7 million (US$2.5 million). The general index of the Lima Stock Exchange decreased 4.9% in the second quarter of 2004, compared to a 17.1% increase in the same year-ago period.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from foreign exchange operations, which are the result of the foreign exchange buy-sell margin, were S/.18.3 million (US$5.3 million) in the second quarter of 2004, 8.8% lower than revenue in the same quarter of 2003, and 4.4% lower than revenue in first quarter 2004, mainly due to decreased margins due to the low volatility in the foreign exchange market, partly offset by higher volumes.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Income caption, that mainly registers reversals of prior year expenses and provisions and recoveries of certain operating costs, increased from S/.26.5 million (US$7.6 million) in the second quarter of 2003 to S/.35.0 million (US$10.1 million) in the current period, which show higher recoveries of charged-off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II.4 OTHER NON-INTEREST EXPENSES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Non-interest expenses during the second quarter of 2004 were S/.311.9 million (US$89.8 million), 3.1% under those of the same period in 2003, mainly because of decreased personnel and general and administrative costs.</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To determine operating efficiency, operating expenses are “adjusted” excluding certain non-recurrent items and that do not contribute to the performance of the business. Second quarter 2004 “adjusted” operating expenses are determined by excluding: (i) provisions for assets received in lieu of loan repayment (S/.25.1 million); (ii) non-recurring expenses related to the systems’ restructuring costs (S/.2.2 million); (iii) employee profit sharing expenses and bonds (S/.8.6 million); and, (iv) merger costs related to Solución Financiera (S/.4.8 million). “Adjusted” operating expenses reached S/.271.2 million (US$78.1 million) in the second quarter of 2004, decreasing 2.5% compared to the year-ago period.</w:t>
      </w:r>
    </w:p>
    <w:p>
      <w:pPr>
        <w:spacing w:after="0" w:line="17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this quarter, approximately 42% of non-interest expenses were attributable to employee salaries and other expenses related to personnel. This concept decreased 1.2% to S/.131.2 million (US$37.8 million) when compared to the second quarter of 2003. At the end of June 2004 the number of employees stood at 7,567, decreasing from 7,652 employees as of March 2004 and from 7,570 at June 2003, mainly due to decreased sales personnel at Banco de Crédito.</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which represented 31% of non-interest expenses, reached S/.97.4 million (US$28.1 million) in the second quarter of 2004, decreasing 7.5% when compared to expenses in the year-ago period. Lower expenses are mainly due to decreased third party fees and communications expenses. 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8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3760" w:type="dxa"/>
            <w:vAlign w:val="bottom"/>
          </w:tcPr>
          <w:p>
            <w:pPr>
              <w:jc w:val="right"/>
              <w:ind w:right="652"/>
              <w:spacing w:after="0"/>
              <w:rPr>
                <w:sz w:val="20"/>
                <w:szCs w:val="20"/>
                <w:color w:val="auto"/>
              </w:rPr>
            </w:pPr>
            <w:r>
              <w:rPr>
                <w:rFonts w:ascii="Arial" w:cs="Arial" w:eastAsia="Arial" w:hAnsi="Arial"/>
                <w:sz w:val="18"/>
                <w:szCs w:val="18"/>
                <w:b w:val="1"/>
                <w:bCs w:val="1"/>
                <w:color w:val="auto"/>
              </w:rPr>
              <w:t>2Q03</w:t>
            </w:r>
          </w:p>
        </w:tc>
        <w:tc>
          <w:tcPr>
            <w:tcW w:w="1320" w:type="dxa"/>
            <w:vAlign w:val="bottom"/>
          </w:tcPr>
          <w:p>
            <w:pPr>
              <w:jc w:val="right"/>
              <w:ind w:right="592"/>
              <w:spacing w:after="0"/>
              <w:rPr>
                <w:sz w:val="20"/>
                <w:szCs w:val="20"/>
                <w:color w:val="auto"/>
              </w:rPr>
            </w:pPr>
            <w:r>
              <w:rPr>
                <w:rFonts w:ascii="Arial" w:cs="Arial" w:eastAsia="Arial" w:hAnsi="Arial"/>
                <w:sz w:val="18"/>
                <w:szCs w:val="18"/>
                <w:b w:val="1"/>
                <w:bCs w:val="1"/>
                <w:color w:val="auto"/>
              </w:rPr>
              <w:t>2Q04</w:t>
            </w:r>
          </w:p>
        </w:tc>
        <w:tc>
          <w:tcPr>
            <w:tcW w:w="1160" w:type="dxa"/>
            <w:vAlign w:val="bottom"/>
          </w:tcPr>
          <w:p>
            <w:pPr>
              <w:jc w:val="right"/>
              <w:ind w:right="332"/>
              <w:spacing w:after="0"/>
              <w:rPr>
                <w:sz w:val="20"/>
                <w:szCs w:val="20"/>
                <w:color w:val="auto"/>
              </w:rPr>
            </w:pPr>
            <w:r>
              <w:rPr>
                <w:rFonts w:ascii="Arial" w:cs="Arial" w:eastAsia="Arial" w:hAnsi="Arial"/>
                <w:sz w:val="18"/>
                <w:szCs w:val="18"/>
                <w:b w:val="1"/>
                <w:bCs w:val="1"/>
                <w:color w:val="auto"/>
              </w:rPr>
              <w:t>Chnge.</w:t>
            </w:r>
          </w:p>
        </w:tc>
      </w:tr>
      <w:tr>
        <w:trPr>
          <w:trHeight w:val="110"/>
        </w:trPr>
        <w:tc>
          <w:tcPr>
            <w:tcW w:w="51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r>
        <w:trPr>
          <w:trHeight w:val="309"/>
        </w:trPr>
        <w:tc>
          <w:tcPr>
            <w:tcW w:w="518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13.4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Communications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10.2</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7.9</w:t>
            </w: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Third party fees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17.9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12.7</w:t>
            </w:r>
          </w:p>
        </w:tc>
        <w:tc>
          <w:tcPr>
            <w:tcW w:w="11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Insurance and security</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8.5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6.2</w:t>
            </w: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12.6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12.0</w:t>
            </w: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23.5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21.5</w:t>
            </w: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14.5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16.0</w:t>
            </w: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Other G&amp;A</w:t>
            </w:r>
          </w:p>
        </w:tc>
        <w:tc>
          <w:tcPr>
            <w:tcW w:w="3760" w:type="dxa"/>
            <w:vAlign w:val="bottom"/>
          </w:tcPr>
          <w:p>
            <w:pPr>
              <w:jc w:val="right"/>
              <w:ind w:right="152"/>
              <w:spacing w:after="0"/>
              <w:rPr>
                <w:sz w:val="20"/>
                <w:szCs w:val="20"/>
                <w:color w:val="auto"/>
              </w:rPr>
            </w:pPr>
            <w:r>
              <w:rPr>
                <w:rFonts w:ascii="Arial" w:cs="Arial" w:eastAsia="Arial" w:hAnsi="Arial"/>
                <w:sz w:val="18"/>
                <w:szCs w:val="18"/>
                <w:color w:val="auto"/>
              </w:rPr>
              <w:t>4.7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9.7</w:t>
            </w:r>
          </w:p>
        </w:tc>
        <w:tc>
          <w:tcPr>
            <w:tcW w:w="116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28"/>
        </w:trPr>
        <w:tc>
          <w:tcPr>
            <w:tcW w:w="5180" w:type="dxa"/>
            <w:vAlign w:val="bottom"/>
          </w:tcPr>
          <w:p>
            <w:pPr>
              <w:spacing w:after="0"/>
              <w:rPr>
                <w:sz w:val="20"/>
                <w:szCs w:val="20"/>
                <w:color w:val="auto"/>
              </w:rPr>
            </w:pPr>
            <w:r>
              <w:rPr>
                <w:rFonts w:ascii="Arial" w:cs="Arial" w:eastAsia="Arial" w:hAnsi="Arial"/>
                <w:sz w:val="18"/>
                <w:szCs w:val="18"/>
                <w:b w:val="1"/>
                <w:bCs w:val="1"/>
                <w:color w:val="auto"/>
              </w:rPr>
              <w:t>Total G&amp;A</w:t>
            </w:r>
          </w:p>
        </w:tc>
        <w:tc>
          <w:tcPr>
            <w:tcW w:w="3760" w:type="dxa"/>
            <w:vAlign w:val="bottom"/>
          </w:tcPr>
          <w:p>
            <w:pPr>
              <w:jc w:val="right"/>
              <w:ind w:right="152"/>
              <w:spacing w:after="0"/>
              <w:rPr>
                <w:sz w:val="20"/>
                <w:szCs w:val="20"/>
                <w:color w:val="auto"/>
              </w:rPr>
            </w:pPr>
            <w:r>
              <w:rPr>
                <w:rFonts w:ascii="Arial" w:cs="Arial" w:eastAsia="Arial" w:hAnsi="Arial"/>
                <w:sz w:val="18"/>
                <w:szCs w:val="18"/>
                <w:b w:val="1"/>
                <w:bCs w:val="1"/>
                <w:color w:val="auto"/>
              </w:rPr>
              <w:t>105.3</w:t>
            </w:r>
          </w:p>
        </w:tc>
        <w:tc>
          <w:tcPr>
            <w:tcW w:w="1320" w:type="dxa"/>
            <w:vAlign w:val="bottom"/>
          </w:tcPr>
          <w:p>
            <w:pPr>
              <w:jc w:val="right"/>
              <w:ind w:right="112"/>
              <w:spacing w:after="0"/>
              <w:rPr>
                <w:sz w:val="20"/>
                <w:szCs w:val="20"/>
                <w:color w:val="auto"/>
              </w:rPr>
            </w:pPr>
            <w:r>
              <w:rPr>
                <w:rFonts w:ascii="Arial" w:cs="Arial" w:eastAsia="Arial" w:hAnsi="Arial"/>
                <w:sz w:val="18"/>
                <w:szCs w:val="18"/>
                <w:b w:val="1"/>
                <w:bCs w:val="1"/>
                <w:color w:val="auto"/>
              </w:rPr>
              <w:t>97.4</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110"/>
        </w:trPr>
        <w:tc>
          <w:tcPr>
            <w:tcW w:w="51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-1401445</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-1401445</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-1401445</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-20955</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Other caption within Other Non-Interest Expenses, increased from S/.28.6 million (US$8.2 million) in the second quarter of 2003 to S/.32.0 million (US$9.2 million) in the current quarter, mainly due to increased contingencies provisions.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ratio of “adjusted” operating expenses as a percentage of average total assets, increased from 4.4% in the second quarter of 2003 to 4.6% in the current period.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Efficiency ratio, “adjusted” operating expenses, as a percentage of total income (excluding non-recurring income), also grew from 52.9% to 57.8% when comparing the second quarters of 2003 and 2004,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II.5 ASSETS AND LIABILITIES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assets of BCP reached S/.23.7 billion (US$6.8 billion) at the end of June 2004, increasing 1.4% with respect to the preceding first quarter, but decreases by 4.8% compared to assets at June 2003.</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Consolidated total loans were S/.14.4 billion (US$4.2 billion) at the end of June 2004, increasing 2.3% compared to March 2004, but remain lower by 7.4% with respect to loans at the second quarter 2003. At June 30, 2004, the loan portfolio, net of provisions, represented 56.6% of total assets, higher than 55.6% at the</w:t>
      </w:r>
    </w:p>
    <w:p>
      <w:pPr>
        <w:sectPr>
          <w:pgSz w:w="11900" w:h="16885" w:orient="portrait"/>
          <w:cols w:equalWidth="0" w:num="1">
            <w:col w:w="11420"/>
          </w:cols>
          <w:pgMar w:left="240" w:top="131" w:right="239" w:bottom="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8"/>
          <w:szCs w:val="18"/>
          <w:color w:val="auto"/>
        </w:rPr>
        <w:t>preceding quarter. At the end of the second quarter of 2004, the Nuevos Soles portion of the loan portfolio was 16.2%, under 17.5% in March 2004, and of 17.2% at June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2004 total deposits were S/.20.0 billion (US$5.8 billion), increasing 0.8% compared to first quarter 2004 deposits, but are 6.1% lower than deposits in the year-ago quarter. During the second quarter 2004, time deposits increased by 5.8%, while savings deposits decreased 3.5% and demand deposits by 3.3%. Deposits denominated in Nuevos Soles were 22.7% of total deposits, decreasing during the current quarter from 24.7% at March 2004, and is also lower than 23.5% at the end of June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59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99"/>
              </w:rPr>
              <w:t>Loans, net</w:t>
            </w: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Total Deposits</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10"/>
        </w:trPr>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316"/>
        </w:trPr>
        <w:tc>
          <w:tcPr>
            <w:tcW w:w="2840" w:type="dxa"/>
            <w:vAlign w:val="bottom"/>
            <w:gridSpan w:val="3"/>
          </w:tcPr>
          <w:p>
            <w:pPr>
              <w:spacing w:after="0"/>
              <w:rPr>
                <w:sz w:val="20"/>
                <w:szCs w:val="20"/>
                <w:color w:val="auto"/>
              </w:rPr>
            </w:pPr>
            <w:r>
              <w:rPr>
                <w:rFonts w:ascii="Arial" w:cs="Arial" w:eastAsia="Arial" w:hAnsi="Arial"/>
                <w:sz w:val="18"/>
                <w:szCs w:val="18"/>
                <w:i w:val="1"/>
                <w:iCs w:val="1"/>
                <w:color w:val="auto"/>
              </w:rPr>
              <w:t>(In % and constant S/.Mn.)</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30.06.03</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31.03.04</w:t>
            </w: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30.06.04</w:t>
            </w:r>
          </w:p>
        </w:tc>
        <w:tc>
          <w:tcPr>
            <w:tcW w:w="20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30.06.03</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31.03.04</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30.06.04</w:t>
            </w:r>
          </w:p>
        </w:tc>
      </w:tr>
      <w:tr>
        <w:trPr>
          <w:trHeight w:val="110"/>
        </w:trPr>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309"/>
        </w:trPr>
        <w:tc>
          <w:tcPr>
            <w:tcW w:w="2840" w:type="dxa"/>
            <w:vAlign w:val="bottom"/>
            <w:gridSpan w:val="3"/>
          </w:tcPr>
          <w:p>
            <w:pPr>
              <w:spacing w:after="0"/>
              <w:rPr>
                <w:sz w:val="20"/>
                <w:szCs w:val="20"/>
                <w:color w:val="auto"/>
              </w:rPr>
            </w:pPr>
            <w:r>
              <w:rPr>
                <w:rFonts w:ascii="Arial" w:cs="Arial" w:eastAsia="Arial" w:hAnsi="Arial"/>
                <w:sz w:val="18"/>
                <w:szCs w:val="18"/>
                <w:color w:val="auto"/>
              </w:rPr>
              <w:t>Banco de Crédito del Perú</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86.0%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3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91.3%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91.7%</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Banco de Crédito de Bolivia</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7.0%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Crédito Leasing</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Solución Financiera de Crédito</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184"/>
        </w:trPr>
        <w:tc>
          <w:tcPr>
            <w:tcW w:w="720" w:type="dxa"/>
            <w:vAlign w:val="bottom"/>
            <w:gridSpan w:val="2"/>
          </w:tcPr>
          <w:p>
            <w:pPr>
              <w:spacing w:after="0" w:line="184" w:lineRule="exact"/>
              <w:rPr>
                <w:sz w:val="20"/>
                <w:szCs w:val="20"/>
                <w:color w:val="auto"/>
              </w:rPr>
            </w:pPr>
            <w:r>
              <w:rPr>
                <w:rFonts w:ascii="Arial" w:cs="Arial" w:eastAsia="Arial" w:hAnsi="Arial"/>
                <w:sz w:val="18"/>
                <w:szCs w:val="18"/>
                <w:color w:val="auto"/>
                <w:w w:val="94"/>
              </w:rPr>
              <w:t>TOTAL%</w:t>
            </w:r>
          </w:p>
        </w:tc>
        <w:tc>
          <w:tcPr>
            <w:tcW w:w="2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00" w:type="dxa"/>
            <w:vAlign w:val="bottom"/>
            <w:gridSpan w:val="2"/>
          </w:tcPr>
          <w:p>
            <w:pPr>
              <w:jc w:val="right"/>
              <w:ind w:right="160"/>
              <w:spacing w:after="0" w:line="184" w:lineRule="exact"/>
              <w:rPr>
                <w:sz w:val="20"/>
                <w:szCs w:val="20"/>
                <w:color w:val="auto"/>
              </w:rPr>
            </w:pPr>
            <w:r>
              <w:rPr>
                <w:rFonts w:ascii="Arial" w:cs="Arial" w:eastAsia="Arial" w:hAnsi="Arial"/>
                <w:sz w:val="18"/>
                <w:szCs w:val="18"/>
                <w:color w:val="auto"/>
                <w:w w:val="85"/>
              </w:rPr>
              <w:t>100.</w:t>
            </w:r>
            <w:r>
              <w:rPr>
                <w:rFonts w:ascii="Arial" w:cs="Arial" w:eastAsia="Arial" w:hAnsi="Arial"/>
                <w:sz w:val="18"/>
                <w:szCs w:val="18"/>
                <w:u w:val="single" w:color="auto"/>
                <w:color w:val="auto"/>
                <w:w w:val="85"/>
              </w:rPr>
              <w:t>0%</w:t>
            </w:r>
          </w:p>
        </w:tc>
        <w:tc>
          <w:tcPr>
            <w:tcW w:w="12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340" w:type="dxa"/>
            <w:vAlign w:val="bottom"/>
          </w:tcPr>
          <w:p>
            <w:pPr>
              <w:spacing w:after="0"/>
              <w:rPr>
                <w:sz w:val="15"/>
                <w:szCs w:val="15"/>
                <w:color w:val="auto"/>
              </w:rPr>
            </w:pPr>
          </w:p>
        </w:tc>
        <w:tc>
          <w:tcPr>
            <w:tcW w:w="10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200" w:type="dxa"/>
            <w:vAlign w:val="bottom"/>
          </w:tcPr>
          <w:p>
            <w:pPr>
              <w:spacing w:after="0"/>
              <w:rPr>
                <w:sz w:val="15"/>
                <w:szCs w:val="15"/>
                <w:color w:val="auto"/>
              </w:rPr>
            </w:pPr>
          </w:p>
        </w:tc>
        <w:tc>
          <w:tcPr>
            <w:tcW w:w="1240" w:type="dxa"/>
            <w:vAlign w:val="bottom"/>
            <w:gridSpan w:val="3"/>
          </w:tcPr>
          <w:p>
            <w:pPr>
              <w:jc w:val="right"/>
              <w:ind w:right="6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80" w:type="dxa"/>
            <w:vAlign w:val="bottom"/>
            <w:gridSpan w:val="3"/>
          </w:tcPr>
          <w:p>
            <w:pPr>
              <w:jc w:val="right"/>
              <w:ind w:right="18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1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ind w:left="500"/>
              <w:spacing w:after="0"/>
              <w:rPr>
                <w:sz w:val="20"/>
                <w:szCs w:val="20"/>
                <w:color w:val="auto"/>
              </w:rPr>
            </w:pPr>
            <w:r>
              <w:rPr>
                <w:rFonts w:ascii="Arial" w:cs="Arial" w:eastAsia="Arial" w:hAnsi="Arial"/>
                <w:sz w:val="18"/>
                <w:szCs w:val="18"/>
                <w:b w:val="1"/>
                <w:bCs w:val="1"/>
                <w:color w:val="auto"/>
              </w:rPr>
              <w:t>Total BCP</w:t>
            </w:r>
          </w:p>
        </w:tc>
        <w:tc>
          <w:tcPr>
            <w:tcW w:w="1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S/.14,020</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S/.12,987</w:t>
            </w:r>
          </w:p>
        </w:tc>
        <w:tc>
          <w:tcPr>
            <w:tcW w:w="1220" w:type="dxa"/>
            <w:vAlign w:val="bottom"/>
            <w:gridSpan w:val="3"/>
          </w:tcPr>
          <w:p>
            <w:pPr>
              <w:ind w:left="360"/>
              <w:spacing w:after="0"/>
              <w:rPr>
                <w:sz w:val="20"/>
                <w:szCs w:val="20"/>
                <w:color w:val="auto"/>
              </w:rPr>
            </w:pPr>
            <w:r>
              <w:rPr>
                <w:rFonts w:ascii="Arial" w:cs="Arial" w:eastAsia="Arial" w:hAnsi="Arial"/>
                <w:sz w:val="18"/>
                <w:szCs w:val="18"/>
                <w:b w:val="1"/>
                <w:bCs w:val="1"/>
                <w:color w:val="auto"/>
              </w:rPr>
              <w:t>S/.13,397</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S/.21,294</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S/.19,838</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S/.19,987</w:t>
            </w:r>
          </w:p>
        </w:tc>
      </w:tr>
      <w:tr>
        <w:trPr>
          <w:trHeight w:val="110"/>
        </w:trPr>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532"/>
        </w:trPr>
        <w:tc>
          <w:tcPr>
            <w:tcW w:w="28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Loan Portfolio</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6300" w:type="dxa"/>
            <w:vAlign w:val="bottom"/>
            <w:gridSpan w:val="9"/>
          </w:tcPr>
          <w:p>
            <w:pPr>
              <w:spacing w:after="0"/>
              <w:rPr>
                <w:sz w:val="20"/>
                <w:szCs w:val="20"/>
                <w:color w:val="auto"/>
              </w:rPr>
            </w:pPr>
            <w:r>
              <w:rPr>
                <w:rFonts w:ascii="Arial" w:cs="Arial" w:eastAsia="Arial" w:hAnsi="Arial"/>
                <w:sz w:val="18"/>
                <w:szCs w:val="18"/>
                <w:color w:val="auto"/>
              </w:rPr>
              <w:t>Loan portfolio composition by business segment developed as follows:</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26"/>
        </w:trPr>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r>
        <w:trPr>
          <w:trHeight w:val="316"/>
        </w:trPr>
        <w:tc>
          <w:tcPr>
            <w:tcW w:w="2840" w:type="dxa"/>
            <w:vAlign w:val="bottom"/>
            <w:gridSpan w:val="3"/>
          </w:tcPr>
          <w:p>
            <w:pPr>
              <w:spacing w:after="0"/>
              <w:rPr>
                <w:sz w:val="20"/>
                <w:szCs w:val="20"/>
                <w:color w:val="auto"/>
              </w:rPr>
            </w:pPr>
            <w:r>
              <w:rPr>
                <w:rFonts w:ascii="Arial" w:cs="Arial" w:eastAsia="Arial" w:hAnsi="Arial"/>
                <w:sz w:val="18"/>
                <w:szCs w:val="18"/>
                <w:i w:val="1"/>
                <w:iCs w:val="1"/>
                <w:color w:val="auto"/>
              </w:rPr>
              <w:t>(In % of total and constant S/. Mn)</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30.06.03</w:t>
            </w:r>
          </w:p>
        </w:tc>
        <w:tc>
          <w:tcPr>
            <w:tcW w:w="6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31.03.04</w:t>
            </w:r>
          </w:p>
        </w:tc>
        <w:tc>
          <w:tcPr>
            <w:tcW w:w="1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30.06.04</w:t>
            </w:r>
          </w:p>
        </w:tc>
      </w:tr>
      <w:tr>
        <w:trPr>
          <w:trHeight w:val="110"/>
        </w:trPr>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309"/>
        </w:trPr>
        <w:tc>
          <w:tcPr>
            <w:tcW w:w="2840" w:type="dxa"/>
            <w:vAlign w:val="bottom"/>
            <w:gridSpan w:val="3"/>
          </w:tcPr>
          <w:p>
            <w:pPr>
              <w:spacing w:after="0"/>
              <w:rPr>
                <w:sz w:val="20"/>
                <w:szCs w:val="20"/>
                <w:color w:val="auto"/>
              </w:rPr>
            </w:pPr>
            <w:r>
              <w:rPr>
                <w:rFonts w:ascii="Arial" w:cs="Arial" w:eastAsia="Arial" w:hAnsi="Arial"/>
                <w:sz w:val="18"/>
                <w:szCs w:val="18"/>
                <w:color w:val="auto"/>
              </w:rPr>
              <w:t>Corporate</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43.1%</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41.6%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42.0%</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Middle market</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26.4%</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26.2%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Retail:</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30.5%</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32.2%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 small business</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10.3%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 home mortgage</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12.6%</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15.2%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 consumer</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 credit cards</w:t>
            </w: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184"/>
        </w:trPr>
        <w:tc>
          <w:tcPr>
            <w:tcW w:w="2840" w:type="dxa"/>
            <w:vAlign w:val="bottom"/>
            <w:gridSpan w:val="3"/>
          </w:tcPr>
          <w:p>
            <w:pPr>
              <w:spacing w:after="0" w:line="184" w:lineRule="exact"/>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tcPr>
          <w:p>
            <w:pPr>
              <w:jc w:val="right"/>
              <w:ind w:right="6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80" w:type="dxa"/>
            <w:vAlign w:val="bottom"/>
            <w:gridSpan w:val="3"/>
          </w:tcPr>
          <w:p>
            <w:pPr>
              <w:jc w:val="right"/>
              <w:ind w:right="18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1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90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Total Loans</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S/.15,554</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S/.14,085</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S/.14,404</w:t>
            </w:r>
          </w:p>
        </w:tc>
      </w:tr>
      <w:tr>
        <w:trPr>
          <w:trHeight w:val="110"/>
        </w:trPr>
        <w:tc>
          <w:tcPr>
            <w:tcW w:w="3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-3768090</wp:posOffset>
            </wp:positionV>
            <wp:extent cx="3429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-3768090</wp:posOffset>
            </wp:positionV>
            <wp:extent cx="3429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-3768090</wp:posOffset>
            </wp:positionV>
            <wp:extent cx="3429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-3768090</wp:posOffset>
            </wp:positionV>
            <wp:extent cx="3429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-3768090</wp:posOffset>
            </wp:positionV>
            <wp:extent cx="3429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-3768090</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-3768090</wp:posOffset>
            </wp:positionV>
            <wp:extent cx="3429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-3485515</wp:posOffset>
            </wp:positionV>
            <wp:extent cx="3429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-3485515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-3485515</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-3485515</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-3485515</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-3485515</wp:posOffset>
            </wp:positionV>
            <wp:extent cx="3429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-3485515</wp:posOffset>
            </wp:positionV>
            <wp:extent cx="3429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2016125</wp:posOffset>
            </wp:positionH>
            <wp:positionV relativeFrom="paragraph">
              <wp:posOffset>-2516505</wp:posOffset>
            </wp:positionV>
            <wp:extent cx="3429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-2516505</wp:posOffset>
            </wp:positionV>
            <wp:extent cx="3429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-2516505</wp:posOffset>
            </wp:positionV>
            <wp:extent cx="3429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-2516505</wp:posOffset>
            </wp:positionV>
            <wp:extent cx="3429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-2516505</wp:posOffset>
            </wp:positionV>
            <wp:extent cx="3429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-2516505</wp:posOffset>
            </wp:positionV>
            <wp:extent cx="3429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-2516505</wp:posOffset>
            </wp:positionV>
            <wp:extent cx="3429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-1684655</wp:posOffset>
            </wp:positionV>
            <wp:extent cx="3429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-1684655</wp:posOffset>
            </wp:positionV>
            <wp:extent cx="3429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-1684655</wp:posOffset>
            </wp:positionV>
            <wp:extent cx="3429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-1684655</wp:posOffset>
            </wp:positionV>
            <wp:extent cx="3429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-1401445</wp:posOffset>
            </wp:positionV>
            <wp:extent cx="3429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-1401445</wp:posOffset>
            </wp:positionV>
            <wp:extent cx="3429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-1401445</wp:posOffset>
            </wp:positionV>
            <wp:extent cx="3429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-1401445</wp:posOffset>
            </wp:positionV>
            <wp:extent cx="3429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-20955</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current quarter, loan balances increased 2.3%, with corporate loans growing by 3.3% to S/.6,045 million (US$1,742 million), while middle market loans grew by 2.2% to S/.3,772 million (US$1,087 million), and retail loans by 1.0% to S/.4,586 million (US$1,321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40" w:type="dxa"/>
            <w:vAlign w:val="bottom"/>
          </w:tcPr>
          <w:p>
            <w:pPr>
              <w:jc w:val="right"/>
              <w:ind w:right="492"/>
              <w:spacing w:after="0"/>
              <w:rPr>
                <w:sz w:val="20"/>
                <w:szCs w:val="20"/>
                <w:color w:val="auto"/>
              </w:rPr>
            </w:pPr>
            <w:r>
              <w:rPr>
                <w:rFonts w:ascii="Arial" w:cs="Arial" w:eastAsia="Arial" w:hAnsi="Arial"/>
                <w:sz w:val="18"/>
                <w:szCs w:val="18"/>
                <w:b w:val="1"/>
                <w:bCs w:val="1"/>
                <w:color w:val="auto"/>
              </w:rPr>
              <w:t>30.06.03</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31.03.04</w:t>
            </w:r>
          </w:p>
        </w:tc>
        <w:tc>
          <w:tcPr>
            <w:tcW w:w="1300" w:type="dxa"/>
            <w:vAlign w:val="bottom"/>
          </w:tcPr>
          <w:p>
            <w:pPr>
              <w:jc w:val="right"/>
              <w:ind w:right="412"/>
              <w:spacing w:after="0"/>
              <w:rPr>
                <w:sz w:val="20"/>
                <w:szCs w:val="20"/>
                <w:color w:val="auto"/>
              </w:rPr>
            </w:pPr>
            <w:r>
              <w:rPr>
                <w:rFonts w:ascii="Arial" w:cs="Arial" w:eastAsia="Arial" w:hAnsi="Arial"/>
                <w:sz w:val="18"/>
                <w:szCs w:val="18"/>
                <w:b w:val="1"/>
                <w:bCs w:val="1"/>
                <w:color w:val="auto"/>
              </w:rPr>
              <w:t>30.06.04</w:t>
            </w:r>
          </w:p>
        </w:tc>
        <w:tc>
          <w:tcPr>
            <w:tcW w:w="138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30.06.04 vs</w:t>
            </w:r>
          </w:p>
        </w:tc>
        <w:tc>
          <w:tcPr>
            <w:tcW w:w="1220" w:type="dxa"/>
            <w:vAlign w:val="bottom"/>
          </w:tcPr>
          <w:p>
            <w:pPr>
              <w:jc w:val="right"/>
              <w:ind w:right="192"/>
              <w:spacing w:after="0"/>
              <w:rPr>
                <w:sz w:val="20"/>
                <w:szCs w:val="20"/>
                <w:color w:val="auto"/>
              </w:rPr>
            </w:pPr>
            <w:r>
              <w:rPr>
                <w:rFonts w:ascii="Arial" w:cs="Arial" w:eastAsia="Arial" w:hAnsi="Arial"/>
                <w:sz w:val="18"/>
                <w:szCs w:val="18"/>
                <w:b w:val="1"/>
                <w:bCs w:val="1"/>
                <w:color w:val="auto"/>
                <w:w w:val="96"/>
              </w:rPr>
              <w:t>30.06.04 vs</w:t>
            </w:r>
          </w:p>
        </w:tc>
      </w:tr>
      <w:tr>
        <w:trPr>
          <w:trHeight w:val="228"/>
        </w:trPr>
        <w:tc>
          <w:tcPr>
            <w:tcW w:w="36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b w:val="1"/>
                <w:bCs w:val="1"/>
                <w:color w:val="auto"/>
              </w:rPr>
              <w:t>31.03.04</w:t>
            </w:r>
          </w:p>
        </w:tc>
        <w:tc>
          <w:tcPr>
            <w:tcW w:w="122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30.06.03</w:t>
            </w:r>
          </w:p>
        </w:tc>
      </w:tr>
      <w:tr>
        <w:trPr>
          <w:trHeight w:val="110"/>
        </w:trPr>
        <w:tc>
          <w:tcPr>
            <w:tcW w:w="36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Small business loans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1,567</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1,450</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1,396</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Mortgage loans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1,960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2,143</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2,221</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Consumer loans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683</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453</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3.0%</w:t>
            </w:r>
          </w:p>
        </w:tc>
        <w:tc>
          <w:tcPr>
            <w:tcW w:w="122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Credit card loans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534</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495</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502</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Retail</w:t>
            </w:r>
          </w:p>
        </w:tc>
        <w:tc>
          <w:tcPr>
            <w:tcW w:w="2540" w:type="dxa"/>
            <w:vAlign w:val="bottom"/>
          </w:tcPr>
          <w:p>
            <w:pPr>
              <w:jc w:val="right"/>
              <w:ind w:right="112"/>
              <w:spacing w:after="0"/>
              <w:rPr>
                <w:sz w:val="20"/>
                <w:szCs w:val="20"/>
                <w:color w:val="auto"/>
              </w:rPr>
            </w:pPr>
            <w:r>
              <w:rPr>
                <w:rFonts w:ascii="Arial" w:cs="Arial" w:eastAsia="Arial" w:hAnsi="Arial"/>
                <w:sz w:val="18"/>
                <w:szCs w:val="18"/>
                <w:b w:val="1"/>
                <w:bCs w:val="1"/>
                <w:color w:val="auto"/>
              </w:rPr>
              <w:t>4,744</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4,541</w:t>
            </w: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4,586</w:t>
            </w:r>
          </w:p>
        </w:tc>
        <w:tc>
          <w:tcPr>
            <w:tcW w:w="1380" w:type="dxa"/>
            <w:vAlign w:val="bottom"/>
          </w:tcPr>
          <w:p>
            <w:pPr>
              <w:jc w:val="right"/>
              <w:ind w:right="52"/>
              <w:spacing w:after="0"/>
              <w:rPr>
                <w:sz w:val="20"/>
                <w:szCs w:val="20"/>
                <w:color w:val="auto"/>
              </w:rPr>
            </w:pPr>
            <w:r>
              <w:rPr>
                <w:rFonts w:ascii="Arial" w:cs="Arial" w:eastAsia="Arial" w:hAnsi="Arial"/>
                <w:sz w:val="18"/>
                <w:szCs w:val="18"/>
                <w:b w:val="1"/>
                <w:bCs w:val="1"/>
                <w:color w:val="auto"/>
              </w:rPr>
              <w:t>1.0%</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110"/>
        </w:trPr>
        <w:tc>
          <w:tcPr>
            <w:tcW w:w="36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-852805</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-852805</wp:posOffset>
            </wp:positionV>
            <wp:extent cx="3429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-852805</wp:posOffset>
            </wp:positionV>
            <wp:extent cx="3429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-852805</wp:posOffset>
            </wp:positionV>
            <wp:extent cx="3429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-852805</wp:posOffset>
            </wp:positionV>
            <wp:extent cx="3429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-852805</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-20955</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-20955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-20955</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Lower consumer loans during first quarter 2004 is mainly because approximately S/.240 million are reported beginning in March 2004 as micro-business loans, which are shown as part of the Small Business concept in the preceding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Credits and Managed Funds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At June 30, 2004 </w:t>
      </w:r>
      <w:r>
        <w:rPr>
          <w:rFonts w:ascii="Arial" w:cs="Arial" w:eastAsia="Arial" w:hAnsi="Arial"/>
          <w:sz w:val="18"/>
          <w:szCs w:val="18"/>
          <w:b w:val="1"/>
          <w:bCs w:val="1"/>
          <w:color w:val="auto"/>
        </w:rPr>
        <w:t>contingent credits</w:t>
      </w:r>
      <w:r>
        <w:rPr>
          <w:rFonts w:ascii="Arial" w:cs="Arial" w:eastAsia="Arial" w:hAnsi="Arial"/>
          <w:sz w:val="18"/>
          <w:szCs w:val="18"/>
          <w:color w:val="auto"/>
        </w:rPr>
        <w:t xml:space="preserve"> were S/.5,962 million (US$1,718 million), 2.4% over the March 2004 figure. Contingent credits grow 13.6% over credits at June 2003, mainly due to the inclusion, beginning in the fourth quarter 2003, of credit card un-used but approved lines of credit, which were not considered in previous periods, as can be seen in the Other contingent accounts caption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59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540" w:type="dxa"/>
            <w:vAlign w:val="bottom"/>
          </w:tcPr>
          <w:p>
            <w:pPr>
              <w:jc w:val="right"/>
              <w:ind w:right="492"/>
              <w:spacing w:after="0"/>
              <w:rPr>
                <w:sz w:val="20"/>
                <w:szCs w:val="20"/>
                <w:color w:val="auto"/>
              </w:rPr>
            </w:pPr>
            <w:r>
              <w:rPr>
                <w:rFonts w:ascii="Arial" w:cs="Arial" w:eastAsia="Arial" w:hAnsi="Arial"/>
                <w:sz w:val="18"/>
                <w:szCs w:val="18"/>
                <w:b w:val="1"/>
                <w:bCs w:val="1"/>
                <w:color w:val="auto"/>
              </w:rPr>
              <w:t>30.06.03</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31.03.04</w:t>
            </w:r>
          </w:p>
        </w:tc>
        <w:tc>
          <w:tcPr>
            <w:tcW w:w="1300" w:type="dxa"/>
            <w:vAlign w:val="bottom"/>
          </w:tcPr>
          <w:p>
            <w:pPr>
              <w:jc w:val="right"/>
              <w:ind w:right="412"/>
              <w:spacing w:after="0"/>
              <w:rPr>
                <w:sz w:val="20"/>
                <w:szCs w:val="20"/>
                <w:color w:val="auto"/>
              </w:rPr>
            </w:pPr>
            <w:r>
              <w:rPr>
                <w:rFonts w:ascii="Arial" w:cs="Arial" w:eastAsia="Arial" w:hAnsi="Arial"/>
                <w:sz w:val="18"/>
                <w:szCs w:val="18"/>
                <w:b w:val="1"/>
                <w:bCs w:val="1"/>
                <w:color w:val="auto"/>
              </w:rPr>
              <w:t>30.06.04</w:t>
            </w:r>
          </w:p>
        </w:tc>
        <w:tc>
          <w:tcPr>
            <w:tcW w:w="138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30.06.04 vs</w:t>
            </w:r>
          </w:p>
        </w:tc>
        <w:tc>
          <w:tcPr>
            <w:tcW w:w="1220" w:type="dxa"/>
            <w:vAlign w:val="bottom"/>
          </w:tcPr>
          <w:p>
            <w:pPr>
              <w:jc w:val="right"/>
              <w:ind w:right="192"/>
              <w:spacing w:after="0"/>
              <w:rPr>
                <w:sz w:val="20"/>
                <w:szCs w:val="20"/>
                <w:color w:val="auto"/>
              </w:rPr>
            </w:pPr>
            <w:r>
              <w:rPr>
                <w:rFonts w:ascii="Arial" w:cs="Arial" w:eastAsia="Arial" w:hAnsi="Arial"/>
                <w:sz w:val="18"/>
                <w:szCs w:val="18"/>
                <w:b w:val="1"/>
                <w:bCs w:val="1"/>
                <w:color w:val="auto"/>
                <w:w w:val="96"/>
              </w:rPr>
              <w:t>30.06.04 vs</w:t>
            </w:r>
          </w:p>
        </w:tc>
      </w:tr>
      <w:tr>
        <w:trPr>
          <w:trHeight w:val="228"/>
        </w:trPr>
        <w:tc>
          <w:tcPr>
            <w:tcW w:w="3620" w:type="dxa"/>
            <w:vAlign w:val="bottom"/>
          </w:tcPr>
          <w:p>
            <w:pPr>
              <w:spacing w:after="0"/>
              <w:rPr>
                <w:sz w:val="20"/>
                <w:szCs w:val="20"/>
                <w:color w:val="auto"/>
              </w:rPr>
            </w:pPr>
            <w:r>
              <w:rPr>
                <w:rFonts w:ascii="Arial" w:cs="Arial" w:eastAsia="Arial" w:hAnsi="Arial"/>
                <w:sz w:val="18"/>
                <w:szCs w:val="18"/>
                <w:i w:val="1"/>
                <w:iCs w:val="1"/>
                <w:color w:val="auto"/>
              </w:rPr>
              <w:t>(% change and constant S/. Mn)</w:t>
            </w:r>
          </w:p>
        </w:tc>
        <w:tc>
          <w:tcPr>
            <w:tcW w:w="2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tcPr>
          <w:p>
            <w:pPr>
              <w:jc w:val="right"/>
              <w:ind w:right="432"/>
              <w:spacing w:after="0"/>
              <w:rPr>
                <w:sz w:val="20"/>
                <w:szCs w:val="20"/>
                <w:color w:val="auto"/>
              </w:rPr>
            </w:pPr>
            <w:r>
              <w:rPr>
                <w:rFonts w:ascii="Arial" w:cs="Arial" w:eastAsia="Arial" w:hAnsi="Arial"/>
                <w:sz w:val="18"/>
                <w:szCs w:val="18"/>
                <w:b w:val="1"/>
                <w:bCs w:val="1"/>
                <w:color w:val="auto"/>
              </w:rPr>
              <w:t>31.03.04</w:t>
            </w:r>
          </w:p>
        </w:tc>
        <w:tc>
          <w:tcPr>
            <w:tcW w:w="122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30.06.03</w:t>
            </w:r>
          </w:p>
        </w:tc>
      </w:tr>
      <w:tr>
        <w:trPr>
          <w:trHeight w:val="110"/>
        </w:trPr>
        <w:tc>
          <w:tcPr>
            <w:tcW w:w="36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2,335</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2,245</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2,130</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Letters of Credit</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468</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522</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639</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22.4%</w:t>
            </w:r>
          </w:p>
        </w:tc>
        <w:tc>
          <w:tcPr>
            <w:tcW w:w="12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Acceptances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169</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141</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8.8%</w:t>
            </w:r>
          </w:p>
        </w:tc>
        <w:tc>
          <w:tcPr>
            <w:tcW w:w="1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1,567</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1,206</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1,371</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13.7%</w:t>
            </w:r>
          </w:p>
        </w:tc>
        <w:tc>
          <w:tcPr>
            <w:tcW w:w="12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2540" w:type="dxa"/>
            <w:vAlign w:val="bottom"/>
          </w:tcPr>
          <w:p>
            <w:pPr>
              <w:jc w:val="right"/>
              <w:ind w:right="112"/>
              <w:spacing w:after="0"/>
              <w:rPr>
                <w:sz w:val="20"/>
                <w:szCs w:val="20"/>
                <w:color w:val="auto"/>
              </w:rPr>
            </w:pPr>
            <w:r>
              <w:rPr>
                <w:rFonts w:ascii="Arial" w:cs="Arial" w:eastAsia="Arial" w:hAnsi="Arial"/>
                <w:sz w:val="18"/>
                <w:szCs w:val="18"/>
                <w:color w:val="auto"/>
              </w:rPr>
              <w:t>708</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1,710</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1,668</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220" w:type="dxa"/>
            <w:vAlign w:val="bottom"/>
          </w:tcPr>
          <w:p>
            <w:pPr>
              <w:jc w:val="right"/>
              <w:spacing w:after="0"/>
              <w:rPr>
                <w:sz w:val="20"/>
                <w:szCs w:val="20"/>
                <w:color w:val="auto"/>
              </w:rPr>
            </w:pPr>
            <w:r>
              <w:rPr>
                <w:rFonts w:ascii="Arial" w:cs="Arial" w:eastAsia="Arial" w:hAnsi="Arial"/>
                <w:sz w:val="18"/>
                <w:szCs w:val="18"/>
                <w:color w:val="auto"/>
              </w:rPr>
              <w:t>135.6%</w:t>
            </w:r>
          </w:p>
        </w:tc>
      </w:tr>
      <w:tr>
        <w:trPr>
          <w:trHeight w:val="228"/>
        </w:trPr>
        <w:tc>
          <w:tcPr>
            <w:tcW w:w="3620" w:type="dxa"/>
            <w:vAlign w:val="bottom"/>
          </w:tcPr>
          <w:p>
            <w:pPr>
              <w:spacing w:after="0"/>
              <w:rPr>
                <w:sz w:val="20"/>
                <w:szCs w:val="20"/>
                <w:color w:val="auto"/>
              </w:rPr>
            </w:pPr>
            <w:r>
              <w:rPr>
                <w:rFonts w:ascii="Arial" w:cs="Arial" w:eastAsia="Arial" w:hAnsi="Arial"/>
                <w:sz w:val="18"/>
                <w:szCs w:val="18"/>
                <w:b w:val="1"/>
                <w:bCs w:val="1"/>
                <w:color w:val="auto"/>
              </w:rPr>
              <w:t>Total Contingent Credits</w:t>
            </w:r>
          </w:p>
        </w:tc>
        <w:tc>
          <w:tcPr>
            <w:tcW w:w="2540" w:type="dxa"/>
            <w:vAlign w:val="bottom"/>
          </w:tcPr>
          <w:p>
            <w:pPr>
              <w:jc w:val="right"/>
              <w:ind w:right="112"/>
              <w:spacing w:after="0"/>
              <w:rPr>
                <w:sz w:val="20"/>
                <w:szCs w:val="20"/>
                <w:color w:val="auto"/>
              </w:rPr>
            </w:pPr>
            <w:r>
              <w:rPr>
                <w:rFonts w:ascii="Arial" w:cs="Arial" w:eastAsia="Arial" w:hAnsi="Arial"/>
                <w:sz w:val="18"/>
                <w:szCs w:val="18"/>
                <w:b w:val="1"/>
                <w:bCs w:val="1"/>
                <w:color w:val="auto"/>
              </w:rPr>
              <w:t>5,246</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5,824</w:t>
            </w:r>
          </w:p>
        </w:tc>
        <w:tc>
          <w:tcPr>
            <w:tcW w:w="1300" w:type="dxa"/>
            <w:vAlign w:val="bottom"/>
          </w:tcPr>
          <w:p>
            <w:pPr>
              <w:jc w:val="right"/>
              <w:ind w:right="32"/>
              <w:spacing w:after="0"/>
              <w:rPr>
                <w:sz w:val="20"/>
                <w:szCs w:val="20"/>
                <w:color w:val="auto"/>
              </w:rPr>
            </w:pPr>
            <w:r>
              <w:rPr>
                <w:rFonts w:ascii="Arial" w:cs="Arial" w:eastAsia="Arial" w:hAnsi="Arial"/>
                <w:sz w:val="18"/>
                <w:szCs w:val="18"/>
                <w:b w:val="1"/>
                <w:bCs w:val="1"/>
                <w:color w:val="auto"/>
              </w:rPr>
              <w:t>5,962</w:t>
            </w:r>
          </w:p>
        </w:tc>
        <w:tc>
          <w:tcPr>
            <w:tcW w:w="1380" w:type="dxa"/>
            <w:vAlign w:val="bottom"/>
          </w:tcPr>
          <w:p>
            <w:pPr>
              <w:jc w:val="right"/>
              <w:ind w:right="52"/>
              <w:spacing w:after="0"/>
              <w:rPr>
                <w:sz w:val="20"/>
                <w:szCs w:val="20"/>
                <w:color w:val="auto"/>
              </w:rPr>
            </w:pPr>
            <w:r>
              <w:rPr>
                <w:rFonts w:ascii="Arial" w:cs="Arial" w:eastAsia="Arial" w:hAnsi="Arial"/>
                <w:sz w:val="18"/>
                <w:szCs w:val="18"/>
                <w:b w:val="1"/>
                <w:bCs w:val="1"/>
                <w:color w:val="auto"/>
              </w:rPr>
              <w:t>2.4%</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r>
      <w:tr>
        <w:trPr>
          <w:trHeight w:val="110"/>
        </w:trPr>
        <w:tc>
          <w:tcPr>
            <w:tcW w:w="36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-989965</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-989965</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-989965</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-989965</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-989965</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-989965</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-20955</wp:posOffset>
            </wp:positionV>
            <wp:extent cx="342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3765550</wp:posOffset>
            </wp:positionH>
            <wp:positionV relativeFrom="paragraph">
              <wp:posOffset>-20955</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-20955</wp:posOffset>
            </wp:positionV>
            <wp:extent cx="3429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p>
      <w:pPr>
        <w:jc w:val="both"/>
        <w:ind w:right="20"/>
        <w:spacing w:after="0" w:line="275" w:lineRule="auto"/>
        <w:rPr>
          <w:sz w:val="20"/>
          <w:szCs w:val="20"/>
          <w:color w:val="auto"/>
        </w:rPr>
      </w:pPr>
      <w:r>
        <w:rPr>
          <w:rFonts w:ascii="Arial" w:cs="Arial" w:eastAsia="Arial" w:hAnsi="Arial"/>
          <w:sz w:val="18"/>
          <w:szCs w:val="18"/>
          <w:b w:val="1"/>
          <w:bCs w:val="1"/>
          <w:color w:val="auto"/>
        </w:rPr>
        <w:t xml:space="preserve">Third party funds </w:t>
      </w:r>
      <w:r>
        <w:rPr>
          <w:rFonts w:ascii="Arial" w:cs="Arial" w:eastAsia="Arial" w:hAnsi="Arial"/>
          <w:sz w:val="18"/>
          <w:szCs w:val="18"/>
          <w:color w:val="auto"/>
        </w:rPr>
        <w:t>managed by several subsidiaries of BCP amounted to S/.3,390 million (US$913.8 million) as of June 30, 2004, decreasing 8.3%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funds at march 2004, but remain similar to balances in second quarter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preliminary statistics from the Peruvian Banking Association (ASBANC) for Peruvian commercial banks as of June 30, 2004, Banco de Crédito del Perú had a total loan market share of 35.0% (34.6% at March 31, 2004 and 34.3% at June 30, 2003), and 36.8% of deposits (36.6% at March 31, 2004 and 36.3% at June 30,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BCP’s market share in Peruvian mutual funds, through its subsidiary Credifondo, was 50.9% as of June 30, 2004 (49.4% at March 31, 2004 and 49.3% at June 30,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II.6 LOAN QUALITY</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past due loans amounted to S/.732 million (US$210.9 million) at June 30, 2004, decreasing 43.8% from the balance of S/.1,302 million (US$375.2 million) as of the end of June 2003, and are also 13.5% below past due loans at March 2004.</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was 5.1% at June 30, 2004, improving during this quarter from 6.0% at March 2004, and from 8.4% at June 2003. The ratio of past due, refinanced and restructured loans as a percentage of total loans declined to 10.3% during second quarter 2004 from 11.6% in March 2004, and also from 14.6% at June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March 2004, refinanced loans amounted to S/.757.4 million (US$218.2 million), lower than the balance at June 2003 that was S/.970.7 million (US$279.7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second quarter 2004, outstanding balances of loan loss provisions totaled S/.1,007.5 million (US$290.3 million), decreasing 8.3% compared to the preceding quarter mainly due to charge-offs. The coverage ratio of loan provisions to past due loans increased to 137.6% at the end of second quarter 2004, from 129.8% in first quarter 2004 and also from 117.8% at June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total provisions outstanding at the end of the current quarter, S/.169.9 million (US$48.9 million) correspond to generic provisions assigned to loans in the Normal (A) risk category, decreasing from the balance at June 30, 2003 of S/.221.3 million (US$63.8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believed to be unrecoverable, fully provisioned in prior periods, were written-off during the second quarter 2004 amounting to S/.78.3 million (US$22.6 million), of which approximately 16% were related to consumer and mortgage loans. This compares to charge-offs in the first quarter of 2004 of S/.114.0 million (US$32.8 million), and S/.136.6 million (US$39.4 million) in the year-ago second quarter.</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Loans classified as Substandard (i.e., Deficient, Doubtful and Loss) were 13.5% of the loan portfolio in June 2004, decreasing from 14.6% that resulted in March 2004 and from 18.1% in June 2003.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59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00" w:type="dxa"/>
            <w:vAlign w:val="bottom"/>
            <w:gridSpan w:val="3"/>
          </w:tcPr>
          <w:p>
            <w:pPr>
              <w:spacing w:after="0"/>
              <w:rPr>
                <w:sz w:val="20"/>
                <w:szCs w:val="20"/>
                <w:color w:val="auto"/>
              </w:rPr>
            </w:pPr>
            <w:r>
              <w:rPr>
                <w:rFonts w:ascii="Arial" w:cs="Arial" w:eastAsia="Arial" w:hAnsi="Arial"/>
                <w:sz w:val="18"/>
                <w:szCs w:val="18"/>
                <w:i w:val="1"/>
                <w:iCs w:val="1"/>
                <w:color w:val="auto"/>
              </w:rPr>
              <w:t>(% of Total loans and S/.Mn const.)</w:t>
            </w:r>
          </w:p>
        </w:tc>
        <w:tc>
          <w:tcPr>
            <w:tcW w:w="2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30.06.03</w:t>
            </w:r>
          </w:p>
        </w:tc>
        <w:tc>
          <w:tcPr>
            <w:tcW w:w="1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31.03.04</w:t>
            </w:r>
          </w:p>
        </w:tc>
        <w:tc>
          <w:tcPr>
            <w:tcW w:w="1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30.06.04</w:t>
            </w:r>
          </w:p>
        </w:tc>
      </w:tr>
      <w:tr>
        <w:trPr>
          <w:trHeight w:val="110"/>
        </w:trPr>
        <w:tc>
          <w:tcPr>
            <w:tcW w:w="34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r>
        <w:trPr>
          <w:trHeight w:val="309"/>
        </w:trPr>
        <w:tc>
          <w:tcPr>
            <w:tcW w:w="5900" w:type="dxa"/>
            <w:vAlign w:val="bottom"/>
            <w:gridSpan w:val="3"/>
          </w:tcPr>
          <w:p>
            <w:pPr>
              <w:spacing w:after="0"/>
              <w:rPr>
                <w:sz w:val="20"/>
                <w:szCs w:val="20"/>
                <w:color w:val="auto"/>
              </w:rPr>
            </w:pPr>
            <w:r>
              <w:rPr>
                <w:rFonts w:ascii="Arial" w:cs="Arial" w:eastAsia="Arial" w:hAnsi="Arial"/>
                <w:sz w:val="18"/>
                <w:szCs w:val="18"/>
                <w:color w:val="auto"/>
              </w:rPr>
              <w:t>A: Normal</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70.3%</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78.2%</w:t>
            </w: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B: Potential Problem</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11.5%</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C: Deficient</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5.9%</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D: Doubtful</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6.6%</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900" w:type="dxa"/>
            <w:vAlign w:val="bottom"/>
            <w:gridSpan w:val="3"/>
          </w:tcPr>
          <w:p>
            <w:pPr>
              <w:spacing w:after="0"/>
              <w:rPr>
                <w:sz w:val="20"/>
                <w:szCs w:val="20"/>
                <w:color w:val="auto"/>
              </w:rPr>
            </w:pPr>
            <w:r>
              <w:rPr>
                <w:rFonts w:ascii="Arial" w:cs="Arial" w:eastAsia="Arial" w:hAnsi="Arial"/>
                <w:sz w:val="18"/>
                <w:szCs w:val="18"/>
                <w:color w:val="auto"/>
              </w:rPr>
              <w:t>E: Loss</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5.6%</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184"/>
        </w:trPr>
        <w:tc>
          <w:tcPr>
            <w:tcW w:w="3480" w:type="dxa"/>
            <w:vAlign w:val="bottom"/>
          </w:tcPr>
          <w:p>
            <w:pPr>
              <w:spacing w:after="0"/>
              <w:rPr>
                <w:sz w:val="15"/>
                <w:szCs w:val="15"/>
                <w:color w:val="auto"/>
              </w:rPr>
            </w:pPr>
          </w:p>
        </w:tc>
        <w:tc>
          <w:tcPr>
            <w:tcW w:w="2420" w:type="dxa"/>
            <w:vAlign w:val="bottom"/>
            <w:gridSpan w:val="2"/>
          </w:tcPr>
          <w:p>
            <w:pPr>
              <w:jc w:val="center"/>
              <w:ind w:right="2060"/>
              <w:spacing w:after="0" w:line="184" w:lineRule="exact"/>
              <w:rPr>
                <w:sz w:val="20"/>
                <w:szCs w:val="20"/>
                <w:color w:val="auto"/>
              </w:rPr>
            </w:pPr>
            <w:r>
              <w:rPr>
                <w:rFonts w:ascii="Arial" w:cs="Arial" w:eastAsia="Arial" w:hAnsi="Arial"/>
                <w:sz w:val="18"/>
                <w:szCs w:val="18"/>
                <w:color w:val="auto"/>
                <w:w w:val="89"/>
              </w:rPr>
              <w:t>Total</w:t>
            </w:r>
          </w:p>
        </w:tc>
        <w:tc>
          <w:tcPr>
            <w:tcW w:w="2980" w:type="dxa"/>
            <w:vAlign w:val="bottom"/>
            <w:gridSpan w:val="3"/>
          </w:tcPr>
          <w:p>
            <w:pPr>
              <w:jc w:val="right"/>
              <w:ind w:right="18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360" w:type="dxa"/>
            <w:vAlign w:val="bottom"/>
            <w:gridSpan w:val="3"/>
          </w:tcPr>
          <w:p>
            <w:pPr>
              <w:jc w:val="right"/>
              <w:ind w:right="180"/>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18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r>
      <w:tr>
        <w:trPr>
          <w:trHeight w:val="20"/>
        </w:trPr>
        <w:tc>
          <w:tcPr>
            <w:tcW w:w="3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235"/>
        </w:trPr>
        <w:tc>
          <w:tcPr>
            <w:tcW w:w="5900" w:type="dxa"/>
            <w:vAlign w:val="bottom"/>
            <w:gridSpan w:val="3"/>
          </w:tcPr>
          <w:p>
            <w:pPr>
              <w:jc w:val="center"/>
              <w:ind w:left="1332"/>
              <w:spacing w:after="0"/>
              <w:rPr>
                <w:sz w:val="20"/>
                <w:szCs w:val="20"/>
                <w:color w:val="auto"/>
              </w:rPr>
            </w:pPr>
            <w:r>
              <w:rPr>
                <w:rFonts w:ascii="Arial" w:cs="Arial" w:eastAsia="Arial" w:hAnsi="Arial"/>
                <w:sz w:val="18"/>
                <w:szCs w:val="18"/>
                <w:b w:val="1"/>
                <w:bCs w:val="1"/>
                <w:color w:val="auto"/>
                <w:w w:val="87"/>
              </w:rPr>
              <w:t>Total Loans</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S/.15,554</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S/.14,085</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S/.14,404</w:t>
            </w:r>
          </w:p>
        </w:tc>
      </w:tr>
      <w:tr>
        <w:trPr>
          <w:trHeight w:val="110"/>
        </w:trPr>
        <w:tc>
          <w:tcPr>
            <w:tcW w:w="34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4623435</wp:posOffset>
            </wp:positionH>
            <wp:positionV relativeFrom="paragraph">
              <wp:posOffset>-1127125</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-1127125</wp:posOffset>
            </wp:positionV>
            <wp:extent cx="3429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-1127125</wp:posOffset>
            </wp:positionV>
            <wp:extent cx="3429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-1127125</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-20955</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 loss provisions, net of recoveries, charged against results in second quarter 2004 amounted to S/.20.6 million (US$5.9 million), lower than S/.70.5 million (US$20.3 million) in the year-ago period, mainly due to improved loan quality. Provision expense in the first quarter of 2004 was S/.48.0 million (US$13.8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II.7 CAPITAL ADEQUACY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At the end of the second quarter of 2004, BCP’s unconsolidated ratio of risk-weighted assets to regulatory capital was 7.9 to 1.0 (12.7%), while the corresponding consolidated ratio was 7.1 to 1.0 (14.2%). Risk-weighted assets include S/.1,034 million (US$297.8 million) of market-risk exposure whose coverage required S/.94.0 million (US$27.1 million) of regulatory capital at June 30, 2004. Peruvian regulations limit risk-weighted assets to a ratio of 11.0 to 1.0 (9.1%).</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2004, BCP’s consolidated “regulatory capital” was S/.2,363 million (US$680.7 million), increasing compared to S/.2,276 million (US$655.7 million) in June 2003 mostly due to higher reserves. Regulatory capital included S/.189.5 million ($54.6 million) in subordinated debt in the current period, remaining similar to the balance at March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59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720" w:type="dxa"/>
            <w:vAlign w:val="bottom"/>
          </w:tcPr>
          <w:p>
            <w:pPr>
              <w:jc w:val="right"/>
              <w:ind w:right="392"/>
              <w:spacing w:after="0"/>
              <w:rPr>
                <w:sz w:val="20"/>
                <w:szCs w:val="20"/>
                <w:color w:val="auto"/>
              </w:rPr>
            </w:pPr>
            <w:r>
              <w:rPr>
                <w:rFonts w:ascii="Arial" w:cs="Arial" w:eastAsia="Arial" w:hAnsi="Arial"/>
                <w:sz w:val="18"/>
                <w:szCs w:val="18"/>
                <w:b w:val="1"/>
                <w:bCs w:val="1"/>
                <w:color w:val="auto"/>
              </w:rPr>
              <w:t>BCP</w:t>
            </w:r>
          </w:p>
        </w:tc>
        <w:tc>
          <w:tcPr>
            <w:tcW w:w="1080" w:type="dxa"/>
            <w:vAlign w:val="bottom"/>
          </w:tcPr>
          <w:p>
            <w:pPr>
              <w:spacing w:after="0"/>
              <w:rPr>
                <w:sz w:val="18"/>
                <w:szCs w:val="18"/>
                <w:color w:val="auto"/>
              </w:rPr>
            </w:pPr>
          </w:p>
        </w:tc>
        <w:tc>
          <w:tcPr>
            <w:tcW w:w="1600" w:type="dxa"/>
            <w:vAlign w:val="bottom"/>
          </w:tcPr>
          <w:p>
            <w:pPr>
              <w:jc w:val="right"/>
              <w:ind w:right="332"/>
              <w:spacing w:after="0"/>
              <w:rPr>
                <w:sz w:val="20"/>
                <w:szCs w:val="20"/>
                <w:color w:val="auto"/>
              </w:rPr>
            </w:pPr>
            <w:r>
              <w:rPr>
                <w:rFonts w:ascii="Arial" w:cs="Arial" w:eastAsia="Arial" w:hAnsi="Arial"/>
                <w:sz w:val="18"/>
                <w:szCs w:val="18"/>
                <w:b w:val="1"/>
                <w:bCs w:val="1"/>
                <w:color w:val="auto"/>
              </w:rPr>
              <w:t>BCP</w:t>
            </w:r>
          </w:p>
        </w:tc>
        <w:tc>
          <w:tcPr>
            <w:tcW w:w="760" w:type="dxa"/>
            <w:vAlign w:val="bottom"/>
          </w:tcPr>
          <w:p>
            <w:pPr>
              <w:spacing w:after="0"/>
              <w:rPr>
                <w:sz w:val="18"/>
                <w:szCs w:val="18"/>
                <w:color w:val="auto"/>
              </w:rPr>
            </w:pPr>
          </w:p>
        </w:tc>
      </w:tr>
      <w:tr>
        <w:trPr>
          <w:trHeight w:val="228"/>
        </w:trPr>
        <w:tc>
          <w:tcPr>
            <w:tcW w:w="4260" w:type="dxa"/>
            <w:vAlign w:val="bottom"/>
          </w:tcPr>
          <w:p>
            <w:pPr>
              <w:spacing w:after="0"/>
              <w:rPr>
                <w:sz w:val="19"/>
                <w:szCs w:val="19"/>
                <w:color w:val="auto"/>
              </w:rPr>
            </w:pPr>
          </w:p>
        </w:tc>
        <w:tc>
          <w:tcPr>
            <w:tcW w:w="3720" w:type="dxa"/>
            <w:vAlign w:val="bottom"/>
          </w:tcPr>
          <w:p>
            <w:pPr>
              <w:jc w:val="right"/>
              <w:ind w:right="12"/>
              <w:spacing w:after="0"/>
              <w:rPr>
                <w:sz w:val="20"/>
                <w:szCs w:val="20"/>
                <w:color w:val="auto"/>
              </w:rPr>
            </w:pPr>
            <w:r>
              <w:rPr>
                <w:rFonts w:ascii="Arial" w:cs="Arial" w:eastAsia="Arial" w:hAnsi="Arial"/>
                <w:sz w:val="18"/>
                <w:szCs w:val="18"/>
                <w:b w:val="1"/>
                <w:bCs w:val="1"/>
                <w:color w:val="auto"/>
              </w:rPr>
              <w:t>unconsolidated</w:t>
            </w:r>
          </w:p>
        </w:tc>
        <w:tc>
          <w:tcPr>
            <w:tcW w:w="108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b w:val="1"/>
                <w:bCs w:val="1"/>
                <w:color w:val="auto"/>
              </w:rPr>
              <w:t>consolidated</w:t>
            </w:r>
          </w:p>
        </w:tc>
        <w:tc>
          <w:tcPr>
            <w:tcW w:w="760" w:type="dxa"/>
            <w:vAlign w:val="bottom"/>
          </w:tcPr>
          <w:p>
            <w:pPr>
              <w:spacing w:after="0"/>
              <w:rPr>
                <w:sz w:val="19"/>
                <w:szCs w:val="19"/>
                <w:color w:val="auto"/>
              </w:rPr>
            </w:pPr>
          </w:p>
        </w:tc>
      </w:tr>
      <w:tr>
        <w:trPr>
          <w:trHeight w:val="110"/>
        </w:trPr>
        <w:tc>
          <w:tcPr>
            <w:tcW w:w="426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r>
      <w:tr>
        <w:trPr>
          <w:trHeight w:val="316"/>
        </w:trPr>
        <w:tc>
          <w:tcPr>
            <w:tcW w:w="4260" w:type="dxa"/>
            <w:vAlign w:val="bottom"/>
          </w:tcPr>
          <w:p>
            <w:pPr>
              <w:spacing w:after="0"/>
              <w:rPr>
                <w:sz w:val="20"/>
                <w:szCs w:val="20"/>
                <w:color w:val="auto"/>
              </w:rPr>
            </w:pPr>
            <w:r>
              <w:rPr>
                <w:rFonts w:ascii="Arial" w:cs="Arial" w:eastAsia="Arial" w:hAnsi="Arial"/>
                <w:sz w:val="18"/>
                <w:szCs w:val="18"/>
                <w:i w:val="1"/>
                <w:iCs w:val="1"/>
                <w:color w:val="auto"/>
              </w:rPr>
              <w:t>(In constant S/. Mn.)</w:t>
            </w:r>
          </w:p>
        </w:tc>
        <w:tc>
          <w:tcPr>
            <w:tcW w:w="3720" w:type="dxa"/>
            <w:vAlign w:val="bottom"/>
          </w:tcPr>
          <w:p>
            <w:pPr>
              <w:jc w:val="right"/>
              <w:ind w:right="572"/>
              <w:spacing w:after="0"/>
              <w:rPr>
                <w:sz w:val="20"/>
                <w:szCs w:val="20"/>
                <w:color w:val="auto"/>
              </w:rPr>
            </w:pPr>
            <w:r>
              <w:rPr>
                <w:rFonts w:ascii="Arial" w:cs="Arial" w:eastAsia="Arial" w:hAnsi="Arial"/>
                <w:sz w:val="18"/>
                <w:szCs w:val="18"/>
                <w:b w:val="1"/>
                <w:bCs w:val="1"/>
                <w:color w:val="auto"/>
              </w:rPr>
              <w:t>30.06.03</w:t>
            </w: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w w:val="99"/>
              </w:rPr>
              <w:t>30.06.04</w:t>
            </w:r>
          </w:p>
        </w:tc>
        <w:tc>
          <w:tcPr>
            <w:tcW w:w="1600" w:type="dxa"/>
            <w:vAlign w:val="bottom"/>
          </w:tcPr>
          <w:p>
            <w:pPr>
              <w:jc w:val="right"/>
              <w:ind w:right="512"/>
              <w:spacing w:after="0"/>
              <w:rPr>
                <w:sz w:val="20"/>
                <w:szCs w:val="20"/>
                <w:color w:val="auto"/>
              </w:rPr>
            </w:pPr>
            <w:r>
              <w:rPr>
                <w:rFonts w:ascii="Arial" w:cs="Arial" w:eastAsia="Arial" w:hAnsi="Arial"/>
                <w:sz w:val="18"/>
                <w:szCs w:val="18"/>
                <w:b w:val="1"/>
                <w:bCs w:val="1"/>
                <w:color w:val="auto"/>
              </w:rPr>
              <w:t>30.06.03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30.06.04</w:t>
            </w:r>
          </w:p>
        </w:tc>
      </w:tr>
      <w:tr>
        <w:trPr>
          <w:trHeight w:val="110"/>
        </w:trPr>
        <w:tc>
          <w:tcPr>
            <w:tcW w:w="426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r>
      <w:tr>
        <w:trPr>
          <w:trHeight w:val="309"/>
        </w:trPr>
        <w:tc>
          <w:tcPr>
            <w:tcW w:w="4260" w:type="dxa"/>
            <w:vAlign w:val="bottom"/>
          </w:tcPr>
          <w:p>
            <w:pPr>
              <w:spacing w:after="0"/>
              <w:rPr>
                <w:sz w:val="20"/>
                <w:szCs w:val="20"/>
                <w:color w:val="auto"/>
              </w:rPr>
            </w:pPr>
            <w:r>
              <w:rPr>
                <w:rFonts w:ascii="Arial" w:cs="Arial" w:eastAsia="Arial" w:hAnsi="Arial"/>
                <w:sz w:val="18"/>
                <w:szCs w:val="18"/>
                <w:color w:val="auto"/>
              </w:rPr>
              <w:t>Regulatory capital</w:t>
            </w:r>
          </w:p>
        </w:tc>
        <w:tc>
          <w:tcPr>
            <w:tcW w:w="3720" w:type="dxa"/>
            <w:vAlign w:val="bottom"/>
          </w:tcPr>
          <w:p>
            <w:pPr>
              <w:jc w:val="right"/>
              <w:ind w:right="572"/>
              <w:spacing w:after="0"/>
              <w:rPr>
                <w:sz w:val="20"/>
                <w:szCs w:val="20"/>
                <w:color w:val="auto"/>
              </w:rPr>
            </w:pPr>
            <w:r>
              <w:rPr>
                <w:rFonts w:ascii="Arial" w:cs="Arial" w:eastAsia="Arial" w:hAnsi="Arial"/>
                <w:sz w:val="18"/>
                <w:szCs w:val="18"/>
                <w:color w:val="auto"/>
              </w:rPr>
              <w:t>1,700</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1,921</w:t>
            </w:r>
          </w:p>
        </w:tc>
        <w:tc>
          <w:tcPr>
            <w:tcW w:w="1600" w:type="dxa"/>
            <w:vAlign w:val="bottom"/>
          </w:tcPr>
          <w:p>
            <w:pPr>
              <w:jc w:val="right"/>
              <w:ind w:right="512"/>
              <w:spacing w:after="0"/>
              <w:rPr>
                <w:sz w:val="20"/>
                <w:szCs w:val="20"/>
                <w:color w:val="auto"/>
              </w:rPr>
            </w:pPr>
            <w:r>
              <w:rPr>
                <w:rFonts w:ascii="Arial" w:cs="Arial" w:eastAsia="Arial" w:hAnsi="Arial"/>
                <w:sz w:val="18"/>
                <w:szCs w:val="18"/>
                <w:color w:val="auto"/>
              </w:rPr>
              <w:t>2,276</w:t>
            </w:r>
          </w:p>
        </w:tc>
        <w:tc>
          <w:tcPr>
            <w:tcW w:w="76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Risk weighted assets</w:t>
            </w:r>
          </w:p>
        </w:tc>
        <w:tc>
          <w:tcPr>
            <w:tcW w:w="3720" w:type="dxa"/>
            <w:vAlign w:val="bottom"/>
          </w:tcPr>
          <w:p>
            <w:pPr>
              <w:jc w:val="right"/>
              <w:ind w:right="572"/>
              <w:spacing w:after="0"/>
              <w:rPr>
                <w:sz w:val="20"/>
                <w:szCs w:val="20"/>
                <w:color w:val="auto"/>
              </w:rPr>
            </w:pPr>
            <w:r>
              <w:rPr>
                <w:rFonts w:ascii="Arial" w:cs="Arial" w:eastAsia="Arial" w:hAnsi="Arial"/>
                <w:sz w:val="18"/>
                <w:szCs w:val="18"/>
                <w:color w:val="auto"/>
              </w:rPr>
              <w:t>15,898</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15,137</w:t>
            </w:r>
          </w:p>
        </w:tc>
        <w:tc>
          <w:tcPr>
            <w:tcW w:w="1600" w:type="dxa"/>
            <w:vAlign w:val="bottom"/>
          </w:tcPr>
          <w:p>
            <w:pPr>
              <w:jc w:val="right"/>
              <w:ind w:right="512"/>
              <w:spacing w:after="0"/>
              <w:rPr>
                <w:sz w:val="20"/>
                <w:szCs w:val="20"/>
                <w:color w:val="auto"/>
              </w:rPr>
            </w:pPr>
            <w:r>
              <w:rPr>
                <w:rFonts w:ascii="Arial" w:cs="Arial" w:eastAsia="Arial" w:hAnsi="Arial"/>
                <w:sz w:val="18"/>
                <w:szCs w:val="18"/>
                <w:color w:val="auto"/>
              </w:rPr>
              <w:t>18,227</w:t>
            </w:r>
          </w:p>
        </w:tc>
        <w:tc>
          <w:tcPr>
            <w:tcW w:w="760" w:type="dxa"/>
            <w:vAlign w:val="bottom"/>
          </w:tcPr>
          <w:p>
            <w:pPr>
              <w:jc w:val="right"/>
              <w:spacing w:after="0"/>
              <w:rPr>
                <w:sz w:val="20"/>
                <w:szCs w:val="20"/>
                <w:color w:val="auto"/>
              </w:rPr>
            </w:pPr>
            <w:r>
              <w:rPr>
                <w:rFonts w:ascii="Arial" w:cs="Arial" w:eastAsia="Arial" w:hAnsi="Arial"/>
                <w:sz w:val="18"/>
                <w:szCs w:val="18"/>
                <w:color w:val="auto"/>
              </w:rPr>
              <w:t>16,703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3720" w:type="dxa"/>
            <w:vAlign w:val="bottom"/>
          </w:tcPr>
          <w:p>
            <w:pPr>
              <w:jc w:val="right"/>
              <w:ind w:right="572"/>
              <w:spacing w:after="0"/>
              <w:rPr>
                <w:sz w:val="20"/>
                <w:szCs w:val="20"/>
                <w:color w:val="auto"/>
              </w:rPr>
            </w:pPr>
            <w:r>
              <w:rPr>
                <w:rFonts w:ascii="Arial" w:cs="Arial" w:eastAsia="Arial" w:hAnsi="Arial"/>
                <w:sz w:val="18"/>
                <w:szCs w:val="18"/>
                <w:color w:val="auto"/>
              </w:rPr>
              <w:t>9.4</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7.9</w:t>
            </w:r>
          </w:p>
        </w:tc>
        <w:tc>
          <w:tcPr>
            <w:tcW w:w="1600" w:type="dxa"/>
            <w:vAlign w:val="bottom"/>
          </w:tcPr>
          <w:p>
            <w:pPr>
              <w:jc w:val="right"/>
              <w:ind w:right="512"/>
              <w:spacing w:after="0"/>
              <w:rPr>
                <w:sz w:val="20"/>
                <w:szCs w:val="20"/>
                <w:color w:val="auto"/>
              </w:rPr>
            </w:pPr>
            <w:r>
              <w:rPr>
                <w:rFonts w:ascii="Arial" w:cs="Arial" w:eastAsia="Arial" w:hAnsi="Arial"/>
                <w:sz w:val="18"/>
                <w:szCs w:val="18"/>
                <w:color w:val="auto"/>
              </w:rPr>
              <w:t>8.0</w:t>
            </w: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3720" w:type="dxa"/>
            <w:vAlign w:val="bottom"/>
          </w:tcPr>
          <w:p>
            <w:pPr>
              <w:jc w:val="right"/>
              <w:ind w:right="572"/>
              <w:spacing w:after="0"/>
              <w:rPr>
                <w:sz w:val="20"/>
                <w:szCs w:val="20"/>
                <w:color w:val="auto"/>
              </w:rPr>
            </w:pPr>
            <w:r>
              <w:rPr>
                <w:rFonts w:ascii="Arial" w:cs="Arial" w:eastAsia="Arial" w:hAnsi="Arial"/>
                <w:sz w:val="18"/>
                <w:szCs w:val="18"/>
                <w:color w:val="auto"/>
              </w:rPr>
              <w:t>10.7%</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12.7%</w:t>
            </w:r>
          </w:p>
        </w:tc>
        <w:tc>
          <w:tcPr>
            <w:tcW w:w="1600" w:type="dxa"/>
            <w:vAlign w:val="bottom"/>
          </w:tcPr>
          <w:p>
            <w:pPr>
              <w:jc w:val="right"/>
              <w:ind w:right="512"/>
              <w:spacing w:after="0"/>
              <w:rPr>
                <w:sz w:val="20"/>
                <w:szCs w:val="20"/>
                <w:color w:val="auto"/>
              </w:rPr>
            </w:pPr>
            <w:r>
              <w:rPr>
                <w:rFonts w:ascii="Arial" w:cs="Arial" w:eastAsia="Arial" w:hAnsi="Arial"/>
                <w:sz w:val="18"/>
                <w:szCs w:val="18"/>
                <w:color w:val="auto"/>
              </w:rPr>
              <w:t>12.5%</w:t>
            </w:r>
          </w:p>
        </w:tc>
        <w:tc>
          <w:tcPr>
            <w:tcW w:w="7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110"/>
        </w:trPr>
        <w:tc>
          <w:tcPr>
            <w:tcW w:w="426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-998220</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-998220</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-998220</wp:posOffset>
            </wp:positionV>
            <wp:extent cx="3429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-998220</wp:posOffset>
            </wp:positionV>
            <wp:extent cx="342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-998220</wp:posOffset>
            </wp:positionV>
            <wp:extent cx="3429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-715010</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-715010</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-715010</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-715010</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-715010</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-20955</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-20955</wp:posOffset>
            </wp:positionV>
            <wp:extent cx="342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-20955</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6363970</wp:posOffset>
            </wp:positionH>
            <wp:positionV relativeFrom="paragraph">
              <wp:posOffset>-20955</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-20955</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III. ATLANTIC SECURITY HOLDING CORPORATION AND SUBSIDIARIES (“ASHC”)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net income in the first six months of 2004 reached US$12.3 million, higher than US$5.4 million in first semester 2003. Net income in the quarter ended June 30, 2004 was US$4.6 million, higher than US$1.6 million in the same period of 2003.</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income in the first semester and in the second quarter of 2004, increase compared to the same periods of 2003, mainly due to lower market risk provisions and higher dividends received from Credicorp, and in spite of higher gains on securities transactions obtained in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non-financial income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interest income, before risk provisions and not including dividend income, was US$3.6 million in the second quarter of 2004, lower than US$3.7 million in the same quarter of last year. Net interest margin as a percentage of interest earning assets, without considering dividends, was 2.1% during second quarter 2004, higher than the 1.9% margin in the preceding first quarter 2004, but decreases compared to 2.3% in second quarter 2003. Compared with the year-ago quarter, the margin decreased mainly due to cost of funds required for the purchase of part of BCOL’s investment portfolio.</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second quarter 2004, US$1.0 million was registered as dividend income received from Credicorp, while none was received in the year-ago quarter. Credicorp’s dividends reached US$5.9 million cumulative in the six months through June 2004, increasing from US$3.1 million in the first semester 2003.</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2004 charges against income for market risk provisions amounted to US$0.4 million, slightly under US$0.5 million charged in the preceding first quarter 2004, but declines compared to US$3.5 million provisioned in second quarter 2003. In the current quarter provisions for credit risks amounted to US$0.1 million, while US$0.9 million was expensed in the prior year second quarter.</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Non-interest income, which includes fee income, realized gains on securities transactions before risk provisions and others, amounted to US$2.2 million in the second quarter of 2004, declining from US$3.9 million in the year-ago quarter where gains on securities amounted to US$2.8 million, higher than US$1.0 million gains in the current quarter. Fee income was US$1.1 million in the current period, increasing from US$0.8 million in the year-ago quarter.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was 0.9%, annualized, in the second quarter of 2004 similar to the ratio during the same period in 2003. This ratio declines to 0.5% in the second quarter of 2004, when funds under management are included within total assets, remaining unchanged compared to the prior year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loan portfolio</w:t>
      </w:r>
      <w:r>
        <w:rPr>
          <w:rFonts w:ascii="Arial" w:cs="Arial" w:eastAsia="Arial" w:hAnsi="Arial"/>
          <w:sz w:val="18"/>
          <w:szCs w:val="18"/>
          <w:color w:val="auto"/>
        </w:rPr>
        <w:t>, net of provisions, was US$163.1 million as of June 30, 2004, increasing during the quarter from US$154.2 million at the end of March 2004, and also compared to loan balances of US$156.7 million at June 2003. As of June 30, 2004, the loan portfolio had 2.3% past dues, which were 142.0% covered with loan-loss provisions.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securities portfolio</w:t>
      </w:r>
      <w:r>
        <w:rPr>
          <w:rFonts w:ascii="Arial" w:cs="Arial" w:eastAsia="Arial" w:hAnsi="Arial"/>
          <w:sz w:val="18"/>
          <w:szCs w:val="18"/>
          <w:color w:val="auto"/>
        </w:rPr>
        <w:t xml:space="preserve"> grew to US$464.9 million at June 2004, increasing over US$452.7 million last March 2004, and also from US$359.8 million at the end of June 2003, following the increase of available funds and the purchase of additional Credicorp shares.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2004 ASHC acquired Credicorp equity shares held by PPS amounting to US$33.5 million. This transfer follows a corporate policy that seeks to restructure assets held across subsidiaries in the group. Credicorp’s consolidated balances are not affected since these shares were already reported as part of treasury shares in Credicorp’s equity accounts, and, additionally, all effects on income statement accounts caused by this transfer are eliminated in the process of consolidating Credicorp’s financial statements.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Deposits </w:t>
      </w:r>
      <w:r>
        <w:rPr>
          <w:rFonts w:ascii="Arial" w:cs="Arial" w:eastAsia="Arial" w:hAnsi="Arial"/>
          <w:sz w:val="18"/>
          <w:szCs w:val="18"/>
          <w:color w:val="auto"/>
        </w:rPr>
        <w:t>amounted to US$677.8 million at June 30, 2004, increasing from the balance of US$638.1 million at the end of the preceding first quarter 2004, and</w:t>
      </w:r>
      <w:r>
        <w:rPr>
          <w:rFonts w:ascii="Arial" w:cs="Arial" w:eastAsia="Arial" w:hAnsi="Arial"/>
          <w:sz w:val="18"/>
          <w:szCs w:val="18"/>
          <w:b w:val="1"/>
          <w:bCs w:val="1"/>
          <w:color w:val="auto"/>
        </w:rPr>
        <w:t xml:space="preserve"> </w:t>
      </w:r>
      <w:r>
        <w:rPr>
          <w:rFonts w:ascii="Arial" w:cs="Arial" w:eastAsia="Arial" w:hAnsi="Arial"/>
          <w:sz w:val="18"/>
          <w:szCs w:val="18"/>
          <w:color w:val="auto"/>
        </w:rPr>
        <w:t>also compared to US$583.7 million at the end of June 2003.</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Funds under management </w:t>
      </w:r>
      <w:r>
        <w:rPr>
          <w:rFonts w:ascii="Arial" w:cs="Arial" w:eastAsia="Arial" w:hAnsi="Arial"/>
          <w:sz w:val="18"/>
          <w:szCs w:val="18"/>
          <w:color w:val="auto"/>
        </w:rPr>
        <w:t>were US$693.5 million at June 30, 2004, 26.8% higher than US$547.1 million at June 2003, but grow only slightly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US$691.2 million at March 2004 due to increased uncertainty around increasing international interest rates. The increase compared to funds at June 2003 is principally due to the introduction of new structured products and funds under management with higher yields than interest paid on bank deposits, and, to a lesser extent, to higher market valuation of this portfolio.</w:t>
      </w:r>
    </w:p>
    <w:p>
      <w:pPr>
        <w:spacing w:after="0" w:line="19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Net equity </w:t>
      </w:r>
      <w:r>
        <w:rPr>
          <w:rFonts w:ascii="Arial" w:cs="Arial" w:eastAsia="Arial" w:hAnsi="Arial"/>
          <w:sz w:val="16"/>
          <w:szCs w:val="16"/>
          <w:color w:val="auto"/>
        </w:rPr>
        <w:t>reached US$141.3 million at the end of June 2004, increasing over US$121.9 million at March 2004, mainly due to the US$20.0 million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from Credicorp, related to the above mentioned purchase of its treasury shares from PPS. The equity account of reserves for market value of investments, decreased from a balance of unrealized gains of US$12.2 million at the end of March 2004, to unrealized gains of US$7.1 million at June 30, 2004.</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IV. EL PACIFICO-PERUANO SUIZA AND SUBSIDIARIES (“PPS”)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the first semester of 2004 a consolidated net income of S/.65.4 million (US$18.8 million), more than double profits of S/.30.5 million (US$8.8 million) in the first-half of 2003. In the quarter ended June 30, 2004, net income was S/.57.5 million (US$16.6 million), increasing over net income of S/.25.0 million (US$7.2 million) in the same year-ago quarter.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first-half and second quarter of 2004 net income increased over the prior year periods mainly because of gains from the sale to ASHC of Credicorp equity shares, which were kept by PPS as part of its investment portfolio. The sale amounted to S/.115.9 million (US$33.5 million) and resulted in a net gain of S/.75.5 million (US$21.7 million), not subject to income taxes, in PPS’s local records. In Credicorp’s consolidated financial statements, these shares already were part of the treasury shares equity account. In Credicorp’s records, all the effects of the transfer of these shares, including the gains, are eliminated in the consolidation process.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current quarter, the merger of Novasalud with Pacífico Salud continued its progress. Novasalud was acquired in March 2004, and is expected to finalize its merger during third quarter 2004. Consolidated financial statements reported by PPS as of June 30, 2004 do not consolidate line-by-line Novasalud’s balances, instead, the acquisition is shown as part of investments, net of its corresponding equity value provision. In the second quarter, provisions made for this concept amounted to S/.22.4 million (US$6.4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Comparing cumulative results for first-half 2004 and 2003, consolidated total premiums and fees consisted of:</w:t>
      </w:r>
    </w:p>
    <w:p>
      <w:pPr>
        <w:spacing w:after="0" w:line="22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insurance lines, that amounted to 50.6% of total premiums and decreased 9.6%;</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fees at Pacífico Salud, that were 11.2% of total premiums and increased 21.0%;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Pacífico Vida, which amounted to 38.2% of the total and decreased 2.0%.</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June 30, 2004, growth of Pacífico Salud and the health and medical assistance insurance line (21.6% of total premiums) was 8.6%; fire insurance lines (15.0% of total premiums) decreased 29.1%; while the automobile insurance line (6.0% of total premiums) grew 2.8% compared to the prior year period.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June 2004, group life insurance and individual life insurance policies (11.5% of total premiums) grew 5.8%; life annuities (20.8% of total premiums) increased 2.2%; while pension fund benefits insurance (4.9% of total premiums) decreased 27.8%, compared to the prior year. Decreased pension fund insurance premiums is due to regulatory changes in procedures for the purchase of insurance coverage by Private Pension Funds (“AFPs”), after the end of the Transitory Arrangement, which caused increased competition and lower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operating expense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Total premiums and Pacífico Salud health fees in the second quarter of 2004 were S/.269.6 million (US$77.7 million), 5.0% below premiums of S/.283.7 million (US$81.7 million) in the year-ago quarter, due mainly to lower general insurance premiums, partly offset by growth in Pacífico Salud. Retained premiums increase 9.4% to S/.229.4 million (US$66.1 million) in this quarter from S/.209.6 million (US$60.4 million) in second quarter 2003.</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premiums earned and health fees, net of reinsured premiums and reserves, were S/.126.6 million (US$36.5 million) in second quarter 2004, 1.7% below premiums in the prior year quarter. Net premiums earned remained similar to the year-ago period mainly due to a higher retention rate which partly offsets increased reserves.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Additions to technical reserves for premiums grew by S/.102.8 million (US$29.6 million) in the second quarter of 2004, 27.1% higher than additions in the same quarter of last year. Most of reserves in the second quarter of 2004 were established by Pacífico Vida, for its life annuities and life insurance lines.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consolidated underwriting results was S/.10.8 million (US$3.1 million) in the second quarter of 2004, decreasing from S/.14.8 million (US$4.3 million) in the prior year quarter. Nevertheless, underwriting results in first-half 2004 grew 5.2%, to S/.31.9 million (US$9.2 million), compared to results in the same period of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ratio of net underwriting results (net premiums and health fees less reserves and claims as a percentage of total premiums) declines to 4.0% in the second quarter of 2004, compared to the 5.2% ratio in the prior year quarter, mainly due to lower premiums.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results increase from S/.48.3 million (US$13.9 million) in second quarter 2003 to S/.106.4 million (US$30.6 million) in the current quarter, mainly due to gains on the above mentioned sale of Credicorp shares. In the year-ago second quarter, gains were obtained from the sale of long-term investments amounting to S/.19.7 million (US$5.7 million).</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Other provisions concept, that resulted in gains of S/.1.1 million (US$0.3 million) in second quarter 2003, decline to an expense of S/.23.4 million (US$6.7 million) in the current period mainly due to the amortization of the investment in Novasalud, as mentioned previously.</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Adjustments for exposure to inflation and exchange differences resulted in a loss of S/.4.3 million (US$1.2 million) in second quarter 2004, compared to a gain of S/.1.2 million (US$0.4 million) in the same period of 2003.</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Operating expenses over net premiums earned decreased from 24.6% to 23.0% comparing the second quarters of 2003 and 2004, respectively. The ratio of operating expenses over average assets decreased from 8.0% to 6.3%, in these same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Net insurance claims and health services costs incurred in the second quarter of 2004 were S/.96.1 million (US$27.7 million), remaining similar to claims in the same quarter of 2003, since increased claims in business lines of marine hull and Pacífico Salud were offset by decreases in Pacífico Vida.</w:t>
      </w:r>
    </w:p>
    <w:p>
      <w:pPr>
        <w:spacing w:after="0" w:line="13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net loss ratio</w:t>
      </w:r>
      <w:r>
        <w:rPr>
          <w:rFonts w:ascii="Arial" w:cs="Arial" w:eastAsia="Arial" w:hAnsi="Arial"/>
          <w:sz w:val="16"/>
          <w:szCs w:val="16"/>
          <w:color w:val="auto"/>
        </w:rPr>
        <w:t xml:space="preserve"> (net claims to net premiums) decreases to 41.9% in the current quarter from 46.0% in second quarter 2003 due to the higher retention rate. Cumulative through June 2004, the net loss ratio was 45.4%, also below 48.4% in first-half 2003. In first-half 2004, the net loss ratio continues high in pension</w:t>
      </w:r>
    </w:p>
    <w:p>
      <w:pPr>
        <w:sectPr>
          <w:pgSz w:w="11900" w:h="16838" w:orient="portrait"/>
          <w:cols w:equalWidth="0" w:num="1">
            <w:col w:w="11420"/>
          </w:cols>
          <w:pgMar w:left="240" w:top="125"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fund insurance (75.8%), health (77.5%) and in Pacífico Salud (84.5%).</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combined ratio</w:t>
      </w:r>
      <w:r>
        <w:rPr>
          <w:rFonts w:ascii="Arial" w:cs="Arial" w:eastAsia="Arial" w:hAnsi="Arial"/>
          <w:sz w:val="18"/>
          <w:szCs w:val="18"/>
          <w:color w:val="auto"/>
        </w:rPr>
        <w:t xml:space="preserve"> (the sum of net claims and health services, general expenses and commissions, as a percentage of net earned premiums and health fees, without including Pacifico Vida) increased from 99.5% in the second quarter of 2003 to 102.4% in the current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investments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Investments in real estate and financial assets were S/.1,465 million (US$422.0 million) at the end of the current quarter, increasing 17.1% from the year-ago balance.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2004, total assets were S/.1,926 million (US$554.8 million) increasing 13.1% compared to the year-ago balance. At the end of the current period net equity amounted to S/.396.5 million (US$114.2 million), 2.8% above net equity at June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May 31, 2004, had total premiums of US$344.2 million, 6.7% below premiums in the same five month period in 2003, mainly due to lower sales of fire insurance and life annuities. For the five months of 2004, PPS's market share in total premiums was 28.8% (29.3% in the year-ago period), with the share in general risks and health lines being 31.2% (31.6% in the same period of 2003) and in life insurance and pension fund benefits lines of 25.7% (26.5% in the same period of 2003).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Tables To Follow ***</w:t>
      </w:r>
    </w:p>
    <w:p>
      <w:pPr>
        <w:sectPr>
          <w:pgSz w:w="11900" w:h="16838" w:orient="portrait"/>
          <w:cols w:equalWidth="0" w:num="1">
            <w:col w:w="11420"/>
          </w:cols>
          <w:pgMar w:left="240" w:top="1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b w:val="1"/>
                <w:bCs w:val="1"/>
                <w:color w:val="auto"/>
                <w:w w:val="97"/>
              </w:rPr>
              <w:t>As of</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w w:val="88"/>
              </w:rPr>
              <w:t>ASSETS</w:t>
            </w:r>
          </w:p>
        </w:tc>
        <w:tc>
          <w:tcPr>
            <w:tcW w:w="19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Jun. 30, 2003</w:t>
            </w:r>
          </w:p>
        </w:tc>
        <w:tc>
          <w:tcPr>
            <w:tcW w:w="180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 31, 2003</w:t>
            </w:r>
          </w:p>
        </w:tc>
        <w:tc>
          <w:tcPr>
            <w:tcW w:w="1620" w:type="dxa"/>
            <w:vAlign w:val="bottom"/>
            <w:gridSpan w:val="4"/>
          </w:tcPr>
          <w:p>
            <w:pPr>
              <w:ind w:left="80"/>
              <w:spacing w:after="0"/>
              <w:rPr>
                <w:sz w:val="20"/>
                <w:szCs w:val="20"/>
                <w:color w:val="auto"/>
              </w:rPr>
            </w:pPr>
            <w:r>
              <w:rPr>
                <w:rFonts w:ascii="Arial" w:cs="Arial" w:eastAsia="Arial" w:hAnsi="Arial"/>
                <w:sz w:val="18"/>
                <w:szCs w:val="18"/>
                <w:b w:val="1"/>
                <w:bCs w:val="1"/>
                <w:color w:val="auto"/>
              </w:rPr>
              <w:t>Mar. 31, 2004</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Jun. 30, 2004</w:t>
            </w:r>
          </w:p>
        </w:tc>
        <w:tc>
          <w:tcPr>
            <w:tcW w:w="0" w:type="dxa"/>
            <w:vAlign w:val="bottom"/>
          </w:tcPr>
          <w:p>
            <w:pPr>
              <w:spacing w:after="0"/>
              <w:rPr>
                <w:sz w:val="1"/>
                <w:szCs w:val="1"/>
                <w:color w:val="auto"/>
              </w:rPr>
            </w:pPr>
          </w:p>
        </w:tc>
      </w:tr>
      <w:tr>
        <w:trPr>
          <w:trHeight w:val="110"/>
        </w:trPr>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80" w:type="dxa"/>
            <w:vAlign w:val="bottom"/>
            <w:gridSpan w:val="7"/>
          </w:tcPr>
          <w:p>
            <w:pPr>
              <w:spacing w:after="0"/>
              <w:rPr>
                <w:sz w:val="20"/>
                <w:szCs w:val="20"/>
                <w:color w:val="auto"/>
              </w:rPr>
            </w:pPr>
            <w:r>
              <w:rPr>
                <w:rFonts w:ascii="Arial" w:cs="Arial" w:eastAsia="Arial" w:hAnsi="Arial"/>
                <w:sz w:val="18"/>
                <w:szCs w:val="18"/>
                <w:color w:val="auto"/>
              </w:rPr>
              <w:t>CASH AND DUE FROM BANKS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80" w:type="dxa"/>
            <w:vAlign w:val="bottom"/>
            <w:gridSpan w:val="7"/>
          </w:tcPr>
          <w:p>
            <w:pPr>
              <w:spacing w:after="0"/>
              <w:rPr>
                <w:sz w:val="20"/>
                <w:szCs w:val="20"/>
                <w:color w:val="auto"/>
              </w:rPr>
            </w:pPr>
            <w:r>
              <w:rPr>
                <w:rFonts w:ascii="Arial" w:cs="Arial" w:eastAsia="Arial" w:hAnsi="Arial"/>
                <w:sz w:val="18"/>
                <w:szCs w:val="18"/>
                <w:color w:val="auto"/>
              </w:rPr>
              <w:t>Cash and non interest bearing deposits in banks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251,643</w:t>
            </w:r>
          </w:p>
        </w:tc>
        <w:tc>
          <w:tcPr>
            <w:tcW w:w="1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240,294</w:t>
            </w: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255,941</w:t>
            </w:r>
          </w:p>
        </w:tc>
        <w:tc>
          <w:tcPr>
            <w:tcW w:w="1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277,658</w:t>
            </w:r>
          </w:p>
        </w:tc>
        <w:tc>
          <w:tcPr>
            <w:tcW w:w="0" w:type="dxa"/>
            <w:vAlign w:val="bottom"/>
          </w:tcPr>
          <w:p>
            <w:pPr>
              <w:spacing w:after="0"/>
              <w:rPr>
                <w:sz w:val="1"/>
                <w:szCs w:val="1"/>
                <w:color w:val="auto"/>
              </w:rPr>
            </w:pPr>
          </w:p>
        </w:tc>
      </w:tr>
      <w:tr>
        <w:trPr>
          <w:trHeight w:val="184"/>
        </w:trPr>
        <w:tc>
          <w:tcPr>
            <w:tcW w:w="4580" w:type="dxa"/>
            <w:vAlign w:val="bottom"/>
            <w:gridSpan w:val="7"/>
          </w:tcPr>
          <w:p>
            <w:pPr>
              <w:spacing w:after="0" w:line="184" w:lineRule="exact"/>
              <w:rPr>
                <w:sz w:val="20"/>
                <w:szCs w:val="20"/>
                <w:color w:val="auto"/>
              </w:rPr>
            </w:pPr>
            <w:r>
              <w:rPr>
                <w:rFonts w:ascii="Arial" w:cs="Arial" w:eastAsia="Arial" w:hAnsi="Arial"/>
                <w:sz w:val="18"/>
                <w:szCs w:val="18"/>
                <w:color w:val="auto"/>
              </w:rPr>
              <w:t>Interest bearing deposits in banks</w:t>
            </w:r>
          </w:p>
        </w:tc>
        <w:tc>
          <w:tcPr>
            <w:tcW w:w="17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1,616,400</w:t>
            </w:r>
          </w:p>
        </w:tc>
        <w:tc>
          <w:tcPr>
            <w:tcW w:w="180" w:type="dxa"/>
            <w:vAlign w:val="bottom"/>
          </w:tcPr>
          <w:p>
            <w:pPr>
              <w:spacing w:after="0"/>
              <w:rPr>
                <w:sz w:val="15"/>
                <w:szCs w:val="15"/>
                <w:color w:val="auto"/>
              </w:rPr>
            </w:pPr>
          </w:p>
        </w:tc>
        <w:tc>
          <w:tcPr>
            <w:tcW w:w="15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1,372,436</w:t>
            </w:r>
          </w:p>
        </w:tc>
        <w:tc>
          <w:tcPr>
            <w:tcW w:w="260" w:type="dxa"/>
            <w:vAlign w:val="bottom"/>
          </w:tcPr>
          <w:p>
            <w:pPr>
              <w:spacing w:after="0"/>
              <w:rPr>
                <w:sz w:val="15"/>
                <w:szCs w:val="15"/>
                <w:color w:val="auto"/>
              </w:rPr>
            </w:pPr>
          </w:p>
        </w:tc>
        <w:tc>
          <w:tcPr>
            <w:tcW w:w="14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1,298,914</w:t>
            </w:r>
          </w:p>
        </w:tc>
        <w:tc>
          <w:tcPr>
            <w:tcW w:w="180" w:type="dxa"/>
            <w:vAlign w:val="bottom"/>
          </w:tcPr>
          <w:p>
            <w:pPr>
              <w:spacing w:after="0"/>
              <w:rPr>
                <w:sz w:val="15"/>
                <w:szCs w:val="15"/>
                <w:color w:val="auto"/>
              </w:rPr>
            </w:pPr>
          </w:p>
        </w:tc>
        <w:tc>
          <w:tcPr>
            <w:tcW w:w="15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1,550,338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1,868,043</w:t>
            </w:r>
          </w:p>
        </w:tc>
        <w:tc>
          <w:tcPr>
            <w:tcW w:w="180" w:type="dxa"/>
            <w:vAlign w:val="bottom"/>
          </w:tcPr>
          <w:p>
            <w:pPr>
              <w:spacing w:after="0"/>
              <w:rPr>
                <w:sz w:val="17"/>
                <w:szCs w:val="17"/>
                <w:color w:val="auto"/>
              </w:rPr>
            </w:pPr>
          </w:p>
        </w:tc>
        <w:tc>
          <w:tcPr>
            <w:tcW w:w="15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1,612,730</w:t>
            </w:r>
          </w:p>
        </w:tc>
        <w:tc>
          <w:tcPr>
            <w:tcW w:w="260" w:type="dxa"/>
            <w:vAlign w:val="bottom"/>
          </w:tcPr>
          <w:p>
            <w:pPr>
              <w:spacing w:after="0"/>
              <w:rPr>
                <w:sz w:val="17"/>
                <w:szCs w:val="17"/>
                <w:color w:val="auto"/>
              </w:rPr>
            </w:pP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1,554,855</w:t>
            </w:r>
          </w:p>
        </w:tc>
        <w:tc>
          <w:tcPr>
            <w:tcW w:w="180" w:type="dxa"/>
            <w:vAlign w:val="bottom"/>
          </w:tcPr>
          <w:p>
            <w:pPr>
              <w:spacing w:after="0"/>
              <w:rPr>
                <w:sz w:val="17"/>
                <w:szCs w:val="17"/>
                <w:color w:val="auto"/>
              </w:rPr>
            </w:pPr>
          </w:p>
        </w:tc>
        <w:tc>
          <w:tcPr>
            <w:tcW w:w="1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1,827,996</w:t>
            </w:r>
          </w:p>
        </w:tc>
        <w:tc>
          <w:tcPr>
            <w:tcW w:w="0" w:type="dxa"/>
            <w:vAlign w:val="bottom"/>
          </w:tcPr>
          <w:p>
            <w:pPr>
              <w:spacing w:after="0"/>
              <w:rPr>
                <w:sz w:val="1"/>
                <w:szCs w:val="1"/>
                <w:color w:val="auto"/>
              </w:rPr>
            </w:pPr>
          </w:p>
        </w:tc>
      </w:tr>
      <w:tr>
        <w:trPr>
          <w:trHeight w:val="451"/>
        </w:trPr>
        <w:tc>
          <w:tcPr>
            <w:tcW w:w="4580" w:type="dxa"/>
            <w:vAlign w:val="bottom"/>
            <w:gridSpan w:val="7"/>
          </w:tcPr>
          <w:p>
            <w:pPr>
              <w:spacing w:after="0"/>
              <w:rPr>
                <w:sz w:val="20"/>
                <w:szCs w:val="20"/>
                <w:color w:val="auto"/>
              </w:rPr>
            </w:pPr>
            <w:r>
              <w:rPr>
                <w:rFonts w:ascii="Arial" w:cs="Arial" w:eastAsia="Arial" w:hAnsi="Arial"/>
                <w:sz w:val="18"/>
                <w:szCs w:val="18"/>
                <w:color w:val="auto"/>
              </w:rPr>
              <w:t>MARKETABLE SECURITIES, net</w:t>
            </w:r>
          </w:p>
        </w:tc>
        <w:tc>
          <w:tcPr>
            <w:tcW w:w="1040" w:type="dxa"/>
            <w:vAlign w:val="bottom"/>
          </w:tcPr>
          <w:p>
            <w:pPr>
              <w:spacing w:after="0"/>
              <w:rPr>
                <w:sz w:val="24"/>
                <w:szCs w:val="24"/>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68,081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127,365</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100,991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53,947</w:t>
            </w:r>
          </w:p>
        </w:tc>
        <w:tc>
          <w:tcPr>
            <w:tcW w:w="0" w:type="dxa"/>
            <w:vAlign w:val="bottom"/>
          </w:tcPr>
          <w:p>
            <w:pPr>
              <w:spacing w:after="0"/>
              <w:rPr>
                <w:sz w:val="1"/>
                <w:szCs w:val="1"/>
                <w:color w:val="auto"/>
              </w:rPr>
            </w:pPr>
          </w:p>
        </w:tc>
      </w:tr>
      <w:tr>
        <w:trPr>
          <w:trHeight w:val="394"/>
        </w:trPr>
        <w:tc>
          <w:tcPr>
            <w:tcW w:w="600" w:type="dxa"/>
            <w:vAlign w:val="bottom"/>
          </w:tcPr>
          <w:p>
            <w:pPr>
              <w:spacing w:after="0"/>
              <w:rPr>
                <w:sz w:val="20"/>
                <w:szCs w:val="20"/>
                <w:color w:val="auto"/>
              </w:rPr>
            </w:pPr>
            <w:r>
              <w:rPr>
                <w:rFonts w:ascii="Arial" w:cs="Arial" w:eastAsia="Arial" w:hAnsi="Arial"/>
                <w:sz w:val="18"/>
                <w:szCs w:val="18"/>
                <w:color w:val="auto"/>
                <w:w w:val="94"/>
              </w:rPr>
              <w:t>LOANS</w:t>
            </w:r>
          </w:p>
        </w:tc>
        <w:tc>
          <w:tcPr>
            <w:tcW w:w="3980" w:type="dxa"/>
            <w:vAlign w:val="bottom"/>
            <w:gridSpan w:val="6"/>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4,581,397</w:t>
            </w:r>
          </w:p>
        </w:tc>
        <w:tc>
          <w:tcPr>
            <w:tcW w:w="1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4,481,496</w:t>
            </w:r>
          </w:p>
        </w:tc>
        <w:tc>
          <w:tcPr>
            <w:tcW w:w="2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4,401,684</w:t>
            </w:r>
          </w:p>
        </w:tc>
        <w:tc>
          <w:tcPr>
            <w:tcW w:w="1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4,601,814</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w w:val="96"/>
              </w:rPr>
              <w:t>Current</w:t>
            </w:r>
          </w:p>
        </w:tc>
        <w:tc>
          <w:tcPr>
            <w:tcW w:w="3980" w:type="dxa"/>
            <w:vAlign w:val="bottom"/>
            <w:gridSpan w:val="6"/>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4,221,341</w:t>
            </w:r>
          </w:p>
        </w:tc>
        <w:tc>
          <w:tcPr>
            <w:tcW w:w="1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4,225,001</w:t>
            </w: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4,151,861</w:t>
            </w:r>
          </w:p>
        </w:tc>
        <w:tc>
          <w:tcPr>
            <w:tcW w:w="1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4,379,358</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Past Due</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360,056</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256,495</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249,823</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222,456</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Less - Reserve for possible loan losses</w:t>
            </w:r>
          </w:p>
        </w:tc>
        <w:tc>
          <w:tcPr>
            <w:tcW w:w="1900" w:type="dxa"/>
            <w:vAlign w:val="bottom"/>
            <w:gridSpan w:val="4"/>
          </w:tcPr>
          <w:p>
            <w:pPr>
              <w:jc w:val="right"/>
              <w:ind w:right="180"/>
              <w:spacing w:after="0"/>
              <w:rPr>
                <w:sz w:val="20"/>
                <w:szCs w:val="20"/>
                <w:color w:val="auto"/>
              </w:rPr>
            </w:pPr>
            <w:r>
              <w:rPr>
                <w:rFonts w:ascii="Arial" w:cs="Arial" w:eastAsia="Arial" w:hAnsi="Arial"/>
                <w:sz w:val="18"/>
                <w:szCs w:val="18"/>
                <w:color w:val="auto"/>
              </w:rPr>
              <w:t>(407,117)</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(326,677)</w:t>
            </w:r>
          </w:p>
        </w:tc>
        <w:tc>
          <w:tcPr>
            <w:tcW w:w="260" w:type="dxa"/>
            <w:vAlign w:val="bottom"/>
          </w:tcPr>
          <w:p>
            <w:pPr>
              <w:spacing w:after="0"/>
              <w:rPr>
                <w:sz w:val="18"/>
                <w:szCs w:val="18"/>
                <w:color w:val="auto"/>
              </w:rPr>
            </w:pPr>
          </w:p>
        </w:tc>
        <w:tc>
          <w:tcPr>
            <w:tcW w:w="1620" w:type="dxa"/>
            <w:vAlign w:val="bottom"/>
            <w:gridSpan w:val="4"/>
          </w:tcPr>
          <w:p>
            <w:pPr>
              <w:jc w:val="right"/>
              <w:ind w:right="180"/>
              <w:spacing w:after="0"/>
              <w:rPr>
                <w:sz w:val="20"/>
                <w:szCs w:val="20"/>
                <w:color w:val="auto"/>
              </w:rPr>
            </w:pPr>
            <w:r>
              <w:rPr>
                <w:rFonts w:ascii="Arial" w:cs="Arial" w:eastAsia="Arial" w:hAnsi="Arial"/>
                <w:sz w:val="18"/>
                <w:szCs w:val="18"/>
                <w:color w:val="auto"/>
              </w:rPr>
              <w:t>(313,606)</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(293,263)</w:t>
            </w:r>
          </w:p>
        </w:tc>
        <w:tc>
          <w:tcPr>
            <w:tcW w:w="0" w:type="dxa"/>
            <w:vAlign w:val="bottom"/>
          </w:tcPr>
          <w:p>
            <w:pPr>
              <w:spacing w:after="0"/>
              <w:rPr>
                <w:sz w:val="1"/>
                <w:szCs w:val="1"/>
                <w:color w:val="auto"/>
              </w:rPr>
            </w:pPr>
          </w:p>
        </w:tc>
      </w:tr>
      <w:tr>
        <w:trPr>
          <w:trHeight w:val="184"/>
        </w:trPr>
        <w:tc>
          <w:tcPr>
            <w:tcW w:w="980" w:type="dxa"/>
            <w:vAlign w:val="bottom"/>
            <w:gridSpan w:val="2"/>
          </w:tcPr>
          <w:p>
            <w:pPr>
              <w:spacing w:after="0" w:line="184" w:lineRule="exact"/>
              <w:rPr>
                <w:sz w:val="20"/>
                <w:szCs w:val="20"/>
                <w:color w:val="auto"/>
              </w:rPr>
            </w:pPr>
            <w:r>
              <w:rPr>
                <w:rFonts w:ascii="Arial" w:cs="Arial" w:eastAsia="Arial" w:hAnsi="Arial"/>
                <w:sz w:val="18"/>
                <w:szCs w:val="18"/>
                <w:color w:val="auto"/>
                <w:w w:val="94"/>
              </w:rPr>
              <w:t>LOANS NET</w:t>
            </w:r>
          </w:p>
        </w:tc>
        <w:tc>
          <w:tcPr>
            <w:tcW w:w="3600" w:type="dxa"/>
            <w:vAlign w:val="bottom"/>
            <w:gridSpan w:val="5"/>
          </w:tcPr>
          <w:p>
            <w:pPr>
              <w:spacing w:after="0"/>
              <w:rPr>
                <w:sz w:val="15"/>
                <w:szCs w:val="15"/>
                <w:color w:val="auto"/>
              </w:rPr>
            </w:pPr>
          </w:p>
        </w:tc>
        <w:tc>
          <w:tcPr>
            <w:tcW w:w="17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4,174,280</w:t>
            </w:r>
          </w:p>
        </w:tc>
        <w:tc>
          <w:tcPr>
            <w:tcW w:w="180" w:type="dxa"/>
            <w:vAlign w:val="bottom"/>
          </w:tcPr>
          <w:p>
            <w:pPr>
              <w:spacing w:after="0"/>
              <w:rPr>
                <w:sz w:val="15"/>
                <w:szCs w:val="15"/>
                <w:color w:val="auto"/>
              </w:rPr>
            </w:pPr>
          </w:p>
        </w:tc>
        <w:tc>
          <w:tcPr>
            <w:tcW w:w="15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4,154,819</w:t>
            </w:r>
          </w:p>
        </w:tc>
        <w:tc>
          <w:tcPr>
            <w:tcW w:w="260" w:type="dxa"/>
            <w:vAlign w:val="bottom"/>
          </w:tcPr>
          <w:p>
            <w:pPr>
              <w:spacing w:after="0"/>
              <w:rPr>
                <w:sz w:val="15"/>
                <w:szCs w:val="15"/>
                <w:color w:val="auto"/>
              </w:rPr>
            </w:pPr>
          </w:p>
        </w:tc>
        <w:tc>
          <w:tcPr>
            <w:tcW w:w="14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4,088,078</w:t>
            </w:r>
          </w:p>
        </w:tc>
        <w:tc>
          <w:tcPr>
            <w:tcW w:w="180" w:type="dxa"/>
            <w:vAlign w:val="bottom"/>
          </w:tcPr>
          <w:p>
            <w:pPr>
              <w:spacing w:after="0"/>
              <w:rPr>
                <w:sz w:val="15"/>
                <w:szCs w:val="15"/>
                <w:color w:val="auto"/>
              </w:rPr>
            </w:pPr>
          </w:p>
        </w:tc>
        <w:tc>
          <w:tcPr>
            <w:tcW w:w="15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4,308,551</w:t>
            </w: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4580" w:type="dxa"/>
            <w:vAlign w:val="bottom"/>
            <w:gridSpan w:val="7"/>
          </w:tcPr>
          <w:p>
            <w:pPr>
              <w:spacing w:after="0"/>
              <w:rPr>
                <w:sz w:val="20"/>
                <w:szCs w:val="20"/>
                <w:color w:val="auto"/>
              </w:rPr>
            </w:pPr>
            <w:r>
              <w:rPr>
                <w:rFonts w:ascii="Arial" w:cs="Arial" w:eastAsia="Arial" w:hAnsi="Arial"/>
                <w:sz w:val="18"/>
                <w:szCs w:val="18"/>
                <w:color w:val="auto"/>
              </w:rPr>
              <w:t>INVESTMENT SECURITIES AVAILABLE FOR SALE</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1,328,701</w:t>
            </w:r>
          </w:p>
        </w:tc>
        <w:tc>
          <w:tcPr>
            <w:tcW w:w="1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1,612,887</w:t>
            </w:r>
          </w:p>
        </w:tc>
        <w:tc>
          <w:tcPr>
            <w:tcW w:w="2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1,812,966</w:t>
            </w:r>
          </w:p>
        </w:tc>
        <w:tc>
          <w:tcPr>
            <w:tcW w:w="1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1,644,623</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REINSURANCE ASSETS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33,846</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45,904</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49,519</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33,904</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w w:val="94"/>
              </w:rPr>
              <w:t>PREMIUMS AND OTHER POLICYHOLDER RECEIVABLES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56,890</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60,057</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52,026</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54,502</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PROPERTY, PLANT and EQUIPMENT, net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278,002</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264,533</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255,290</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251,288</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DUE FROM CUSTOMERS ON ACCEPTANCES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43,078</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50,178</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41,024</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46,108</w:t>
            </w:r>
          </w:p>
        </w:tc>
        <w:tc>
          <w:tcPr>
            <w:tcW w:w="0" w:type="dxa"/>
            <w:vAlign w:val="bottom"/>
          </w:tcPr>
          <w:p>
            <w:pPr>
              <w:spacing w:after="0"/>
              <w:rPr>
                <w:sz w:val="1"/>
                <w:szCs w:val="1"/>
                <w:color w:val="auto"/>
              </w:rPr>
            </w:pPr>
          </w:p>
        </w:tc>
      </w:tr>
      <w:tr>
        <w:trPr>
          <w:trHeight w:val="222"/>
        </w:trPr>
        <w:tc>
          <w:tcPr>
            <w:tcW w:w="4580" w:type="dxa"/>
            <w:vAlign w:val="bottom"/>
            <w:gridSpan w:val="7"/>
          </w:tcPr>
          <w:p>
            <w:pPr>
              <w:spacing w:after="0"/>
              <w:rPr>
                <w:sz w:val="20"/>
                <w:szCs w:val="20"/>
                <w:color w:val="auto"/>
              </w:rPr>
            </w:pPr>
            <w:r>
              <w:rPr>
                <w:rFonts w:ascii="Arial" w:cs="Arial" w:eastAsia="Arial" w:hAnsi="Arial"/>
                <w:sz w:val="18"/>
                <w:szCs w:val="18"/>
                <w:color w:val="auto"/>
              </w:rPr>
              <w:t>OTHER ASSETS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383,210</w:t>
            </w:r>
          </w:p>
        </w:tc>
        <w:tc>
          <w:tcPr>
            <w:tcW w:w="1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370,672</w:t>
            </w: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338,631</w:t>
            </w:r>
          </w:p>
        </w:tc>
        <w:tc>
          <w:tcPr>
            <w:tcW w:w="1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323,003</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TOTAL ASSETS</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8,234,131</w:t>
            </w:r>
          </w:p>
        </w:tc>
        <w:tc>
          <w:tcPr>
            <w:tcW w:w="1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8,299,146</w:t>
            </w:r>
          </w:p>
        </w:tc>
        <w:tc>
          <w:tcPr>
            <w:tcW w:w="2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8,293,380</w:t>
            </w:r>
          </w:p>
        </w:tc>
        <w:tc>
          <w:tcPr>
            <w:tcW w:w="1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8,543,922</w:t>
            </w:r>
          </w:p>
        </w:tc>
        <w:tc>
          <w:tcPr>
            <w:tcW w:w="0" w:type="dxa"/>
            <w:vAlign w:val="bottom"/>
          </w:tcPr>
          <w:p>
            <w:pPr>
              <w:spacing w:after="0"/>
              <w:rPr>
                <w:sz w:val="1"/>
                <w:szCs w:val="1"/>
                <w:color w:val="auto"/>
              </w:rPr>
            </w:pPr>
          </w:p>
        </w:tc>
      </w:tr>
      <w:tr>
        <w:trPr>
          <w:trHeight w:val="432"/>
        </w:trPr>
        <w:tc>
          <w:tcPr>
            <w:tcW w:w="4580" w:type="dxa"/>
            <w:vAlign w:val="bottom"/>
            <w:gridSpan w:val="7"/>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580" w:type="dxa"/>
            <w:vAlign w:val="bottom"/>
            <w:gridSpan w:val="7"/>
          </w:tcPr>
          <w:p>
            <w:pPr>
              <w:spacing w:after="0"/>
              <w:rPr>
                <w:sz w:val="20"/>
                <w:szCs w:val="20"/>
                <w:color w:val="auto"/>
              </w:rPr>
            </w:pPr>
            <w:r>
              <w:rPr>
                <w:rFonts w:ascii="Arial" w:cs="Arial" w:eastAsia="Arial" w:hAnsi="Arial"/>
                <w:sz w:val="18"/>
                <w:szCs w:val="18"/>
                <w:color w:val="auto"/>
              </w:rPr>
              <w:t>DEPOSITS AND OBLIGATIONS: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Non-interest bearing</w:t>
            </w:r>
          </w:p>
        </w:tc>
        <w:tc>
          <w:tcPr>
            <w:tcW w:w="2080" w:type="dxa"/>
            <w:vAlign w:val="bottom"/>
            <w:gridSpan w:val="2"/>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812,058</w:t>
            </w:r>
          </w:p>
        </w:tc>
        <w:tc>
          <w:tcPr>
            <w:tcW w:w="1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860,585</w:t>
            </w: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905,355</w:t>
            </w:r>
          </w:p>
        </w:tc>
        <w:tc>
          <w:tcPr>
            <w:tcW w:w="1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949,788</w:t>
            </w:r>
          </w:p>
        </w:tc>
        <w:tc>
          <w:tcPr>
            <w:tcW w:w="0" w:type="dxa"/>
            <w:vAlign w:val="bottom"/>
          </w:tcPr>
          <w:p>
            <w:pPr>
              <w:spacing w:after="0"/>
              <w:rPr>
                <w:sz w:val="1"/>
                <w:szCs w:val="1"/>
                <w:color w:val="auto"/>
              </w:rPr>
            </w:pPr>
          </w:p>
        </w:tc>
      </w:tr>
      <w:tr>
        <w:trPr>
          <w:trHeight w:val="184"/>
        </w:trPr>
        <w:tc>
          <w:tcPr>
            <w:tcW w:w="4580" w:type="dxa"/>
            <w:vAlign w:val="bottom"/>
            <w:gridSpan w:val="7"/>
          </w:tcPr>
          <w:p>
            <w:pPr>
              <w:spacing w:after="0" w:line="184" w:lineRule="exact"/>
              <w:rPr>
                <w:sz w:val="20"/>
                <w:szCs w:val="20"/>
                <w:color w:val="auto"/>
              </w:rPr>
            </w:pPr>
            <w:r>
              <w:rPr>
                <w:rFonts w:ascii="Arial" w:cs="Arial" w:eastAsia="Arial" w:hAnsi="Arial"/>
                <w:sz w:val="18"/>
                <w:szCs w:val="18"/>
                <w:color w:val="auto"/>
              </w:rPr>
              <w:t>Interest bearing</w:t>
            </w:r>
          </w:p>
        </w:tc>
        <w:tc>
          <w:tcPr>
            <w:tcW w:w="17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5,540,923</w:t>
            </w:r>
          </w:p>
        </w:tc>
        <w:tc>
          <w:tcPr>
            <w:tcW w:w="180" w:type="dxa"/>
            <w:vAlign w:val="bottom"/>
          </w:tcPr>
          <w:p>
            <w:pPr>
              <w:spacing w:after="0"/>
              <w:rPr>
                <w:sz w:val="15"/>
                <w:szCs w:val="15"/>
                <w:color w:val="auto"/>
              </w:rPr>
            </w:pPr>
          </w:p>
        </w:tc>
        <w:tc>
          <w:tcPr>
            <w:tcW w:w="15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5,444,254</w:t>
            </w:r>
          </w:p>
        </w:tc>
        <w:tc>
          <w:tcPr>
            <w:tcW w:w="260" w:type="dxa"/>
            <w:vAlign w:val="bottom"/>
          </w:tcPr>
          <w:p>
            <w:pPr>
              <w:spacing w:after="0"/>
              <w:rPr>
                <w:sz w:val="15"/>
                <w:szCs w:val="15"/>
                <w:color w:val="auto"/>
              </w:rPr>
            </w:pPr>
          </w:p>
        </w:tc>
        <w:tc>
          <w:tcPr>
            <w:tcW w:w="14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5,379,947</w:t>
            </w:r>
          </w:p>
        </w:tc>
        <w:tc>
          <w:tcPr>
            <w:tcW w:w="180" w:type="dxa"/>
            <w:vAlign w:val="bottom"/>
          </w:tcPr>
          <w:p>
            <w:pPr>
              <w:spacing w:after="0"/>
              <w:rPr>
                <w:sz w:val="15"/>
                <w:szCs w:val="15"/>
                <w:color w:val="auto"/>
              </w:rPr>
            </w:pPr>
          </w:p>
        </w:tc>
        <w:tc>
          <w:tcPr>
            <w:tcW w:w="15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5,478,777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6,352,981</w:t>
            </w:r>
          </w:p>
        </w:tc>
        <w:tc>
          <w:tcPr>
            <w:tcW w:w="180" w:type="dxa"/>
            <w:vAlign w:val="bottom"/>
          </w:tcPr>
          <w:p>
            <w:pPr>
              <w:spacing w:after="0"/>
              <w:rPr>
                <w:sz w:val="17"/>
                <w:szCs w:val="17"/>
                <w:color w:val="auto"/>
              </w:rPr>
            </w:pPr>
          </w:p>
        </w:tc>
        <w:tc>
          <w:tcPr>
            <w:tcW w:w="15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6,304,839</w:t>
            </w:r>
          </w:p>
        </w:tc>
        <w:tc>
          <w:tcPr>
            <w:tcW w:w="260" w:type="dxa"/>
            <w:vAlign w:val="bottom"/>
          </w:tcPr>
          <w:p>
            <w:pPr>
              <w:spacing w:after="0"/>
              <w:rPr>
                <w:sz w:val="17"/>
                <w:szCs w:val="17"/>
                <w:color w:val="auto"/>
              </w:rPr>
            </w:pP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6,285,302</w:t>
            </w:r>
          </w:p>
        </w:tc>
        <w:tc>
          <w:tcPr>
            <w:tcW w:w="180" w:type="dxa"/>
            <w:vAlign w:val="bottom"/>
          </w:tcPr>
          <w:p>
            <w:pPr>
              <w:spacing w:after="0"/>
              <w:rPr>
                <w:sz w:val="17"/>
                <w:szCs w:val="17"/>
                <w:color w:val="auto"/>
              </w:rPr>
            </w:pPr>
          </w:p>
        </w:tc>
        <w:tc>
          <w:tcPr>
            <w:tcW w:w="15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6,428,565</w:t>
            </w:r>
          </w:p>
        </w:tc>
        <w:tc>
          <w:tcPr>
            <w:tcW w:w="0" w:type="dxa"/>
            <w:vAlign w:val="bottom"/>
          </w:tcPr>
          <w:p>
            <w:pPr>
              <w:spacing w:after="0"/>
              <w:rPr>
                <w:sz w:val="1"/>
                <w:szCs w:val="1"/>
                <w:color w:val="auto"/>
              </w:rPr>
            </w:pPr>
          </w:p>
        </w:tc>
      </w:tr>
      <w:tr>
        <w:trPr>
          <w:trHeight w:val="444"/>
        </w:trPr>
        <w:tc>
          <w:tcPr>
            <w:tcW w:w="4580" w:type="dxa"/>
            <w:vAlign w:val="bottom"/>
            <w:gridSpan w:val="7"/>
          </w:tcPr>
          <w:p>
            <w:pPr>
              <w:spacing w:after="0"/>
              <w:rPr>
                <w:sz w:val="20"/>
                <w:szCs w:val="20"/>
                <w:color w:val="auto"/>
              </w:rPr>
            </w:pPr>
            <w:r>
              <w:rPr>
                <w:rFonts w:ascii="Arial" w:cs="Arial" w:eastAsia="Arial" w:hAnsi="Arial"/>
                <w:sz w:val="18"/>
                <w:szCs w:val="18"/>
                <w:color w:val="auto"/>
              </w:rPr>
              <w:t>DUE TO BANKS AND CORRESPONDENTS</w:t>
            </w:r>
          </w:p>
        </w:tc>
        <w:tc>
          <w:tcPr>
            <w:tcW w:w="1040" w:type="dxa"/>
            <w:vAlign w:val="bottom"/>
          </w:tcPr>
          <w:p>
            <w:pPr>
              <w:spacing w:after="0"/>
              <w:rPr>
                <w:sz w:val="24"/>
                <w:szCs w:val="24"/>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286,857</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273,234</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255,077</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374,206</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ACCEPTANCES OUTSTANDING</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43,078</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50,178</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41,024</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46,108</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RESERVE FOR PROPERTY AND CASUALTY CLAIMS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274,596</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303,587</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324,987</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350,745</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RESERVE FOR UNEARNED PREMIUMS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49,255</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66,084</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66,563</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58,987</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REINSURANCE PAYABLE</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23,815</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33,043</w:t>
            </w:r>
          </w:p>
        </w:tc>
        <w:tc>
          <w:tcPr>
            <w:tcW w:w="260" w:type="dxa"/>
            <w:vAlign w:val="bottom"/>
          </w:tcPr>
          <w:p>
            <w:pPr>
              <w:spacing w:after="0"/>
              <w:rPr>
                <w:sz w:val="18"/>
                <w:szCs w:val="18"/>
                <w:color w:val="auto"/>
              </w:rPr>
            </w:pPr>
          </w:p>
        </w:tc>
        <w:tc>
          <w:tcPr>
            <w:tcW w:w="1620" w:type="dxa"/>
            <w:vAlign w:val="bottom"/>
            <w:gridSpan w:val="4"/>
          </w:tcPr>
          <w:p>
            <w:pPr>
              <w:jc w:val="right"/>
              <w:ind w:right="180"/>
              <w:spacing w:after="0"/>
              <w:rPr>
                <w:sz w:val="20"/>
                <w:szCs w:val="20"/>
                <w:color w:val="auto"/>
              </w:rPr>
            </w:pPr>
            <w:r>
              <w:rPr>
                <w:rFonts w:ascii="Arial" w:cs="Arial" w:eastAsia="Arial" w:hAnsi="Arial"/>
                <w:sz w:val="18"/>
                <w:szCs w:val="18"/>
                <w:color w:val="auto"/>
              </w:rPr>
              <w:t>22,811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16"/>
        </w:trPr>
        <w:tc>
          <w:tcPr>
            <w:tcW w:w="4580" w:type="dxa"/>
            <w:vAlign w:val="bottom"/>
            <w:gridSpan w:val="7"/>
          </w:tcPr>
          <w:p>
            <w:pPr>
              <w:spacing w:after="0"/>
              <w:rPr>
                <w:sz w:val="20"/>
                <w:szCs w:val="20"/>
                <w:color w:val="auto"/>
              </w:rPr>
            </w:pPr>
            <w:r>
              <w:rPr>
                <w:rFonts w:ascii="Arial" w:cs="Arial" w:eastAsia="Arial" w:hAnsi="Arial"/>
                <w:sz w:val="18"/>
                <w:szCs w:val="18"/>
                <w:color w:val="auto"/>
              </w:rPr>
              <w:t>OTHER LIABILITIES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281,172</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284,607</w:t>
            </w:r>
          </w:p>
        </w:tc>
        <w:tc>
          <w:tcPr>
            <w:tcW w:w="2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309,084</w:t>
            </w:r>
          </w:p>
        </w:tc>
        <w:tc>
          <w:tcPr>
            <w:tcW w:w="1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260,997</w:t>
            </w:r>
          </w:p>
        </w:tc>
        <w:tc>
          <w:tcPr>
            <w:tcW w:w="0" w:type="dxa"/>
            <w:vAlign w:val="bottom"/>
          </w:tcPr>
          <w:p>
            <w:pPr>
              <w:spacing w:after="0"/>
              <w:rPr>
                <w:sz w:val="1"/>
                <w:szCs w:val="1"/>
                <w:color w:val="auto"/>
              </w:rPr>
            </w:pPr>
          </w:p>
        </w:tc>
      </w:tr>
      <w:tr>
        <w:trPr>
          <w:trHeight w:val="222"/>
        </w:trPr>
        <w:tc>
          <w:tcPr>
            <w:tcW w:w="4580" w:type="dxa"/>
            <w:vAlign w:val="bottom"/>
            <w:gridSpan w:val="7"/>
          </w:tcPr>
          <w:p>
            <w:pPr>
              <w:spacing w:after="0"/>
              <w:rPr>
                <w:sz w:val="20"/>
                <w:szCs w:val="20"/>
                <w:color w:val="auto"/>
              </w:rPr>
            </w:pPr>
            <w:r>
              <w:rPr>
                <w:rFonts w:ascii="Arial" w:cs="Arial" w:eastAsia="Arial" w:hAnsi="Arial"/>
                <w:sz w:val="18"/>
                <w:szCs w:val="18"/>
                <w:color w:val="auto"/>
              </w:rPr>
              <w:t>MINORITY INTEREST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66,866</w:t>
            </w:r>
          </w:p>
        </w:tc>
        <w:tc>
          <w:tcPr>
            <w:tcW w:w="1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72,841</w:t>
            </w: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70,372</w:t>
            </w:r>
          </w:p>
        </w:tc>
        <w:tc>
          <w:tcPr>
            <w:tcW w:w="1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69,627</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4"/>
          </w:tcPr>
          <w:p>
            <w:pPr>
              <w:jc w:val="center"/>
              <w:ind w:right="1020"/>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7,378,620</w:t>
            </w:r>
          </w:p>
        </w:tc>
        <w:tc>
          <w:tcPr>
            <w:tcW w:w="1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7,388,413</w:t>
            </w:r>
          </w:p>
        </w:tc>
        <w:tc>
          <w:tcPr>
            <w:tcW w:w="2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7,375,220</w:t>
            </w:r>
          </w:p>
        </w:tc>
        <w:tc>
          <w:tcPr>
            <w:tcW w:w="1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7,603,218</w:t>
            </w:r>
          </w:p>
        </w:tc>
        <w:tc>
          <w:tcPr>
            <w:tcW w:w="0" w:type="dxa"/>
            <w:vAlign w:val="bottom"/>
          </w:tcPr>
          <w:p>
            <w:pPr>
              <w:spacing w:after="0"/>
              <w:rPr>
                <w:sz w:val="1"/>
                <w:szCs w:val="1"/>
                <w:color w:val="auto"/>
              </w:rPr>
            </w:pPr>
          </w:p>
        </w:tc>
      </w:tr>
      <w:tr>
        <w:trPr>
          <w:trHeight w:val="394"/>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40" w:type="dxa"/>
            <w:vAlign w:val="bottom"/>
            <w:gridSpan w:val="4"/>
          </w:tcPr>
          <w:p>
            <w:pPr>
              <w:jc w:val="center"/>
              <w:ind w:right="1040"/>
              <w:spacing w:after="0"/>
              <w:rPr>
                <w:sz w:val="20"/>
                <w:szCs w:val="20"/>
                <w:color w:val="auto"/>
              </w:rPr>
            </w:pPr>
            <w:r>
              <w:rPr>
                <w:rFonts w:ascii="Arial" w:cs="Arial" w:eastAsia="Arial" w:hAnsi="Arial"/>
                <w:sz w:val="18"/>
                <w:szCs w:val="18"/>
                <w:color w:val="auto"/>
                <w:w w:val="94"/>
              </w:rPr>
              <w:t>NET SHAREHOLDERS' EQUITY</w:t>
            </w:r>
          </w:p>
        </w:tc>
        <w:tc>
          <w:tcPr>
            <w:tcW w:w="1900" w:type="dxa"/>
            <w:vAlign w:val="bottom"/>
            <w:gridSpan w:val="4"/>
          </w:tcPr>
          <w:p>
            <w:pPr>
              <w:jc w:val="right"/>
              <w:ind w:right="180"/>
              <w:spacing w:after="0"/>
              <w:rPr>
                <w:sz w:val="20"/>
                <w:szCs w:val="20"/>
                <w:color w:val="auto"/>
              </w:rPr>
            </w:pPr>
            <w:r>
              <w:rPr>
                <w:rFonts w:ascii="Arial" w:cs="Arial" w:eastAsia="Arial" w:hAnsi="Arial"/>
                <w:sz w:val="18"/>
                <w:szCs w:val="18"/>
                <w:color w:val="auto"/>
              </w:rPr>
              <w:t>855,511</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910,733</w:t>
            </w:r>
          </w:p>
        </w:tc>
        <w:tc>
          <w:tcPr>
            <w:tcW w:w="2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918,160</w:t>
            </w:r>
          </w:p>
        </w:tc>
        <w:tc>
          <w:tcPr>
            <w:tcW w:w="1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940,704</w:t>
            </w: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2500" w:type="dxa"/>
            <w:vAlign w:val="bottom"/>
            <w:gridSpan w:val="3"/>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5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8"/>
              </w:rPr>
              <w:t>TOTAL LIABILITIES and NET SHAREHOLDERS'</w:t>
            </w:r>
          </w:p>
        </w:tc>
        <w:tc>
          <w:tcPr>
            <w:tcW w:w="17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8,234,131</w:t>
            </w:r>
          </w:p>
        </w:tc>
        <w:tc>
          <w:tcPr>
            <w:tcW w:w="180" w:type="dxa"/>
            <w:vAlign w:val="bottom"/>
          </w:tcPr>
          <w:p>
            <w:pPr>
              <w:spacing w:after="0"/>
              <w:rPr>
                <w:sz w:val="24"/>
                <w:szCs w:val="24"/>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8,299,146</w:t>
            </w:r>
          </w:p>
        </w:tc>
        <w:tc>
          <w:tcPr>
            <w:tcW w:w="260" w:type="dxa"/>
            <w:vAlign w:val="bottom"/>
          </w:tcPr>
          <w:p>
            <w:pPr>
              <w:spacing w:after="0"/>
              <w:rPr>
                <w:sz w:val="24"/>
                <w:szCs w:val="24"/>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8,293,380</w:t>
            </w:r>
          </w:p>
        </w:tc>
        <w:tc>
          <w:tcPr>
            <w:tcW w:w="180" w:type="dxa"/>
            <w:vAlign w:val="bottom"/>
          </w:tcPr>
          <w:p>
            <w:pPr>
              <w:spacing w:after="0"/>
              <w:rPr>
                <w:sz w:val="24"/>
                <w:szCs w:val="24"/>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8,543,922</w:t>
            </w:r>
          </w:p>
        </w:tc>
        <w:tc>
          <w:tcPr>
            <w:tcW w:w="0" w:type="dxa"/>
            <w:vAlign w:val="bottom"/>
          </w:tcPr>
          <w:p>
            <w:pPr>
              <w:spacing w:after="0"/>
              <w:rPr>
                <w:sz w:val="1"/>
                <w:szCs w:val="1"/>
                <w:color w:val="auto"/>
              </w:rPr>
            </w:pPr>
          </w:p>
        </w:tc>
      </w:tr>
      <w:tr>
        <w:trPr>
          <w:trHeight w:val="120"/>
        </w:trPr>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40" w:type="dxa"/>
            <w:vAlign w:val="bottom"/>
            <w:gridSpan w:val="4"/>
            <w:vMerge w:val="restart"/>
          </w:tcPr>
          <w:p>
            <w:pPr>
              <w:jc w:val="center"/>
              <w:ind w:right="1020"/>
              <w:spacing w:after="0"/>
              <w:rPr>
                <w:sz w:val="20"/>
                <w:szCs w:val="20"/>
                <w:color w:val="auto"/>
              </w:rPr>
            </w:pPr>
            <w:r>
              <w:rPr>
                <w:rFonts w:ascii="Arial" w:cs="Arial" w:eastAsia="Arial" w:hAnsi="Arial"/>
                <w:sz w:val="18"/>
                <w:szCs w:val="18"/>
                <w:b w:val="1"/>
                <w:bCs w:val="1"/>
                <w:color w:val="auto"/>
              </w:rPr>
              <w:t>EQUITY</w:t>
            </w:r>
          </w:p>
        </w:tc>
        <w:tc>
          <w:tcPr>
            <w:tcW w:w="17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540" w:type="dxa"/>
            <w:vAlign w:val="bottom"/>
            <w:gridSpan w:val="4"/>
            <w:vMerge w:val="continue"/>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7"/>
        </w:trPr>
        <w:tc>
          <w:tcPr>
            <w:tcW w:w="4580" w:type="dxa"/>
            <w:vAlign w:val="bottom"/>
            <w:gridSpan w:val="7"/>
          </w:tcPr>
          <w:p>
            <w:pPr>
              <w:spacing w:after="0"/>
              <w:rPr>
                <w:sz w:val="20"/>
                <w:szCs w:val="20"/>
                <w:color w:val="auto"/>
              </w:rPr>
            </w:pPr>
            <w:r>
              <w:rPr>
                <w:rFonts w:ascii="Arial" w:cs="Arial" w:eastAsia="Arial" w:hAnsi="Arial"/>
                <w:sz w:val="18"/>
                <w:szCs w:val="18"/>
                <w:b w:val="1"/>
                <w:bCs w:val="1"/>
                <w:color w:val="auto"/>
              </w:rPr>
              <w:t>CONTINGENT CREDITS</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1,497,043</w:t>
            </w:r>
          </w:p>
        </w:tc>
        <w:tc>
          <w:tcPr>
            <w:tcW w:w="1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1,768,605</w:t>
            </w:r>
          </w:p>
        </w:tc>
        <w:tc>
          <w:tcPr>
            <w:tcW w:w="26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1,761,503</w:t>
            </w:r>
          </w:p>
        </w:tc>
        <w:tc>
          <w:tcPr>
            <w:tcW w:w="1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1,850,037</w:t>
            </w:r>
          </w:p>
        </w:tc>
        <w:tc>
          <w:tcPr>
            <w:tcW w:w="0" w:type="dxa"/>
            <w:vAlign w:val="bottom"/>
          </w:tcPr>
          <w:p>
            <w:pPr>
              <w:spacing w:after="0"/>
              <w:rPr>
                <w:sz w:val="1"/>
                <w:szCs w:val="1"/>
                <w:color w:val="auto"/>
              </w:rPr>
            </w:pPr>
          </w:p>
        </w:tc>
      </w:tr>
      <w:tr>
        <w:trPr>
          <w:trHeight w:val="228"/>
        </w:trPr>
        <w:tc>
          <w:tcPr>
            <w:tcW w:w="4580" w:type="dxa"/>
            <w:vAlign w:val="bottom"/>
            <w:gridSpan w:val="7"/>
          </w:tcPr>
          <w:p>
            <w:pPr>
              <w:spacing w:after="0"/>
              <w:rPr>
                <w:sz w:val="20"/>
                <w:szCs w:val="20"/>
                <w:color w:val="auto"/>
              </w:rPr>
            </w:pPr>
            <w:r>
              <w:rPr>
                <w:rFonts w:ascii="Arial" w:cs="Arial" w:eastAsia="Arial" w:hAnsi="Arial"/>
                <w:sz w:val="18"/>
                <w:szCs w:val="18"/>
                <w:b w:val="1"/>
                <w:bCs w:val="1"/>
                <w:color w:val="auto"/>
              </w:rPr>
              <w:t>FUNDS UNDER MANAGEMENT</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1,502,806</w:t>
            </w:r>
          </w:p>
        </w:tc>
        <w:tc>
          <w:tcPr>
            <w:tcW w:w="18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1,724,130</w:t>
            </w:r>
          </w:p>
        </w:tc>
        <w:tc>
          <w:tcPr>
            <w:tcW w:w="26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1,783,246</w:t>
            </w:r>
          </w:p>
        </w:tc>
        <w:tc>
          <w:tcPr>
            <w:tcW w:w="18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1,711,086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-6699885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-6416675</wp:posOffset>
            </wp:positionV>
            <wp:extent cx="3429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9"/>
          </w:tcPr>
          <w:p>
            <w:pPr>
              <w:jc w:val="right"/>
              <w:ind w:right="7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10"/>
        </w:trPr>
        <w:tc>
          <w:tcPr>
            <w:tcW w:w="1400" w:type="dxa"/>
            <w:vAlign w:val="bottom"/>
          </w:tcPr>
          <w:p>
            <w:pPr>
              <w:spacing w:after="0"/>
              <w:rPr>
                <w:sz w:val="9"/>
                <w:szCs w:val="9"/>
                <w:color w:val="auto"/>
              </w:rPr>
            </w:pPr>
          </w:p>
        </w:tc>
        <w:tc>
          <w:tcPr>
            <w:tcW w:w="318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1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gridSpan w:val="4"/>
          </w:tcPr>
          <w:p>
            <w:pPr>
              <w:jc w:val="right"/>
              <w:ind w:right="295"/>
              <w:spacing w:after="0"/>
              <w:rPr>
                <w:sz w:val="20"/>
                <w:szCs w:val="20"/>
                <w:color w:val="auto"/>
              </w:rPr>
            </w:pPr>
            <w:r>
              <w:rPr>
                <w:rFonts w:ascii="Arial" w:cs="Arial" w:eastAsia="Arial" w:hAnsi="Arial"/>
                <w:sz w:val="18"/>
                <w:szCs w:val="18"/>
                <w:b w:val="1"/>
                <w:bCs w:val="1"/>
                <w:color w:val="auto"/>
              </w:rPr>
              <w:t>30.06.03</w:t>
            </w:r>
          </w:p>
        </w:tc>
        <w:tc>
          <w:tcPr>
            <w:tcW w:w="136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31.03.04</w:t>
            </w:r>
          </w:p>
        </w:tc>
        <w:tc>
          <w:tcPr>
            <w:tcW w:w="240" w:type="dxa"/>
            <w:vAlign w:val="bottom"/>
          </w:tcPr>
          <w:p>
            <w:pPr>
              <w:spacing w:after="0"/>
              <w:rPr>
                <w:sz w:val="24"/>
                <w:szCs w:val="2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30.06.04</w:t>
            </w:r>
          </w:p>
        </w:tc>
        <w:tc>
          <w:tcPr>
            <w:tcW w:w="180" w:type="dxa"/>
            <w:vAlign w:val="bottom"/>
          </w:tcPr>
          <w:p>
            <w:pPr>
              <w:spacing w:after="0"/>
              <w:rPr>
                <w:sz w:val="24"/>
                <w:szCs w:val="24"/>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30.06.03</w:t>
            </w:r>
          </w:p>
        </w:tc>
        <w:tc>
          <w:tcPr>
            <w:tcW w:w="180" w:type="dxa"/>
            <w:vAlign w:val="bottom"/>
          </w:tcPr>
          <w:p>
            <w:pPr>
              <w:spacing w:after="0"/>
              <w:rPr>
                <w:sz w:val="24"/>
                <w:szCs w:val="24"/>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30.06.04</w:t>
            </w:r>
          </w:p>
        </w:tc>
        <w:tc>
          <w:tcPr>
            <w:tcW w:w="0" w:type="dxa"/>
            <w:vAlign w:val="bottom"/>
          </w:tcPr>
          <w:p>
            <w:pPr>
              <w:spacing w:after="0"/>
              <w:rPr>
                <w:sz w:val="1"/>
                <w:szCs w:val="1"/>
                <w:color w:val="auto"/>
              </w:rPr>
            </w:pPr>
          </w:p>
        </w:tc>
      </w:tr>
      <w:tr>
        <w:trPr>
          <w:trHeight w:val="110"/>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INCOME</w:t>
            </w: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5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109,839</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101,275</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103,209</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223,188</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204,484</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Interest and dividends on investments: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845</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1,356</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852</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Interest on deposits with banks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4,508</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3,423</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3,746</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10,654</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184"/>
        </w:trPr>
        <w:tc>
          <w:tcPr>
            <w:tcW w:w="4580" w:type="dxa"/>
            <w:vAlign w:val="bottom"/>
            <w:gridSpan w:val="2"/>
          </w:tcPr>
          <w:p>
            <w:pPr>
              <w:spacing w:after="0" w:line="184" w:lineRule="exact"/>
              <w:rPr>
                <w:sz w:val="20"/>
                <w:szCs w:val="20"/>
                <w:color w:val="auto"/>
              </w:rPr>
            </w:pPr>
            <w:r>
              <w:rPr>
                <w:rFonts w:ascii="Arial" w:cs="Arial" w:eastAsia="Arial" w:hAnsi="Arial"/>
                <w:sz w:val="18"/>
                <w:szCs w:val="18"/>
                <w:color w:val="auto"/>
              </w:rPr>
              <w:t>Interest on trading securities (1)</w:t>
            </w:r>
          </w:p>
        </w:tc>
        <w:tc>
          <w:tcPr>
            <w:tcW w:w="980" w:type="dxa"/>
            <w:vAlign w:val="bottom"/>
            <w:gridSpan w:val="3"/>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77"/>
              </w:rPr>
              <w:t>22,677</w:t>
            </w:r>
          </w:p>
        </w:tc>
        <w:tc>
          <w:tcPr>
            <w:tcW w:w="880" w:type="dxa"/>
            <w:vAlign w:val="bottom"/>
            <w:gridSpan w:val="2"/>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22,259</w:t>
            </w:r>
          </w:p>
        </w:tc>
        <w:tc>
          <w:tcPr>
            <w:tcW w:w="24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50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7"/>
              </w:rPr>
              <w:t>23,058</w:t>
            </w:r>
          </w:p>
        </w:tc>
        <w:tc>
          <w:tcPr>
            <w:tcW w:w="180" w:type="dxa"/>
            <w:vAlign w:val="bottom"/>
          </w:tcPr>
          <w:p>
            <w:pPr>
              <w:spacing w:after="0"/>
              <w:rPr>
                <w:sz w:val="15"/>
                <w:szCs w:val="15"/>
                <w:color w:val="auto"/>
              </w:rPr>
            </w:pPr>
          </w:p>
        </w:tc>
        <w:tc>
          <w:tcPr>
            <w:tcW w:w="136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41,026</w:t>
            </w:r>
          </w:p>
        </w:tc>
        <w:tc>
          <w:tcPr>
            <w:tcW w:w="118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45,317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Income</w:t>
            </w:r>
          </w:p>
        </w:tc>
        <w:tc>
          <w:tcPr>
            <w:tcW w:w="13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137,869</w:t>
            </w:r>
          </w:p>
        </w:tc>
        <w:tc>
          <w:tcPr>
            <w:tcW w:w="13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126,960</w:t>
            </w:r>
          </w:p>
        </w:tc>
        <w:tc>
          <w:tcPr>
            <w:tcW w:w="240" w:type="dxa"/>
            <w:vAlign w:val="bottom"/>
          </w:tcPr>
          <w:p>
            <w:pPr>
              <w:spacing w:after="0"/>
              <w:rPr>
                <w:sz w:val="17"/>
                <w:szCs w:val="17"/>
                <w:color w:val="auto"/>
              </w:rPr>
            </w:pPr>
          </w:p>
        </w:tc>
        <w:tc>
          <w:tcPr>
            <w:tcW w:w="132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131,369</w:t>
            </w:r>
          </w:p>
        </w:tc>
        <w:tc>
          <w:tcPr>
            <w:tcW w:w="136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275,720</w:t>
            </w: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258,329</w:t>
            </w:r>
          </w:p>
        </w:tc>
        <w:tc>
          <w:tcPr>
            <w:tcW w:w="0" w:type="dxa"/>
            <w:vAlign w:val="bottom"/>
          </w:tcPr>
          <w:p>
            <w:pPr>
              <w:spacing w:after="0"/>
              <w:rPr>
                <w:sz w:val="1"/>
                <w:szCs w:val="1"/>
                <w:color w:val="auto"/>
              </w:rPr>
            </w:pPr>
          </w:p>
        </w:tc>
      </w:tr>
      <w:tr>
        <w:trPr>
          <w:trHeight w:val="44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8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Interest on deposits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31,380</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27,055</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16,882</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67,946</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43,937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Interest on borrowed funds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3,934</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3,725</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7,592</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184"/>
        </w:trPr>
        <w:tc>
          <w:tcPr>
            <w:tcW w:w="4580" w:type="dxa"/>
            <w:vAlign w:val="bottom"/>
            <w:gridSpan w:val="2"/>
          </w:tcPr>
          <w:p>
            <w:pPr>
              <w:spacing w:after="0" w:line="184" w:lineRule="exact"/>
              <w:rPr>
                <w:sz w:val="20"/>
                <w:szCs w:val="20"/>
                <w:color w:val="auto"/>
              </w:rPr>
            </w:pPr>
            <w:r>
              <w:rPr>
                <w:rFonts w:ascii="Arial" w:cs="Arial" w:eastAsia="Arial" w:hAnsi="Arial"/>
                <w:sz w:val="18"/>
                <w:szCs w:val="18"/>
                <w:color w:val="auto"/>
              </w:rPr>
              <w:t>Other interest expense</w:t>
            </w:r>
          </w:p>
        </w:tc>
        <w:tc>
          <w:tcPr>
            <w:tcW w:w="980" w:type="dxa"/>
            <w:vAlign w:val="bottom"/>
            <w:gridSpan w:val="3"/>
          </w:tcPr>
          <w:p>
            <w:pPr>
              <w:spacing w:after="0"/>
              <w:rPr>
                <w:sz w:val="15"/>
                <w:szCs w:val="15"/>
                <w:color w:val="auto"/>
              </w:rPr>
            </w:pP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w w:val="84"/>
              </w:rPr>
              <w:t>5,628</w:t>
            </w:r>
          </w:p>
        </w:tc>
        <w:tc>
          <w:tcPr>
            <w:tcW w:w="136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6,548</w:t>
            </w:r>
          </w:p>
        </w:tc>
        <w:tc>
          <w:tcPr>
            <w:tcW w:w="240" w:type="dxa"/>
            <w:vAlign w:val="bottom"/>
          </w:tcPr>
          <w:p>
            <w:pPr>
              <w:spacing w:after="0"/>
              <w:rPr>
                <w:sz w:val="15"/>
                <w:szCs w:val="15"/>
                <w:color w:val="auto"/>
              </w:rPr>
            </w:pPr>
          </w:p>
        </w:tc>
        <w:tc>
          <w:tcPr>
            <w:tcW w:w="132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18,202</w:t>
            </w:r>
          </w:p>
        </w:tc>
        <w:tc>
          <w:tcPr>
            <w:tcW w:w="136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8,831</w:t>
            </w:r>
          </w:p>
        </w:tc>
        <w:tc>
          <w:tcPr>
            <w:tcW w:w="118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24,750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2"/>
          </w:tcPr>
          <w:p>
            <w:pPr>
              <w:spacing w:after="0" w:line="196" w:lineRule="exact"/>
              <w:rPr>
                <w:sz w:val="20"/>
                <w:szCs w:val="20"/>
                <w:color w:val="auto"/>
              </w:rPr>
            </w:pPr>
            <w:r>
              <w:rPr>
                <w:rFonts w:ascii="Arial" w:cs="Arial" w:eastAsia="Arial" w:hAnsi="Arial"/>
                <w:sz w:val="18"/>
                <w:szCs w:val="18"/>
                <w:color w:val="auto"/>
              </w:rPr>
              <w:t>Total Interest Expense</w:t>
            </w:r>
          </w:p>
        </w:tc>
        <w:tc>
          <w:tcPr>
            <w:tcW w:w="980" w:type="dxa"/>
            <w:vAlign w:val="bottom"/>
            <w:gridSpan w:val="3"/>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77"/>
              </w:rPr>
              <w:t>40,942</w:t>
            </w:r>
          </w:p>
        </w:tc>
        <w:tc>
          <w:tcPr>
            <w:tcW w:w="880" w:type="dxa"/>
            <w:vAlign w:val="bottom"/>
            <w:gridSpan w:val="2"/>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3"/>
              </w:rPr>
              <w:t>36,971</w:t>
            </w:r>
          </w:p>
        </w:tc>
        <w:tc>
          <w:tcPr>
            <w:tcW w:w="24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38,809</w:t>
            </w:r>
          </w:p>
        </w:tc>
        <w:tc>
          <w:tcPr>
            <w:tcW w:w="180" w:type="dxa"/>
            <w:vAlign w:val="bottom"/>
          </w:tcPr>
          <w:p>
            <w:pPr>
              <w:spacing w:after="0"/>
              <w:rPr>
                <w:sz w:val="17"/>
                <w:szCs w:val="17"/>
                <w:color w:val="auto"/>
              </w:rPr>
            </w:pPr>
          </w:p>
        </w:tc>
        <w:tc>
          <w:tcPr>
            <w:tcW w:w="136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84,369</w:t>
            </w: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75,780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80" w:type="dxa"/>
            <w:vAlign w:val="bottom"/>
            <w:gridSpan w:val="2"/>
          </w:tcPr>
          <w:p>
            <w:pPr>
              <w:spacing w:after="0"/>
              <w:rPr>
                <w:sz w:val="20"/>
                <w:szCs w:val="20"/>
                <w:color w:val="auto"/>
              </w:rPr>
            </w:pPr>
            <w:r>
              <w:rPr>
                <w:rFonts w:ascii="Arial" w:cs="Arial" w:eastAsia="Arial" w:hAnsi="Arial"/>
                <w:sz w:val="18"/>
                <w:szCs w:val="18"/>
                <w:color w:val="auto"/>
              </w:rPr>
              <w:t>Net Interest Income</w:t>
            </w:r>
          </w:p>
        </w:tc>
        <w:tc>
          <w:tcPr>
            <w:tcW w:w="98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77"/>
              </w:rPr>
              <w:t>96,927</w:t>
            </w:r>
          </w:p>
        </w:tc>
        <w:tc>
          <w:tcPr>
            <w:tcW w:w="880" w:type="dxa"/>
            <w:vAlign w:val="bottom"/>
            <w:gridSpan w:val="2"/>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89,989</w:t>
            </w:r>
          </w:p>
        </w:tc>
        <w:tc>
          <w:tcPr>
            <w:tcW w:w="24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92,560</w:t>
            </w:r>
          </w:p>
        </w:tc>
        <w:tc>
          <w:tcPr>
            <w:tcW w:w="180" w:type="dxa"/>
            <w:vAlign w:val="bottom"/>
          </w:tcPr>
          <w:p>
            <w:pPr>
              <w:spacing w:after="0"/>
              <w:rPr>
                <w:sz w:val="24"/>
                <w:szCs w:val="24"/>
                <w:color w:val="auto"/>
              </w:rPr>
            </w:pP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191,351</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182,549</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580" w:type="dxa"/>
            <w:vAlign w:val="bottom"/>
            <w:gridSpan w:val="2"/>
          </w:tcPr>
          <w:p>
            <w:pPr>
              <w:spacing w:after="0"/>
              <w:rPr>
                <w:sz w:val="20"/>
                <w:szCs w:val="20"/>
                <w:color w:val="auto"/>
              </w:rPr>
            </w:pPr>
            <w:r>
              <w:rPr>
                <w:rFonts w:ascii="Arial" w:cs="Arial" w:eastAsia="Arial" w:hAnsi="Arial"/>
                <w:sz w:val="18"/>
                <w:szCs w:val="18"/>
                <w:color w:val="auto"/>
              </w:rPr>
              <w:t>Provision for possible loan losses, net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19,702</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18,974</w:t>
            </w:r>
          </w:p>
        </w:tc>
        <w:tc>
          <w:tcPr>
            <w:tcW w:w="240" w:type="dxa"/>
            <w:vAlign w:val="bottom"/>
          </w:tcPr>
          <w:p>
            <w:pPr>
              <w:spacing w:after="0"/>
              <w:rPr>
                <w:sz w:val="24"/>
                <w:szCs w:val="24"/>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7,167</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53,930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26,141</w:t>
            </w:r>
          </w:p>
        </w:tc>
        <w:tc>
          <w:tcPr>
            <w:tcW w:w="0" w:type="dxa"/>
            <w:vAlign w:val="bottom"/>
          </w:tcPr>
          <w:p>
            <w:pPr>
              <w:spacing w:after="0"/>
              <w:rPr>
                <w:sz w:val="1"/>
                <w:szCs w:val="1"/>
                <w:color w:val="auto"/>
              </w:rPr>
            </w:pPr>
          </w:p>
        </w:tc>
      </w:tr>
      <w:tr>
        <w:trPr>
          <w:trHeight w:val="44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 after provision for</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possible loan losses</w:t>
            </w: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77,225</w:t>
            </w: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71,015</w:t>
            </w:r>
          </w:p>
        </w:tc>
        <w:tc>
          <w:tcPr>
            <w:tcW w:w="240" w:type="dxa"/>
            <w:vAlign w:val="bottom"/>
          </w:tcPr>
          <w:p>
            <w:pPr>
              <w:spacing w:after="0"/>
              <w:rPr>
                <w:sz w:val="19"/>
                <w:szCs w:val="19"/>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85,393</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137,421</w:t>
            </w: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156,408</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Fees and commissions from banking services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47,548</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47,148</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49,374</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93,747</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96,522</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gains from sales of securities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7,593</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3,968</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(3,409)</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7,379</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5,821</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5,456</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5,119</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12,182</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10,575</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32,090</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38,029</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33,058</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63,991</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71,087</w:t>
            </w:r>
          </w:p>
        </w:tc>
        <w:tc>
          <w:tcPr>
            <w:tcW w:w="0" w:type="dxa"/>
            <w:vAlign w:val="bottom"/>
          </w:tcPr>
          <w:p>
            <w:pPr>
              <w:spacing w:after="0"/>
              <w:rPr>
                <w:sz w:val="1"/>
                <w:szCs w:val="1"/>
                <w:color w:val="auto"/>
              </w:rPr>
            </w:pPr>
          </w:p>
        </w:tc>
      </w:tr>
      <w:tr>
        <w:trPr>
          <w:trHeight w:val="184"/>
        </w:trPr>
        <w:tc>
          <w:tcPr>
            <w:tcW w:w="4580" w:type="dxa"/>
            <w:vAlign w:val="bottom"/>
            <w:gridSpan w:val="2"/>
          </w:tcPr>
          <w:p>
            <w:pPr>
              <w:spacing w:after="0" w:line="184" w:lineRule="exact"/>
              <w:rPr>
                <w:sz w:val="20"/>
                <w:szCs w:val="20"/>
                <w:color w:val="auto"/>
              </w:rPr>
            </w:pPr>
            <w:r>
              <w:rPr>
                <w:rFonts w:ascii="Arial" w:cs="Arial" w:eastAsia="Arial" w:hAnsi="Arial"/>
                <w:sz w:val="18"/>
                <w:szCs w:val="18"/>
                <w:color w:val="auto"/>
              </w:rPr>
              <w:t>Other income (1)</w:t>
            </w:r>
          </w:p>
        </w:tc>
        <w:tc>
          <w:tcPr>
            <w:tcW w:w="980" w:type="dxa"/>
            <w:vAlign w:val="bottom"/>
            <w:gridSpan w:val="3"/>
          </w:tcPr>
          <w:p>
            <w:pPr>
              <w:spacing w:after="0"/>
              <w:rPr>
                <w:sz w:val="15"/>
                <w:szCs w:val="15"/>
                <w:color w:val="auto"/>
              </w:rPr>
            </w:pP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w w:val="84"/>
              </w:rPr>
              <w:t>8,631</w:t>
            </w:r>
          </w:p>
        </w:tc>
        <w:tc>
          <w:tcPr>
            <w:tcW w:w="880" w:type="dxa"/>
            <w:vAlign w:val="bottom"/>
            <w:gridSpan w:val="2"/>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14,228</w:t>
            </w:r>
          </w:p>
        </w:tc>
        <w:tc>
          <w:tcPr>
            <w:tcW w:w="24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50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7"/>
              </w:rPr>
              <w:t>12,689</w:t>
            </w:r>
          </w:p>
        </w:tc>
        <w:tc>
          <w:tcPr>
            <w:tcW w:w="180" w:type="dxa"/>
            <w:vAlign w:val="bottom"/>
          </w:tcPr>
          <w:p>
            <w:pPr>
              <w:spacing w:after="0"/>
              <w:rPr>
                <w:sz w:val="15"/>
                <w:szCs w:val="15"/>
                <w:color w:val="auto"/>
              </w:rPr>
            </w:pPr>
          </w:p>
        </w:tc>
        <w:tc>
          <w:tcPr>
            <w:tcW w:w="136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31,314</w:t>
            </w:r>
          </w:p>
        </w:tc>
        <w:tc>
          <w:tcPr>
            <w:tcW w:w="118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26,917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3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101,683</w:t>
            </w:r>
          </w:p>
        </w:tc>
        <w:tc>
          <w:tcPr>
            <w:tcW w:w="13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108,829</w:t>
            </w:r>
          </w:p>
        </w:tc>
        <w:tc>
          <w:tcPr>
            <w:tcW w:w="240" w:type="dxa"/>
            <w:vAlign w:val="bottom"/>
          </w:tcPr>
          <w:p>
            <w:pPr>
              <w:spacing w:after="0"/>
              <w:rPr>
                <w:sz w:val="17"/>
                <w:szCs w:val="17"/>
                <w:color w:val="auto"/>
              </w:rPr>
            </w:pPr>
          </w:p>
        </w:tc>
        <w:tc>
          <w:tcPr>
            <w:tcW w:w="132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96,831</w:t>
            </w:r>
          </w:p>
        </w:tc>
        <w:tc>
          <w:tcPr>
            <w:tcW w:w="136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208,613</w:t>
            </w: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205,660</w:t>
            </w:r>
          </w:p>
        </w:tc>
        <w:tc>
          <w:tcPr>
            <w:tcW w:w="0" w:type="dxa"/>
            <w:vAlign w:val="bottom"/>
          </w:tcPr>
          <w:p>
            <w:pPr>
              <w:spacing w:after="0"/>
              <w:rPr>
                <w:sz w:val="1"/>
                <w:szCs w:val="1"/>
                <w:color w:val="auto"/>
              </w:rPr>
            </w:pPr>
          </w:p>
        </w:tc>
      </w:tr>
      <w:tr>
        <w:trPr>
          <w:trHeight w:val="44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CLAIMS ON INSURANCE ACTIVITIES</w:t>
            </w:r>
          </w:p>
        </w:tc>
        <w:tc>
          <w:tcPr>
            <w:tcW w:w="8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claims incurred</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7,282</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7,423</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9,659</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12,037</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17,082</w:t>
            </w:r>
          </w:p>
        </w:tc>
        <w:tc>
          <w:tcPr>
            <w:tcW w:w="0" w:type="dxa"/>
            <w:vAlign w:val="bottom"/>
          </w:tcPr>
          <w:p>
            <w:pPr>
              <w:spacing w:after="0"/>
              <w:rPr>
                <w:sz w:val="1"/>
                <w:szCs w:val="1"/>
                <w:color w:val="auto"/>
              </w:rPr>
            </w:pPr>
          </w:p>
        </w:tc>
      </w:tr>
      <w:tr>
        <w:trPr>
          <w:trHeight w:val="184"/>
        </w:trPr>
        <w:tc>
          <w:tcPr>
            <w:tcW w:w="4580" w:type="dxa"/>
            <w:vAlign w:val="bottom"/>
            <w:gridSpan w:val="2"/>
          </w:tcPr>
          <w:p>
            <w:pPr>
              <w:spacing w:after="0" w:line="184" w:lineRule="exact"/>
              <w:rPr>
                <w:sz w:val="20"/>
                <w:szCs w:val="20"/>
                <w:color w:val="auto"/>
              </w:rPr>
            </w:pPr>
            <w:r>
              <w:rPr>
                <w:rFonts w:ascii="Arial" w:cs="Arial" w:eastAsia="Arial" w:hAnsi="Arial"/>
                <w:sz w:val="18"/>
                <w:szCs w:val="18"/>
                <w:color w:val="auto"/>
              </w:rPr>
              <w:t>Increase in future policy benefits for life and health</w:t>
            </w:r>
          </w:p>
        </w:tc>
        <w:tc>
          <w:tcPr>
            <w:tcW w:w="980" w:type="dxa"/>
            <w:vAlign w:val="bottom"/>
            <w:gridSpan w:val="3"/>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77"/>
              </w:rPr>
              <w:t>19,120</w:t>
            </w:r>
          </w:p>
        </w:tc>
        <w:tc>
          <w:tcPr>
            <w:tcW w:w="880" w:type="dxa"/>
            <w:vAlign w:val="bottom"/>
            <w:gridSpan w:val="2"/>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21,239</w:t>
            </w:r>
          </w:p>
        </w:tc>
        <w:tc>
          <w:tcPr>
            <w:tcW w:w="240" w:type="dxa"/>
            <w:vAlign w:val="bottom"/>
          </w:tcPr>
          <w:p>
            <w:pPr>
              <w:spacing w:after="0"/>
              <w:rPr>
                <w:sz w:val="15"/>
                <w:szCs w:val="15"/>
                <w:color w:val="auto"/>
              </w:rPr>
            </w:pPr>
          </w:p>
        </w:tc>
        <w:tc>
          <w:tcPr>
            <w:tcW w:w="640" w:type="dxa"/>
            <w:vAlign w:val="bottom"/>
            <w:gridSpan w:val="2"/>
          </w:tcPr>
          <w:p>
            <w:pPr>
              <w:spacing w:after="0"/>
              <w:rPr>
                <w:sz w:val="15"/>
                <w:szCs w:val="15"/>
                <w:color w:val="auto"/>
              </w:rPr>
            </w:pPr>
          </w:p>
        </w:tc>
        <w:tc>
          <w:tcPr>
            <w:tcW w:w="50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7"/>
              </w:rPr>
              <w:t>17,448</w:t>
            </w:r>
          </w:p>
        </w:tc>
        <w:tc>
          <w:tcPr>
            <w:tcW w:w="180" w:type="dxa"/>
            <w:vAlign w:val="bottom"/>
          </w:tcPr>
          <w:p>
            <w:pPr>
              <w:spacing w:after="0"/>
              <w:rPr>
                <w:sz w:val="15"/>
                <w:szCs w:val="15"/>
                <w:color w:val="auto"/>
              </w:rPr>
            </w:pPr>
          </w:p>
        </w:tc>
        <w:tc>
          <w:tcPr>
            <w:tcW w:w="136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39,568</w:t>
            </w:r>
          </w:p>
        </w:tc>
        <w:tc>
          <w:tcPr>
            <w:tcW w:w="118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38,687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80" w:type="dxa"/>
            <w:vAlign w:val="bottom"/>
            <w:gridSpan w:val="3"/>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77"/>
              </w:rPr>
              <w:t>26,402</w:t>
            </w:r>
          </w:p>
        </w:tc>
        <w:tc>
          <w:tcPr>
            <w:tcW w:w="880" w:type="dxa"/>
            <w:vAlign w:val="bottom"/>
            <w:gridSpan w:val="2"/>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3"/>
              </w:rPr>
              <w:t>28,662</w:t>
            </w:r>
          </w:p>
        </w:tc>
        <w:tc>
          <w:tcPr>
            <w:tcW w:w="24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27,107</w:t>
            </w:r>
          </w:p>
        </w:tc>
        <w:tc>
          <w:tcPr>
            <w:tcW w:w="180" w:type="dxa"/>
            <w:vAlign w:val="bottom"/>
          </w:tcPr>
          <w:p>
            <w:pPr>
              <w:spacing w:after="0"/>
              <w:rPr>
                <w:sz w:val="17"/>
                <w:szCs w:val="17"/>
                <w:color w:val="auto"/>
              </w:rPr>
            </w:pPr>
          </w:p>
        </w:tc>
        <w:tc>
          <w:tcPr>
            <w:tcW w:w="136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51,605</w:t>
            </w: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55,769</w:t>
            </w:r>
          </w:p>
        </w:tc>
        <w:tc>
          <w:tcPr>
            <w:tcW w:w="0" w:type="dxa"/>
            <w:vAlign w:val="bottom"/>
          </w:tcPr>
          <w:p>
            <w:pPr>
              <w:spacing w:after="0"/>
              <w:rPr>
                <w:sz w:val="1"/>
                <w:szCs w:val="1"/>
                <w:color w:val="auto"/>
              </w:rPr>
            </w:pPr>
          </w:p>
        </w:tc>
      </w:tr>
      <w:tr>
        <w:trPr>
          <w:trHeight w:val="44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Salaries and employee benefits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45,144</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44,363</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46,883</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91,208</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91,246</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General, administrative, and other taxes</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35,997</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37,477</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34,874</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74,830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72,351</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12,396</w:t>
            </w:r>
          </w:p>
        </w:tc>
        <w:tc>
          <w:tcPr>
            <w:tcW w:w="1600" w:type="dxa"/>
            <w:vAlign w:val="bottom"/>
            <w:gridSpan w:val="5"/>
          </w:tcPr>
          <w:p>
            <w:pPr>
              <w:jc w:val="right"/>
              <w:ind w:right="240"/>
              <w:spacing w:after="0"/>
              <w:rPr>
                <w:sz w:val="20"/>
                <w:szCs w:val="20"/>
                <w:color w:val="auto"/>
              </w:rPr>
            </w:pPr>
            <w:r>
              <w:rPr>
                <w:rFonts w:ascii="Arial" w:cs="Arial" w:eastAsia="Arial" w:hAnsi="Arial"/>
                <w:sz w:val="18"/>
                <w:szCs w:val="18"/>
                <w:color w:val="auto"/>
              </w:rPr>
              <w:t>11,610</w:t>
            </w: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11,047</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24,145</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22,657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18,820</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14,706</w:t>
            </w:r>
          </w:p>
        </w:tc>
        <w:tc>
          <w:tcPr>
            <w:tcW w:w="240" w:type="dxa"/>
            <w:vAlign w:val="bottom"/>
          </w:tcPr>
          <w:p>
            <w:pPr>
              <w:spacing w:after="0"/>
              <w:rPr>
                <w:sz w:val="18"/>
                <w:szCs w:val="18"/>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13,468</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31,271</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28,174</w:t>
            </w:r>
          </w:p>
        </w:tc>
        <w:tc>
          <w:tcPr>
            <w:tcW w:w="0" w:type="dxa"/>
            <w:vAlign w:val="bottom"/>
          </w:tcPr>
          <w:p>
            <w:pPr>
              <w:spacing w:after="0"/>
              <w:rPr>
                <w:sz w:val="1"/>
                <w:szCs w:val="1"/>
                <w:color w:val="auto"/>
              </w:rPr>
            </w:pPr>
          </w:p>
        </w:tc>
      </w:tr>
      <w:tr>
        <w:trPr>
          <w:trHeight w:val="184"/>
        </w:trPr>
        <w:tc>
          <w:tcPr>
            <w:tcW w:w="4580" w:type="dxa"/>
            <w:vAlign w:val="bottom"/>
            <w:gridSpan w:val="2"/>
          </w:tcPr>
          <w:p>
            <w:pPr>
              <w:spacing w:after="0" w:line="184" w:lineRule="exact"/>
              <w:rPr>
                <w:sz w:val="20"/>
                <w:szCs w:val="20"/>
                <w:color w:val="auto"/>
              </w:rPr>
            </w:pPr>
            <w:r>
              <w:rPr>
                <w:rFonts w:ascii="Arial" w:cs="Arial" w:eastAsia="Arial" w:hAnsi="Arial"/>
                <w:sz w:val="18"/>
                <w:szCs w:val="18"/>
                <w:color w:val="auto"/>
              </w:rPr>
              <w:t>Merger costs</w:t>
            </w:r>
          </w:p>
        </w:tc>
        <w:tc>
          <w:tcPr>
            <w:tcW w:w="980" w:type="dxa"/>
            <w:vAlign w:val="bottom"/>
            <w:gridSpan w:val="3"/>
          </w:tcPr>
          <w:p>
            <w:pPr>
              <w:spacing w:after="0"/>
              <w:rPr>
                <w:sz w:val="15"/>
                <w:szCs w:val="15"/>
                <w:color w:val="auto"/>
              </w:rPr>
            </w:pPr>
          </w:p>
        </w:tc>
        <w:tc>
          <w:tcPr>
            <w:tcW w:w="400" w:type="dxa"/>
            <w:vAlign w:val="bottom"/>
          </w:tcPr>
          <w:p>
            <w:pPr>
              <w:jc w:val="right"/>
              <w:spacing w:after="0" w:line="184" w:lineRule="exact"/>
              <w:rPr>
                <w:sz w:val="20"/>
                <w:szCs w:val="20"/>
                <w:color w:val="auto"/>
              </w:rPr>
            </w:pPr>
            <w:r>
              <w:rPr>
                <w:rFonts w:ascii="Arial" w:cs="Arial" w:eastAsia="Arial" w:hAnsi="Arial"/>
                <w:sz w:val="18"/>
                <w:szCs w:val="18"/>
                <w:color w:val="auto"/>
                <w:w w:val="84"/>
              </w:rPr>
              <w:t>2,022</w:t>
            </w:r>
          </w:p>
        </w:tc>
        <w:tc>
          <w:tcPr>
            <w:tcW w:w="136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1,829</w:t>
            </w:r>
          </w:p>
        </w:tc>
        <w:tc>
          <w:tcPr>
            <w:tcW w:w="240" w:type="dxa"/>
            <w:vAlign w:val="bottom"/>
          </w:tcPr>
          <w:p>
            <w:pPr>
              <w:spacing w:after="0"/>
              <w:rPr>
                <w:sz w:val="15"/>
                <w:szCs w:val="15"/>
                <w:color w:val="auto"/>
              </w:rPr>
            </w:pPr>
          </w:p>
        </w:tc>
        <w:tc>
          <w:tcPr>
            <w:tcW w:w="132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1,375</w:t>
            </w:r>
          </w:p>
        </w:tc>
        <w:tc>
          <w:tcPr>
            <w:tcW w:w="1360" w:type="dxa"/>
            <w:vAlign w:val="bottom"/>
            <w:gridSpan w:val="5"/>
          </w:tcPr>
          <w:p>
            <w:pPr>
              <w:jc w:val="right"/>
              <w:ind w:right="180"/>
              <w:spacing w:after="0" w:line="184" w:lineRule="exact"/>
              <w:rPr>
                <w:sz w:val="20"/>
                <w:szCs w:val="20"/>
                <w:color w:val="auto"/>
              </w:rPr>
            </w:pPr>
            <w:r>
              <w:rPr>
                <w:rFonts w:ascii="Arial" w:cs="Arial" w:eastAsia="Arial" w:hAnsi="Arial"/>
                <w:sz w:val="18"/>
                <w:szCs w:val="18"/>
                <w:color w:val="auto"/>
              </w:rPr>
              <w:t>17,487</w:t>
            </w:r>
          </w:p>
        </w:tc>
        <w:tc>
          <w:tcPr>
            <w:tcW w:w="118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3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114,379</w:t>
            </w:r>
          </w:p>
        </w:tc>
        <w:tc>
          <w:tcPr>
            <w:tcW w:w="13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109,985</w:t>
            </w:r>
          </w:p>
        </w:tc>
        <w:tc>
          <w:tcPr>
            <w:tcW w:w="240" w:type="dxa"/>
            <w:vAlign w:val="bottom"/>
          </w:tcPr>
          <w:p>
            <w:pPr>
              <w:spacing w:after="0"/>
              <w:rPr>
                <w:sz w:val="17"/>
                <w:szCs w:val="17"/>
                <w:color w:val="auto"/>
              </w:rPr>
            </w:pPr>
          </w:p>
        </w:tc>
        <w:tc>
          <w:tcPr>
            <w:tcW w:w="132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107,647</w:t>
            </w:r>
          </w:p>
        </w:tc>
        <w:tc>
          <w:tcPr>
            <w:tcW w:w="136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238,941</w:t>
            </w:r>
          </w:p>
        </w:tc>
        <w:tc>
          <w:tcPr>
            <w:tcW w:w="118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217,632</w:t>
            </w:r>
          </w:p>
        </w:tc>
        <w:tc>
          <w:tcPr>
            <w:tcW w:w="0" w:type="dxa"/>
            <w:vAlign w:val="bottom"/>
          </w:tcPr>
          <w:p>
            <w:pPr>
              <w:spacing w:after="0"/>
              <w:rPr>
                <w:sz w:val="1"/>
                <w:szCs w:val="1"/>
                <w:color w:val="auto"/>
              </w:rPr>
            </w:pPr>
          </w:p>
        </w:tc>
      </w:tr>
      <w:tr>
        <w:trPr>
          <w:trHeight w:val="45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Translation result</w:t>
            </w:r>
          </w:p>
        </w:tc>
        <w:tc>
          <w:tcPr>
            <w:tcW w:w="840" w:type="dxa"/>
            <w:vAlign w:val="bottom"/>
            <w:gridSpan w:val="2"/>
          </w:tcPr>
          <w:p>
            <w:pPr>
              <w:spacing w:after="0"/>
              <w:rPr>
                <w:sz w:val="24"/>
                <w:szCs w:val="24"/>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2,605</w:t>
            </w:r>
          </w:p>
        </w:tc>
        <w:tc>
          <w:tcPr>
            <w:tcW w:w="800" w:type="dxa"/>
            <w:vAlign w:val="bottom"/>
          </w:tcPr>
          <w:p>
            <w:pPr>
              <w:spacing w:after="0"/>
              <w:rPr>
                <w:sz w:val="24"/>
                <w:szCs w:val="24"/>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3,274</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(4,118)</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 and minority interest</w:t>
            </w: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40,732</w:t>
            </w: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44,471</w:t>
            </w:r>
          </w:p>
        </w:tc>
        <w:tc>
          <w:tcPr>
            <w:tcW w:w="240" w:type="dxa"/>
            <w:vAlign w:val="bottom"/>
          </w:tcPr>
          <w:p>
            <w:pPr>
              <w:spacing w:after="0"/>
              <w:rPr>
                <w:sz w:val="24"/>
                <w:szCs w:val="24"/>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48,228</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51,370</w:t>
            </w: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92,699</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(9,821)</w:t>
            </w:r>
          </w:p>
        </w:tc>
        <w:tc>
          <w:tcPr>
            <w:tcW w:w="1600" w:type="dxa"/>
            <w:vAlign w:val="bottom"/>
            <w:gridSpan w:val="5"/>
          </w:tcPr>
          <w:p>
            <w:pPr>
              <w:jc w:val="right"/>
              <w:ind w:right="240"/>
              <w:spacing w:after="0"/>
              <w:rPr>
                <w:sz w:val="20"/>
                <w:szCs w:val="20"/>
                <w:color w:val="auto"/>
              </w:rPr>
            </w:pPr>
            <w:r>
              <w:rPr>
                <w:rFonts w:ascii="Arial" w:cs="Arial" w:eastAsia="Arial" w:hAnsi="Arial"/>
                <w:sz w:val="18"/>
                <w:szCs w:val="18"/>
                <w:color w:val="auto"/>
              </w:rPr>
              <w:t>(11,637)</w:t>
            </w: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(12,669)</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(16,610)</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(24,306)</w:t>
            </w: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(2,602)</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(2,772)</w:t>
            </w:r>
          </w:p>
        </w:tc>
        <w:tc>
          <w:tcPr>
            <w:tcW w:w="240" w:type="dxa"/>
            <w:vAlign w:val="bottom"/>
          </w:tcPr>
          <w:p>
            <w:pPr>
              <w:spacing w:after="0"/>
              <w:rPr>
                <w:sz w:val="19"/>
                <w:szCs w:val="19"/>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(2,676)</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color w:val="auto"/>
              </w:rPr>
              <w:t>(3,959)</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432"/>
        </w:trPr>
        <w:tc>
          <w:tcPr>
            <w:tcW w:w="1400" w:type="dxa"/>
            <w:vAlign w:val="bottom"/>
          </w:tcPr>
          <w:p>
            <w:pPr>
              <w:spacing w:after="0"/>
              <w:rPr>
                <w:sz w:val="24"/>
                <w:szCs w:val="24"/>
                <w:color w:val="auto"/>
              </w:rPr>
            </w:pPr>
          </w:p>
        </w:tc>
        <w:tc>
          <w:tcPr>
            <w:tcW w:w="3180" w:type="dxa"/>
            <w:vAlign w:val="bottom"/>
          </w:tcPr>
          <w:p>
            <w:pPr>
              <w:ind w:left="320"/>
              <w:spacing w:after="0"/>
              <w:rPr>
                <w:sz w:val="20"/>
                <w:szCs w:val="20"/>
                <w:color w:val="auto"/>
              </w:rPr>
            </w:pPr>
            <w:r>
              <w:rPr>
                <w:rFonts w:ascii="Arial" w:cs="Arial" w:eastAsia="Arial" w:hAnsi="Arial"/>
                <w:sz w:val="18"/>
                <w:szCs w:val="18"/>
                <w:b w:val="1"/>
                <w:bCs w:val="1"/>
                <w:color w:val="auto"/>
              </w:rPr>
              <w:t>NET INCOME</w:t>
            </w: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28,309</w:t>
            </w: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30,062</w:t>
            </w:r>
          </w:p>
        </w:tc>
        <w:tc>
          <w:tcPr>
            <w:tcW w:w="240" w:type="dxa"/>
            <w:vAlign w:val="bottom"/>
          </w:tcPr>
          <w:p>
            <w:pPr>
              <w:spacing w:after="0"/>
              <w:rPr>
                <w:sz w:val="24"/>
                <w:szCs w:val="24"/>
                <w:color w:val="auto"/>
              </w:rPr>
            </w:pPr>
          </w:p>
        </w:tc>
        <w:tc>
          <w:tcPr>
            <w:tcW w:w="13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32,883</w:t>
            </w:r>
          </w:p>
        </w:tc>
        <w:tc>
          <w:tcPr>
            <w:tcW w:w="136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rPr>
              <w:t>30,801</w:t>
            </w: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62,945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-7128510</wp:posOffset>
            </wp:positionV>
            <wp:extent cx="3429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-7128510</wp:posOffset>
            </wp:positionV>
            <wp:extent cx="342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-6837045</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-6837045</wp:posOffset>
            </wp:positionV>
            <wp:extent cx="3429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37" w:lineRule="exact"/>
        <w:rPr>
          <w:sz w:val="20"/>
          <w:szCs w:val="20"/>
          <w:color w:val="auto"/>
        </w:rPr>
      </w:pPr>
    </w:p>
    <w:p>
      <w:pPr>
        <w:ind w:right="5300" w:firstLine="8"/>
        <w:spacing w:after="0" w:line="268" w:lineRule="auto"/>
        <w:tabs>
          <w:tab w:leader="none" w:pos="24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Note: for comparison purposes, US$7.9Mn in 2Q03 and US$13.4Mn in 6M03 were reclassified from other income into interest income.</w:t>
      </w:r>
    </w:p>
    <w:p>
      <w:pPr>
        <w:sectPr>
          <w:pgSz w:w="11900" w:h="16838" w:orient="portrait"/>
          <w:cols w:equalWidth="0" w:num="1">
            <w:col w:w="11420"/>
          </w:cols>
          <w:pgMar w:left="240" w:top="34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254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10"/>
        </w:trPr>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Arial" w:cs="Arial" w:eastAsia="Arial" w:hAnsi="Arial"/>
                <w:sz w:val="18"/>
                <w:szCs w:val="18"/>
                <w:b w:val="1"/>
                <w:bCs w:val="1"/>
                <w:color w:val="auto"/>
              </w:rPr>
              <w:t>30.06.03</w:t>
            </w: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31.03.04</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30.06.04</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30.06.03</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30.06.04</w:t>
            </w:r>
          </w:p>
        </w:tc>
        <w:tc>
          <w:tcPr>
            <w:tcW w:w="0" w:type="dxa"/>
            <w:vAlign w:val="bottom"/>
          </w:tcPr>
          <w:p>
            <w:pPr>
              <w:spacing w:after="0"/>
              <w:rPr>
                <w:sz w:val="1"/>
                <w:szCs w:val="1"/>
                <w:color w:val="auto"/>
              </w:rPr>
            </w:pPr>
          </w:p>
        </w:tc>
      </w:tr>
      <w:tr>
        <w:trPr>
          <w:trHeight w:val="110"/>
        </w:trPr>
        <w:tc>
          <w:tcPr>
            <w:tcW w:w="45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Profitability</w:t>
            </w: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4580" w:type="dxa"/>
            <w:vAlign w:val="bottom"/>
            <w:gridSpan w:val="6"/>
            <w:vMerge w:val="continue"/>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Net income per common share (US$ per share)(1)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0.355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0.377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0.412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0.386</w:t>
            </w:r>
          </w:p>
        </w:tc>
        <w:tc>
          <w:tcPr>
            <w:tcW w:w="1180" w:type="dxa"/>
            <w:vAlign w:val="bottom"/>
          </w:tcPr>
          <w:p>
            <w:pPr>
              <w:jc w:val="right"/>
              <w:spacing w:after="0"/>
              <w:rPr>
                <w:sz w:val="20"/>
                <w:szCs w:val="20"/>
                <w:color w:val="auto"/>
              </w:rPr>
            </w:pPr>
            <w:r>
              <w:rPr>
                <w:rFonts w:ascii="Arial" w:cs="Arial" w:eastAsia="Arial" w:hAnsi="Arial"/>
                <w:sz w:val="18"/>
                <w:szCs w:val="18"/>
                <w:color w:val="auto"/>
              </w:rPr>
              <w:t>0.789</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Net interest margin on interest earning assets (2)</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5.65%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5.26%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5.31%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5.56%</w:t>
            </w:r>
          </w:p>
        </w:tc>
        <w:tc>
          <w:tcPr>
            <w:tcW w:w="118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Return on average total assets (2)(3)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1.35%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1.45%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1.56%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0.73%</w:t>
            </w:r>
          </w:p>
        </w:tc>
        <w:tc>
          <w:tcPr>
            <w:tcW w:w="118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Return on average shareholders' equity (2)(3)</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13.61%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13.15%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14.15%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7.43%</w:t>
            </w:r>
          </w:p>
        </w:tc>
        <w:tc>
          <w:tcPr>
            <w:tcW w:w="1180" w:type="dxa"/>
            <w:vAlign w:val="bottom"/>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No. of outstanding shares (millions)(4)</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79.75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79.75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79.75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79.75</w:t>
            </w:r>
          </w:p>
        </w:tc>
        <w:tc>
          <w:tcPr>
            <w:tcW w:w="1180" w:type="dxa"/>
            <w:vAlign w:val="bottom"/>
          </w:tcPr>
          <w:p>
            <w:pPr>
              <w:jc w:val="right"/>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394"/>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Quality of loan portfolio</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Past due loans as a percentage 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7.86%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5.68%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4.83%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7.86%</w:t>
            </w:r>
          </w:p>
        </w:tc>
        <w:tc>
          <w:tcPr>
            <w:tcW w:w="118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total past due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113.07%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125.53%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131.83%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113.07%</w:t>
            </w:r>
          </w:p>
        </w:tc>
        <w:tc>
          <w:tcPr>
            <w:tcW w:w="1180" w:type="dxa"/>
            <w:vAlign w:val="bottom"/>
          </w:tcPr>
          <w:p>
            <w:pPr>
              <w:jc w:val="right"/>
              <w:spacing w:after="0"/>
              <w:rPr>
                <w:sz w:val="20"/>
                <w:szCs w:val="20"/>
                <w:color w:val="auto"/>
              </w:rPr>
            </w:pPr>
            <w:r>
              <w:rPr>
                <w:rFonts w:ascii="Arial" w:cs="Arial" w:eastAsia="Arial" w:hAnsi="Arial"/>
                <w:sz w:val="18"/>
                <w:szCs w:val="18"/>
                <w:color w:val="auto"/>
              </w:rPr>
              <w:t>131.83%</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8.89%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7.12%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6.37%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8.89%</w:t>
            </w: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substandard loans (C+D+E)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52.53%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52.17%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50.75%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52.53%</w:t>
            </w:r>
          </w:p>
        </w:tc>
        <w:tc>
          <w:tcPr>
            <w:tcW w:w="1180" w:type="dxa"/>
            <w:vAlign w:val="bottom"/>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Past due loans - reserves for loan losses as a</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percentage of shareholders' equity</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-5.50%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-6.95%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-7.53%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-5.50%</w:t>
            </w:r>
          </w:p>
        </w:tc>
        <w:tc>
          <w:tcPr>
            <w:tcW w:w="1180" w:type="dxa"/>
            <w:vAlign w:val="bottom"/>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394"/>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Operating efficiency</w:t>
            </w:r>
          </w:p>
        </w:tc>
        <w:tc>
          <w:tcPr>
            <w:tcW w:w="304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Oper. expense as a percent. of total income (5)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53.36%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50.79%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50.65%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52.07%</w:t>
            </w:r>
          </w:p>
        </w:tc>
        <w:tc>
          <w:tcPr>
            <w:tcW w:w="1180" w:type="dxa"/>
            <w:vAlign w:val="bottom"/>
          </w:tcPr>
          <w:p>
            <w:pPr>
              <w:jc w:val="right"/>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Oper. expense as a percent. of av. tot. assets(2)(3)(5)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4.89%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4.87%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4.56%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4.80%</w:t>
            </w:r>
          </w:p>
        </w:tc>
        <w:tc>
          <w:tcPr>
            <w:tcW w:w="118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394"/>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Capital adequacy</w:t>
            </w:r>
          </w:p>
        </w:tc>
        <w:tc>
          <w:tcPr>
            <w:tcW w:w="3260" w:type="dxa"/>
            <w:vAlign w:val="bottom"/>
            <w:gridSpan w:val="4"/>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Total Regulatory Capital (US$Mn)</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716.0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866.7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867.0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716.0</w:t>
            </w:r>
          </w:p>
        </w:tc>
        <w:tc>
          <w:tcPr>
            <w:tcW w:w="1180" w:type="dxa"/>
            <w:vAlign w:val="bottom"/>
          </w:tcPr>
          <w:p>
            <w:pPr>
              <w:jc w:val="right"/>
              <w:spacing w:after="0"/>
              <w:rPr>
                <w:sz w:val="20"/>
                <w:szCs w:val="20"/>
                <w:color w:val="auto"/>
              </w:rPr>
            </w:pPr>
            <w:r>
              <w:rPr>
                <w:rFonts w:ascii="Arial" w:cs="Arial" w:eastAsia="Arial" w:hAnsi="Arial"/>
                <w:sz w:val="18"/>
                <w:szCs w:val="18"/>
                <w:color w:val="auto"/>
              </w:rPr>
              <w:t>867.0</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Tier I Capital (US$Mn)</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601.3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742.1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743.2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601.3</w:t>
            </w:r>
          </w:p>
        </w:tc>
        <w:tc>
          <w:tcPr>
            <w:tcW w:w="1180" w:type="dxa"/>
            <w:vAlign w:val="bottom"/>
          </w:tcPr>
          <w:p>
            <w:pPr>
              <w:jc w:val="right"/>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Regulatory capital / risk-weighted assets (6)</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11.32%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13.53%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13.57%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11.32%</w:t>
            </w:r>
          </w:p>
        </w:tc>
        <w:tc>
          <w:tcPr>
            <w:tcW w:w="1180" w:type="dxa"/>
            <w:vAlign w:val="bottom"/>
          </w:tcPr>
          <w:p>
            <w:pPr>
              <w:jc w:val="right"/>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394"/>
        </w:trPr>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 xml:space="preserve">Average balances </w:t>
            </w:r>
            <w:r>
              <w:rPr>
                <w:rFonts w:ascii="Arial" w:cs="Arial" w:eastAsia="Arial" w:hAnsi="Arial"/>
                <w:sz w:val="18"/>
                <w:szCs w:val="18"/>
                <w:b w:val="1"/>
                <w:bCs w:val="1"/>
                <w:u w:val="single" w:color="auto"/>
                <w:color w:val="auto"/>
                <w:w w:val="88"/>
              </w:rPr>
              <w:t>(US$</w:t>
            </w:r>
            <w:r>
              <w:rPr>
                <w:rFonts w:ascii="Arial" w:cs="Arial" w:eastAsia="Arial" w:hAnsi="Arial"/>
                <w:sz w:val="18"/>
                <w:szCs w:val="18"/>
                <w:b w:val="1"/>
                <w:bCs w:val="1"/>
                <w:color w:val="auto"/>
                <w:w w:val="88"/>
              </w:rPr>
              <w:t>Mn) (3)</w:t>
            </w:r>
          </w:p>
        </w:tc>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color w:val="auto"/>
              </w:rPr>
              <w:t>Interest earning assets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6,860.3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6,837.3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6,977.9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6,888.6</w:t>
            </w:r>
          </w:p>
        </w:tc>
        <w:tc>
          <w:tcPr>
            <w:tcW w:w="1180" w:type="dxa"/>
            <w:vAlign w:val="bottom"/>
          </w:tcPr>
          <w:p>
            <w:pPr>
              <w:jc w:val="right"/>
              <w:spacing w:after="0"/>
              <w:rPr>
                <w:sz w:val="20"/>
                <w:szCs w:val="20"/>
                <w:color w:val="auto"/>
              </w:rPr>
            </w:pPr>
            <w:r>
              <w:rPr>
                <w:rFonts w:ascii="Arial" w:cs="Arial" w:eastAsia="Arial" w:hAnsi="Arial"/>
                <w:sz w:val="18"/>
                <w:szCs w:val="18"/>
                <w:color w:val="auto"/>
              </w:rPr>
              <w:t>6,882.8</w:t>
            </w:r>
          </w:p>
        </w:tc>
        <w:tc>
          <w:tcPr>
            <w:tcW w:w="0" w:type="dxa"/>
            <w:vAlign w:val="bottom"/>
          </w:tcPr>
          <w:p>
            <w:pPr>
              <w:spacing w:after="0"/>
              <w:rPr>
                <w:sz w:val="1"/>
                <w:szCs w:val="1"/>
                <w:color w:val="auto"/>
              </w:rPr>
            </w:pP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8,405.6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8,296.3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8,418.7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8,476.6</w:t>
            </w:r>
          </w:p>
        </w:tc>
        <w:tc>
          <w:tcPr>
            <w:tcW w:w="1180" w:type="dxa"/>
            <w:vAlign w:val="bottom"/>
          </w:tcPr>
          <w:p>
            <w:pPr>
              <w:jc w:val="right"/>
              <w:spacing w:after="0"/>
              <w:rPr>
                <w:sz w:val="20"/>
                <w:szCs w:val="20"/>
                <w:color w:val="auto"/>
              </w:rPr>
            </w:pPr>
            <w:r>
              <w:rPr>
                <w:rFonts w:ascii="Arial" w:cs="Arial" w:eastAsia="Arial" w:hAnsi="Arial"/>
                <w:sz w:val="18"/>
                <w:szCs w:val="18"/>
                <w:color w:val="auto"/>
              </w:rPr>
              <w:t>8,378.8</w:t>
            </w:r>
          </w:p>
        </w:tc>
        <w:tc>
          <w:tcPr>
            <w:tcW w:w="0" w:type="dxa"/>
            <w:vAlign w:val="bottom"/>
          </w:tcPr>
          <w:p>
            <w:pPr>
              <w:spacing w:after="0"/>
              <w:rPr>
                <w:sz w:val="1"/>
                <w:szCs w:val="1"/>
                <w:color w:val="auto"/>
              </w:rPr>
            </w:pP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Net equity</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832.0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914.4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929.4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829.2</w:t>
            </w:r>
          </w:p>
        </w:tc>
        <w:tc>
          <w:tcPr>
            <w:tcW w:w="1180" w:type="dxa"/>
            <w:vAlign w:val="bottom"/>
          </w:tcPr>
          <w:p>
            <w:pPr>
              <w:jc w:val="right"/>
              <w:spacing w:after="0"/>
              <w:rPr>
                <w:sz w:val="20"/>
                <w:szCs w:val="20"/>
                <w:color w:val="auto"/>
              </w:rPr>
            </w:pPr>
            <w:r>
              <w:rPr>
                <w:rFonts w:ascii="Arial" w:cs="Arial" w:eastAsia="Arial" w:hAnsi="Arial"/>
                <w:sz w:val="18"/>
                <w:szCs w:val="18"/>
                <w:color w:val="auto"/>
              </w:rPr>
              <w:t>923.2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-4632960</wp:posOffset>
            </wp:positionV>
            <wp:extent cx="3429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-4632960</wp:posOffset>
            </wp:positionV>
            <wp:extent cx="3429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5497830</wp:posOffset>
            </wp:positionH>
            <wp:positionV relativeFrom="paragraph">
              <wp:posOffset>-4341495</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-4341495</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(1)Number of shares outstanding of 79.8 million in all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(2)Ratios are annualized.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(3)Averages are determined as the average of period-beginning and period-ending balances.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(4)Net of treasury shares. The total number of shares was of 94.38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(5)Total income includes net interest income and other income.</w:t>
      </w:r>
    </w:p>
    <w:p>
      <w:pPr>
        <w:spacing w:after="0" w:line="9" w:lineRule="exact"/>
        <w:rPr>
          <w:sz w:val="20"/>
          <w:szCs w:val="20"/>
          <w:color w:val="auto"/>
        </w:rPr>
      </w:pPr>
    </w:p>
    <w:p>
      <w:pPr>
        <w:ind w:left="220" w:right="4640"/>
        <w:spacing w:after="0" w:line="286" w:lineRule="auto"/>
        <w:rPr>
          <w:sz w:val="20"/>
          <w:szCs w:val="20"/>
          <w:color w:val="auto"/>
        </w:rPr>
      </w:pPr>
      <w:r>
        <w:rPr>
          <w:rFonts w:ascii="Arial" w:cs="Arial" w:eastAsia="Arial" w:hAnsi="Arial"/>
          <w:sz w:val="16"/>
          <w:szCs w:val="16"/>
          <w:i w:val="1"/>
          <w:iCs w:val="1"/>
          <w:color w:val="auto"/>
        </w:rPr>
        <w:t>Operating expense is net of provisions for other assets received in lieu of loan repayment and mandatory employee profit sharing expense. Non-recurring items are not included.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(6)Risk-weighted assets include market risk assets.</w:t>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(Constant Nuevos Soles, as of June 30, 2003, and U.S. Dollars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88"/>
              </w:rPr>
              <w:t>ASSETS</w:t>
            </w:r>
          </w:p>
        </w:tc>
        <w:tc>
          <w:tcPr>
            <w:tcW w:w="13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30.06.03</w:t>
            </w:r>
          </w:p>
        </w:tc>
        <w:tc>
          <w:tcPr>
            <w:tcW w:w="136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rPr>
              <w:t>31.12.03</w:t>
            </w:r>
          </w:p>
        </w:tc>
        <w:tc>
          <w:tcPr>
            <w:tcW w:w="200" w:type="dxa"/>
            <w:vAlign w:val="bottom"/>
          </w:tcPr>
          <w:p>
            <w:pPr>
              <w:spacing w:after="0"/>
              <w:rPr>
                <w:sz w:val="19"/>
                <w:szCs w:val="19"/>
                <w:color w:val="auto"/>
              </w:rPr>
            </w:pPr>
          </w:p>
        </w:tc>
        <w:tc>
          <w:tcPr>
            <w:tcW w:w="11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31.03.04</w:t>
            </w:r>
          </w:p>
        </w:tc>
        <w:tc>
          <w:tcPr>
            <w:tcW w:w="180" w:type="dxa"/>
            <w:vAlign w:val="bottom"/>
          </w:tcPr>
          <w:p>
            <w:pPr>
              <w:spacing w:after="0"/>
              <w:rPr>
                <w:sz w:val="19"/>
                <w:szCs w:val="19"/>
                <w:color w:val="auto"/>
              </w:rPr>
            </w:pPr>
          </w:p>
        </w:tc>
        <w:tc>
          <w:tcPr>
            <w:tcW w:w="11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30.06.04</w:t>
            </w:r>
          </w:p>
        </w:tc>
        <w:tc>
          <w:tcPr>
            <w:tcW w:w="140" w:type="dxa"/>
            <w:vAlign w:val="bottom"/>
          </w:tcPr>
          <w:p>
            <w:pPr>
              <w:spacing w:after="0"/>
              <w:rPr>
                <w:sz w:val="19"/>
                <w:szCs w:val="19"/>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30.06.04</w:t>
            </w:r>
          </w:p>
        </w:tc>
      </w:tr>
      <w:tr>
        <w:trPr>
          <w:trHeight w:val="110"/>
        </w:trPr>
        <w:tc>
          <w:tcPr>
            <w:tcW w:w="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r>
        <w:trPr>
          <w:trHeight w:val="309"/>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US$000(1)</w:t>
            </w:r>
          </w:p>
        </w:tc>
      </w:tr>
      <w:tr>
        <w:trPr>
          <w:trHeight w:val="184"/>
        </w:trPr>
        <w:tc>
          <w:tcPr>
            <w:tcW w:w="4580" w:type="dxa"/>
            <w:vAlign w:val="bottom"/>
            <w:gridSpan w:val="6"/>
          </w:tcPr>
          <w:p>
            <w:pPr>
              <w:spacing w:after="0" w:line="184" w:lineRule="exact"/>
              <w:rPr>
                <w:sz w:val="20"/>
                <w:szCs w:val="20"/>
                <w:color w:val="auto"/>
              </w:rPr>
            </w:pPr>
            <w:r>
              <w:rPr>
                <w:rFonts w:ascii="Arial" w:cs="Arial" w:eastAsia="Arial" w:hAnsi="Arial"/>
                <w:sz w:val="18"/>
                <w:szCs w:val="18"/>
                <w:color w:val="auto"/>
              </w:rPr>
              <w:t>CASH AND DUE FROM BANKS</w:t>
            </w: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6,436.</w:t>
            </w:r>
            <w:r>
              <w:rPr>
                <w:rFonts w:ascii="Arial" w:cs="Arial" w:eastAsia="Arial" w:hAnsi="Arial"/>
                <w:sz w:val="18"/>
                <w:szCs w:val="18"/>
                <w:u w:val="single" w:color="auto"/>
                <w:color w:val="auto"/>
              </w:rPr>
              <w:t>692</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5,430.</w:t>
            </w:r>
            <w:r>
              <w:rPr>
                <w:rFonts w:ascii="Arial" w:cs="Arial" w:eastAsia="Arial" w:hAnsi="Arial"/>
                <w:sz w:val="18"/>
                <w:szCs w:val="18"/>
                <w:u w:val="single" w:color="auto"/>
                <w:color w:val="auto"/>
              </w:rPr>
              <w:t>659</w:t>
            </w:r>
          </w:p>
        </w:tc>
        <w:tc>
          <w:tcPr>
            <w:tcW w:w="200" w:type="dxa"/>
            <w:vAlign w:val="bottom"/>
          </w:tcPr>
          <w:p>
            <w:pPr>
              <w:spacing w:after="0"/>
              <w:rPr>
                <w:sz w:val="15"/>
                <w:szCs w:val="15"/>
                <w:color w:val="auto"/>
              </w:rPr>
            </w:pP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5,199.</w:t>
            </w:r>
            <w:r>
              <w:rPr>
                <w:rFonts w:ascii="Arial" w:cs="Arial" w:eastAsia="Arial" w:hAnsi="Arial"/>
                <w:sz w:val="18"/>
                <w:szCs w:val="18"/>
                <w:u w:val="single" w:color="auto"/>
                <w:color w:val="auto"/>
              </w:rPr>
              <w:t>245</w:t>
            </w:r>
          </w:p>
        </w:tc>
        <w:tc>
          <w:tcPr>
            <w:tcW w:w="1320" w:type="dxa"/>
            <w:vAlign w:val="bottom"/>
            <w:gridSpan w:val="4"/>
          </w:tcPr>
          <w:p>
            <w:pPr>
              <w:jc w:val="right"/>
              <w:ind w:right="140"/>
              <w:spacing w:after="0" w:line="184" w:lineRule="exact"/>
              <w:rPr>
                <w:sz w:val="20"/>
                <w:szCs w:val="20"/>
                <w:color w:val="auto"/>
              </w:rPr>
            </w:pPr>
            <w:r>
              <w:rPr>
                <w:rFonts w:ascii="Arial" w:cs="Arial" w:eastAsia="Arial" w:hAnsi="Arial"/>
                <w:sz w:val="18"/>
                <w:szCs w:val="18"/>
                <w:color w:val="auto"/>
              </w:rPr>
              <w:t>5,890.</w:t>
            </w:r>
            <w:r>
              <w:rPr>
                <w:rFonts w:ascii="Arial" w:cs="Arial" w:eastAsia="Arial" w:hAnsi="Arial"/>
                <w:sz w:val="18"/>
                <w:szCs w:val="18"/>
                <w:u w:val="single" w:color="auto"/>
                <w:color w:val="auto"/>
              </w:rPr>
              <w:t>548</w:t>
            </w:r>
          </w:p>
        </w:tc>
        <w:tc>
          <w:tcPr>
            <w:tcW w:w="122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1,697.075</w:t>
            </w:r>
          </w:p>
        </w:tc>
      </w:tr>
      <w:tr>
        <w:trPr>
          <w:trHeight w:val="228"/>
        </w:trPr>
        <w:tc>
          <w:tcPr>
            <w:tcW w:w="24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Cash and Checks</w:t>
            </w:r>
          </w:p>
        </w:tc>
        <w:tc>
          <w:tcPr>
            <w:tcW w:w="2100" w:type="dxa"/>
            <w:vAlign w:val="bottom"/>
            <w:gridSpan w:val="2"/>
          </w:tcPr>
          <w:p>
            <w:pPr>
              <w:spacing w:after="0"/>
              <w:rPr>
                <w:sz w:val="19"/>
                <w:szCs w:val="19"/>
                <w:color w:val="auto"/>
              </w:rPr>
            </w:pPr>
          </w:p>
        </w:tc>
        <w:tc>
          <w:tcPr>
            <w:tcW w:w="68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923.889</w:t>
            </w:r>
          </w:p>
        </w:tc>
        <w:tc>
          <w:tcPr>
            <w:tcW w:w="66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829.499</w:t>
            </w:r>
          </w:p>
        </w:tc>
        <w:tc>
          <w:tcPr>
            <w:tcW w:w="2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875.840</w:t>
            </w:r>
          </w:p>
        </w:tc>
        <w:tc>
          <w:tcPr>
            <w:tcW w:w="18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945.742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$272.470</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Deposits in Central Bank of Peru</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4,649.420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3,484.730</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3,096.167</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3,711.802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$1,069.375</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Deposits with local and foreign banks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863.383</w:t>
            </w: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1,116.430</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1,227.238</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1,233.004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$355.230</w:t>
            </w:r>
          </w:p>
        </w:tc>
      </w:tr>
      <w:tr>
        <w:trPr>
          <w:trHeight w:val="432"/>
        </w:trPr>
        <w:tc>
          <w:tcPr>
            <w:tcW w:w="4580" w:type="dxa"/>
            <w:vAlign w:val="bottom"/>
            <w:gridSpan w:val="6"/>
          </w:tcPr>
          <w:p>
            <w:pPr>
              <w:spacing w:after="0"/>
              <w:rPr>
                <w:sz w:val="20"/>
                <w:szCs w:val="20"/>
                <w:color w:val="auto"/>
              </w:rPr>
            </w:pPr>
            <w:r>
              <w:rPr>
                <w:rFonts w:ascii="Arial" w:cs="Arial" w:eastAsia="Arial" w:hAnsi="Arial"/>
                <w:sz w:val="18"/>
                <w:szCs w:val="18"/>
                <w:color w:val="auto"/>
              </w:rPr>
              <w:t>TRADING SECURITIES,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66.189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143.905</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185.238</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179.747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$51.785</w:t>
            </w:r>
          </w:p>
        </w:tc>
      </w:tr>
      <w:tr>
        <w:trPr>
          <w:trHeight w:val="394"/>
        </w:trPr>
        <w:tc>
          <w:tcPr>
            <w:tcW w:w="600" w:type="dxa"/>
            <w:vAlign w:val="bottom"/>
          </w:tcPr>
          <w:p>
            <w:pPr>
              <w:spacing w:after="0"/>
              <w:rPr>
                <w:sz w:val="20"/>
                <w:szCs w:val="20"/>
                <w:color w:val="auto"/>
              </w:rPr>
            </w:pPr>
            <w:r>
              <w:rPr>
                <w:rFonts w:ascii="Arial" w:cs="Arial" w:eastAsia="Arial" w:hAnsi="Arial"/>
                <w:sz w:val="18"/>
                <w:szCs w:val="18"/>
                <w:color w:val="auto"/>
                <w:w w:val="94"/>
              </w:rPr>
              <w:t>LOANS</w:t>
            </w:r>
          </w:p>
        </w:tc>
        <w:tc>
          <w:tcPr>
            <w:tcW w:w="3980" w:type="dxa"/>
            <w:vAlign w:val="bottom"/>
            <w:gridSpan w:val="5"/>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15,553.</w:t>
            </w:r>
            <w:r>
              <w:rPr>
                <w:rFonts w:ascii="Arial" w:cs="Arial" w:eastAsia="Arial" w:hAnsi="Arial"/>
                <w:sz w:val="18"/>
                <w:szCs w:val="18"/>
                <w:u w:val="single" w:color="auto"/>
                <w:color w:val="auto"/>
              </w:rPr>
              <w:t>795</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14,885.</w:t>
            </w:r>
            <w:r>
              <w:rPr>
                <w:rFonts w:ascii="Arial" w:cs="Arial" w:eastAsia="Arial" w:hAnsi="Arial"/>
                <w:sz w:val="18"/>
                <w:szCs w:val="18"/>
                <w:u w:val="single" w:color="auto"/>
                <w:color w:val="auto"/>
              </w:rPr>
              <w:t>732</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14,085.</w:t>
            </w:r>
            <w:r>
              <w:rPr>
                <w:rFonts w:ascii="Arial" w:cs="Arial" w:eastAsia="Arial" w:hAnsi="Arial"/>
                <w:sz w:val="18"/>
                <w:szCs w:val="18"/>
                <w:u w:val="single" w:color="auto"/>
                <w:color w:val="auto"/>
              </w:rPr>
              <w:t>241</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14,404.</w:t>
            </w:r>
            <w:r>
              <w:rPr>
                <w:rFonts w:ascii="Arial" w:cs="Arial" w:eastAsia="Arial" w:hAnsi="Arial"/>
                <w:sz w:val="18"/>
                <w:szCs w:val="18"/>
                <w:u w:val="single" w:color="auto"/>
                <w:color w:val="auto"/>
              </w:rPr>
              <w:t>172</w:t>
            </w: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4,149.862</w:t>
            </w:r>
          </w:p>
        </w:tc>
      </w:tr>
      <w:tr>
        <w:trPr>
          <w:trHeight w:val="20"/>
        </w:trPr>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8"/>
        </w:trPr>
        <w:tc>
          <w:tcPr>
            <w:tcW w:w="600" w:type="dxa"/>
            <w:vAlign w:val="bottom"/>
          </w:tcPr>
          <w:p>
            <w:pPr>
              <w:spacing w:after="0"/>
              <w:rPr>
                <w:sz w:val="20"/>
                <w:szCs w:val="20"/>
                <w:color w:val="auto"/>
              </w:rPr>
            </w:pPr>
            <w:r>
              <w:rPr>
                <w:rFonts w:ascii="Arial" w:cs="Arial" w:eastAsia="Arial" w:hAnsi="Arial"/>
                <w:sz w:val="18"/>
                <w:szCs w:val="18"/>
                <w:color w:val="auto"/>
                <w:w w:val="96"/>
              </w:rPr>
              <w:t>Current</w:t>
            </w:r>
          </w:p>
        </w:tc>
        <w:tc>
          <w:tcPr>
            <w:tcW w:w="3980" w:type="dxa"/>
            <w:vAlign w:val="bottom"/>
            <w:gridSpan w:val="5"/>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14,251.509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13,982.755</w:t>
            </w: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13,238.893</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13,672.114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$3,938.955</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Past Due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1,302.286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902.978</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846.348</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732.058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$210.907</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Less - Reserve for possible loan losses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(1,533.799)</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(1,198.519)</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(1,098.367)</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(1,007.544)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($290.275)</w:t>
            </w:r>
          </w:p>
        </w:tc>
      </w:tr>
      <w:tr>
        <w:trPr>
          <w:trHeight w:val="184"/>
        </w:trPr>
        <w:tc>
          <w:tcPr>
            <w:tcW w:w="980" w:type="dxa"/>
            <w:vAlign w:val="bottom"/>
            <w:gridSpan w:val="2"/>
          </w:tcPr>
          <w:p>
            <w:pPr>
              <w:spacing w:after="0" w:line="184" w:lineRule="exact"/>
              <w:rPr>
                <w:sz w:val="20"/>
                <w:szCs w:val="20"/>
                <w:color w:val="auto"/>
              </w:rPr>
            </w:pPr>
            <w:r>
              <w:rPr>
                <w:rFonts w:ascii="Arial" w:cs="Arial" w:eastAsia="Arial" w:hAnsi="Arial"/>
                <w:sz w:val="18"/>
                <w:szCs w:val="18"/>
                <w:color w:val="auto"/>
                <w:w w:val="94"/>
              </w:rPr>
              <w:t>LOANS NET</w:t>
            </w:r>
          </w:p>
        </w:tc>
        <w:tc>
          <w:tcPr>
            <w:tcW w:w="3600" w:type="dxa"/>
            <w:vAlign w:val="bottom"/>
            <w:gridSpan w:val="4"/>
          </w:tcPr>
          <w:p>
            <w:pPr>
              <w:spacing w:after="0"/>
              <w:rPr>
                <w:sz w:val="15"/>
                <w:szCs w:val="15"/>
                <w:color w:val="auto"/>
              </w:rPr>
            </w:pP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14,019.</w:t>
            </w:r>
            <w:r>
              <w:rPr>
                <w:rFonts w:ascii="Arial" w:cs="Arial" w:eastAsia="Arial" w:hAnsi="Arial"/>
                <w:sz w:val="18"/>
                <w:szCs w:val="18"/>
                <w:u w:val="single" w:color="auto"/>
                <w:color w:val="auto"/>
              </w:rPr>
              <w:t>996</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13,687.</w:t>
            </w:r>
            <w:r>
              <w:rPr>
                <w:rFonts w:ascii="Arial" w:cs="Arial" w:eastAsia="Arial" w:hAnsi="Arial"/>
                <w:sz w:val="18"/>
                <w:szCs w:val="18"/>
                <w:u w:val="single" w:color="auto"/>
                <w:color w:val="auto"/>
              </w:rPr>
              <w:t>213</w:t>
            </w:r>
          </w:p>
        </w:tc>
        <w:tc>
          <w:tcPr>
            <w:tcW w:w="200" w:type="dxa"/>
            <w:vAlign w:val="bottom"/>
          </w:tcPr>
          <w:p>
            <w:pPr>
              <w:spacing w:after="0"/>
              <w:rPr>
                <w:sz w:val="15"/>
                <w:szCs w:val="15"/>
                <w:color w:val="auto"/>
              </w:rPr>
            </w:pP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12,986.</w:t>
            </w:r>
            <w:r>
              <w:rPr>
                <w:rFonts w:ascii="Arial" w:cs="Arial" w:eastAsia="Arial" w:hAnsi="Arial"/>
                <w:sz w:val="18"/>
                <w:szCs w:val="18"/>
                <w:u w:val="single" w:color="auto"/>
                <w:color w:val="auto"/>
              </w:rPr>
              <w:t>874</w:t>
            </w:r>
          </w:p>
        </w:tc>
        <w:tc>
          <w:tcPr>
            <w:tcW w:w="1320" w:type="dxa"/>
            <w:vAlign w:val="bottom"/>
            <w:gridSpan w:val="4"/>
          </w:tcPr>
          <w:p>
            <w:pPr>
              <w:jc w:val="right"/>
              <w:ind w:right="140"/>
              <w:spacing w:after="0" w:line="184" w:lineRule="exact"/>
              <w:rPr>
                <w:sz w:val="20"/>
                <w:szCs w:val="20"/>
                <w:color w:val="auto"/>
              </w:rPr>
            </w:pPr>
            <w:r>
              <w:rPr>
                <w:rFonts w:ascii="Arial" w:cs="Arial" w:eastAsia="Arial" w:hAnsi="Arial"/>
                <w:sz w:val="18"/>
                <w:szCs w:val="18"/>
                <w:color w:val="auto"/>
              </w:rPr>
              <w:t>13,396.</w:t>
            </w:r>
            <w:r>
              <w:rPr>
                <w:rFonts w:ascii="Arial" w:cs="Arial" w:eastAsia="Arial" w:hAnsi="Arial"/>
                <w:sz w:val="18"/>
                <w:szCs w:val="18"/>
                <w:u w:val="single" w:color="auto"/>
                <w:color w:val="auto"/>
              </w:rPr>
              <w:t>628</w:t>
            </w:r>
          </w:p>
        </w:tc>
        <w:tc>
          <w:tcPr>
            <w:tcW w:w="122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3,859.587</w:t>
            </w: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444"/>
        </w:trPr>
        <w:tc>
          <w:tcPr>
            <w:tcW w:w="4580" w:type="dxa"/>
            <w:vAlign w:val="bottom"/>
            <w:gridSpan w:val="6"/>
          </w:tcPr>
          <w:p>
            <w:pPr>
              <w:spacing w:after="0"/>
              <w:rPr>
                <w:sz w:val="20"/>
                <w:szCs w:val="20"/>
                <w:color w:val="auto"/>
              </w:rPr>
            </w:pPr>
            <w:r>
              <w:rPr>
                <w:rFonts w:ascii="Arial" w:cs="Arial" w:eastAsia="Arial" w:hAnsi="Arial"/>
                <w:sz w:val="18"/>
                <w:szCs w:val="18"/>
                <w:color w:val="auto"/>
              </w:rPr>
              <w:t>INVESTMENT SECURITIES AVAIL. FOR SALE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2,611.568</w:t>
            </w:r>
          </w:p>
        </w:tc>
        <w:tc>
          <w:tcPr>
            <w:tcW w:w="1560" w:type="dxa"/>
            <w:vAlign w:val="bottom"/>
            <w:gridSpan w:val="4"/>
          </w:tcPr>
          <w:p>
            <w:pPr>
              <w:jc w:val="right"/>
              <w:ind w:right="200"/>
              <w:spacing w:after="0"/>
              <w:rPr>
                <w:sz w:val="20"/>
                <w:szCs w:val="20"/>
                <w:color w:val="auto"/>
              </w:rPr>
            </w:pPr>
            <w:r>
              <w:rPr>
                <w:rFonts w:ascii="Arial" w:cs="Arial" w:eastAsia="Arial" w:hAnsi="Arial"/>
                <w:sz w:val="18"/>
                <w:szCs w:val="18"/>
                <w:color w:val="auto"/>
              </w:rPr>
              <w:t>3,163.113</w:t>
            </w: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3,475.474</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2,640.742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$760.801</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784.273</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766.797</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730.345</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716.322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$206.373</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OTHER ASSETS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963.556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1,079.840</w:t>
            </w: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773.845</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861.015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$248.060</w:t>
            </w:r>
          </w:p>
        </w:tc>
      </w:tr>
      <w:tr>
        <w:trPr>
          <w:trHeight w:val="432"/>
        </w:trPr>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4"/>
              </w:rPr>
              <w:t>TOTAL ASSETS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24,882.274</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24,271.527</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23,351.021</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23,685.002</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$6,823.683</w:t>
            </w:r>
          </w:p>
        </w:tc>
      </w:tr>
      <w:tr>
        <w:trPr>
          <w:trHeight w:val="426"/>
        </w:trPr>
        <w:tc>
          <w:tcPr>
            <w:tcW w:w="4580" w:type="dxa"/>
            <w:vAlign w:val="bottom"/>
            <w:gridSpan w:val="6"/>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4"/>
        </w:trPr>
        <w:tc>
          <w:tcPr>
            <w:tcW w:w="4580" w:type="dxa"/>
            <w:vAlign w:val="bottom"/>
            <w:gridSpan w:val="6"/>
          </w:tcPr>
          <w:p>
            <w:pPr>
              <w:spacing w:after="0" w:line="184" w:lineRule="exact"/>
              <w:rPr>
                <w:sz w:val="20"/>
                <w:szCs w:val="20"/>
                <w:color w:val="auto"/>
              </w:rPr>
            </w:pPr>
            <w:r>
              <w:rPr>
                <w:rFonts w:ascii="Arial" w:cs="Arial" w:eastAsia="Arial" w:hAnsi="Arial"/>
                <w:sz w:val="18"/>
                <w:szCs w:val="18"/>
                <w:color w:val="auto"/>
              </w:rPr>
              <w:t>DEPOSITS AND OBLIGATIONS:</w:t>
            </w:r>
          </w:p>
        </w:tc>
        <w:tc>
          <w:tcPr>
            <w:tcW w:w="13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21,294.</w:t>
            </w:r>
            <w:r>
              <w:rPr>
                <w:rFonts w:ascii="Arial" w:cs="Arial" w:eastAsia="Arial" w:hAnsi="Arial"/>
                <w:sz w:val="18"/>
                <w:szCs w:val="18"/>
                <w:u w:val="single" w:color="auto"/>
                <w:color w:val="auto"/>
              </w:rPr>
              <w:t>413</w:t>
            </w:r>
          </w:p>
        </w:tc>
        <w:tc>
          <w:tcPr>
            <w:tcW w:w="136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20,498.</w:t>
            </w:r>
            <w:r>
              <w:rPr>
                <w:rFonts w:ascii="Arial" w:cs="Arial" w:eastAsia="Arial" w:hAnsi="Arial"/>
                <w:sz w:val="18"/>
                <w:szCs w:val="18"/>
                <w:u w:val="single" w:color="auto"/>
                <w:color w:val="auto"/>
              </w:rPr>
              <w:t>159</w:t>
            </w:r>
          </w:p>
        </w:tc>
        <w:tc>
          <w:tcPr>
            <w:tcW w:w="200" w:type="dxa"/>
            <w:vAlign w:val="bottom"/>
          </w:tcPr>
          <w:p>
            <w:pPr>
              <w:spacing w:after="0"/>
              <w:rPr>
                <w:sz w:val="15"/>
                <w:szCs w:val="15"/>
                <w:color w:val="auto"/>
              </w:rPr>
            </w:pPr>
          </w:p>
        </w:tc>
        <w:tc>
          <w:tcPr>
            <w:tcW w:w="136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19,838.</w:t>
            </w:r>
            <w:r>
              <w:rPr>
                <w:rFonts w:ascii="Arial" w:cs="Arial" w:eastAsia="Arial" w:hAnsi="Arial"/>
                <w:sz w:val="18"/>
                <w:szCs w:val="18"/>
                <w:u w:val="single" w:color="auto"/>
                <w:color w:val="auto"/>
              </w:rPr>
              <w:t>173</w:t>
            </w:r>
          </w:p>
        </w:tc>
        <w:tc>
          <w:tcPr>
            <w:tcW w:w="1320" w:type="dxa"/>
            <w:vAlign w:val="bottom"/>
            <w:gridSpan w:val="4"/>
          </w:tcPr>
          <w:p>
            <w:pPr>
              <w:jc w:val="right"/>
              <w:ind w:right="140"/>
              <w:spacing w:after="0" w:line="184" w:lineRule="exact"/>
              <w:rPr>
                <w:sz w:val="20"/>
                <w:szCs w:val="20"/>
                <w:color w:val="auto"/>
              </w:rPr>
            </w:pPr>
            <w:r>
              <w:rPr>
                <w:rFonts w:ascii="Arial" w:cs="Arial" w:eastAsia="Arial" w:hAnsi="Arial"/>
                <w:sz w:val="18"/>
                <w:szCs w:val="18"/>
                <w:color w:val="auto"/>
              </w:rPr>
              <w:t>19,986.</w:t>
            </w:r>
            <w:r>
              <w:rPr>
                <w:rFonts w:ascii="Arial" w:cs="Arial" w:eastAsia="Arial" w:hAnsi="Arial"/>
                <w:sz w:val="18"/>
                <w:szCs w:val="18"/>
                <w:u w:val="single" w:color="auto"/>
                <w:color w:val="auto"/>
              </w:rPr>
              <w:t>961</w:t>
            </w:r>
          </w:p>
        </w:tc>
        <w:tc>
          <w:tcPr>
            <w:tcW w:w="122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5,758.272</w:t>
            </w:r>
          </w:p>
        </w:tc>
      </w:tr>
      <w:tr>
        <w:trPr>
          <w:trHeight w:val="228"/>
        </w:trPr>
        <w:tc>
          <w:tcPr>
            <w:tcW w:w="25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Demand deposits</w:t>
            </w:r>
          </w:p>
        </w:tc>
        <w:tc>
          <w:tcPr>
            <w:tcW w:w="2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4,732.891</w:t>
            </w:r>
          </w:p>
        </w:tc>
        <w:tc>
          <w:tcPr>
            <w:tcW w:w="580" w:type="dxa"/>
            <w:vAlign w:val="bottom"/>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5,051.186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5,845.711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5,655.339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$1,629.311</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Saving accounts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5,792.971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5,552.538</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5,058.275</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4,880.248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$1,406.006</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Time deposits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10,768.551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9,894.435</w:t>
            </w: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8,934.187</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9,451.374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$2,722.954</w:t>
            </w:r>
          </w:p>
        </w:tc>
      </w:tr>
      <w:tr>
        <w:trPr>
          <w:trHeight w:val="426"/>
        </w:trPr>
        <w:tc>
          <w:tcPr>
            <w:tcW w:w="4580" w:type="dxa"/>
            <w:vAlign w:val="bottom"/>
            <w:gridSpan w:val="6"/>
          </w:tcPr>
          <w:p>
            <w:pPr>
              <w:spacing w:after="0"/>
              <w:rPr>
                <w:sz w:val="20"/>
                <w:szCs w:val="20"/>
                <w:color w:val="auto"/>
              </w:rPr>
            </w:pPr>
            <w:r>
              <w:rPr>
                <w:rFonts w:ascii="Arial" w:cs="Arial" w:eastAsia="Arial" w:hAnsi="Arial"/>
                <w:sz w:val="18"/>
                <w:szCs w:val="18"/>
                <w:color w:val="auto"/>
              </w:rPr>
              <w:t>DUE TO BANKS AND CORRESPONDENTS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530.766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371.768</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312.023</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648.651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$186.877</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OTHER LIABILITIES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920.716</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1,059.568</w:t>
            </w: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1,036.508</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801.643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$230.954</w:t>
            </w:r>
          </w:p>
        </w:tc>
      </w:tr>
      <w:tr>
        <w:trPr>
          <w:trHeight w:val="394"/>
        </w:trPr>
        <w:tc>
          <w:tcPr>
            <w:tcW w:w="4580" w:type="dxa"/>
            <w:vAlign w:val="bottom"/>
            <w:gridSpan w:val="6"/>
          </w:tcPr>
          <w:p>
            <w:pPr>
              <w:spacing w:after="0"/>
              <w:rPr>
                <w:sz w:val="20"/>
                <w:szCs w:val="20"/>
                <w:color w:val="auto"/>
              </w:rPr>
            </w:pPr>
            <w:r>
              <w:rPr>
                <w:rFonts w:ascii="Arial" w:cs="Arial" w:eastAsia="Arial" w:hAnsi="Arial"/>
                <w:sz w:val="18"/>
                <w:szCs w:val="18"/>
                <w:color w:val="auto"/>
              </w:rPr>
              <w:t>SHAREHOLDERS EQUITY: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2,136.</w:t>
            </w:r>
            <w:r>
              <w:rPr>
                <w:rFonts w:ascii="Arial" w:cs="Arial" w:eastAsia="Arial" w:hAnsi="Arial"/>
                <w:sz w:val="18"/>
                <w:szCs w:val="18"/>
                <w:u w:val="single" w:color="auto"/>
                <w:color w:val="auto"/>
              </w:rPr>
              <w:t>378</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2,342.</w:t>
            </w:r>
            <w:r>
              <w:rPr>
                <w:rFonts w:ascii="Arial" w:cs="Arial" w:eastAsia="Arial" w:hAnsi="Arial"/>
                <w:sz w:val="18"/>
                <w:szCs w:val="18"/>
                <w:u w:val="single" w:color="auto"/>
                <w:color w:val="auto"/>
              </w:rPr>
              <w:t>035</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2,164.</w:t>
            </w:r>
            <w:r>
              <w:rPr>
                <w:rFonts w:ascii="Arial" w:cs="Arial" w:eastAsia="Arial" w:hAnsi="Arial"/>
                <w:sz w:val="18"/>
                <w:szCs w:val="18"/>
                <w:u w:val="single" w:color="auto"/>
                <w:color w:val="auto"/>
              </w:rPr>
              <w:t>317</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2,247.</w:t>
            </w:r>
            <w:r>
              <w:rPr>
                <w:rFonts w:ascii="Arial" w:cs="Arial" w:eastAsia="Arial" w:hAnsi="Arial"/>
                <w:sz w:val="18"/>
                <w:szCs w:val="18"/>
                <w:u w:val="single" w:color="auto"/>
                <w:color w:val="auto"/>
              </w:rPr>
              <w:t>746</w:t>
            </w: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647.579</w:t>
            </w:r>
          </w:p>
        </w:tc>
      </w:tr>
      <w:tr>
        <w:trPr>
          <w:trHeight w:val="20"/>
        </w:trPr>
        <w:tc>
          <w:tcPr>
            <w:tcW w:w="2120" w:type="dxa"/>
            <w:vAlign w:val="bottom"/>
            <w:gridSpan w:val="3"/>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8"/>
        </w:trPr>
        <w:tc>
          <w:tcPr>
            <w:tcW w:w="2120" w:type="dxa"/>
            <w:vAlign w:val="bottom"/>
            <w:gridSpan w:val="3"/>
          </w:tcPr>
          <w:p>
            <w:pPr>
              <w:spacing w:after="0"/>
              <w:rPr>
                <w:sz w:val="20"/>
                <w:szCs w:val="20"/>
                <w:color w:val="auto"/>
              </w:rPr>
            </w:pPr>
            <w:r>
              <w:rPr>
                <w:rFonts w:ascii="Arial" w:cs="Arial" w:eastAsia="Arial" w:hAnsi="Arial"/>
                <w:sz w:val="18"/>
                <w:szCs w:val="18"/>
                <w:color w:val="auto"/>
              </w:rPr>
              <w:t>Capital stock</w:t>
            </w:r>
          </w:p>
        </w:tc>
        <w:tc>
          <w:tcPr>
            <w:tcW w:w="2460" w:type="dxa"/>
            <w:vAlign w:val="bottom"/>
            <w:gridSpan w:val="3"/>
          </w:tcPr>
          <w:p>
            <w:pPr>
              <w:spacing w:after="0"/>
              <w:rPr>
                <w:sz w:val="19"/>
                <w:szCs w:val="19"/>
                <w:color w:val="auto"/>
              </w:rPr>
            </w:pPr>
          </w:p>
        </w:tc>
        <w:tc>
          <w:tcPr>
            <w:tcW w:w="68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1,284.455</w:t>
            </w:r>
          </w:p>
        </w:tc>
        <w:tc>
          <w:tcPr>
            <w:tcW w:w="66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1,285.302</w:t>
            </w:r>
          </w:p>
        </w:tc>
        <w:tc>
          <w:tcPr>
            <w:tcW w:w="2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1,284.728</w:t>
            </w:r>
          </w:p>
        </w:tc>
        <w:tc>
          <w:tcPr>
            <w:tcW w:w="180" w:type="dxa"/>
            <w:vAlign w:val="bottom"/>
          </w:tcPr>
          <w:p>
            <w:pPr>
              <w:spacing w:after="0"/>
              <w:rPr>
                <w:sz w:val="19"/>
                <w:szCs w:val="19"/>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1,285.302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$370.297</w:t>
            </w:r>
          </w:p>
        </w:tc>
      </w:tr>
      <w:tr>
        <w:trPr>
          <w:trHeight w:val="216"/>
        </w:trPr>
        <w:tc>
          <w:tcPr>
            <w:tcW w:w="4580" w:type="dxa"/>
            <w:vAlign w:val="bottom"/>
            <w:gridSpan w:val="6"/>
          </w:tcPr>
          <w:p>
            <w:pPr>
              <w:spacing w:after="0"/>
              <w:rPr>
                <w:sz w:val="20"/>
                <w:szCs w:val="20"/>
                <w:color w:val="auto"/>
              </w:rPr>
            </w:pPr>
            <w:r>
              <w:rPr>
                <w:rFonts w:ascii="Arial" w:cs="Arial" w:eastAsia="Arial" w:hAnsi="Arial"/>
                <w:sz w:val="18"/>
                <w:szCs w:val="18"/>
                <w:color w:val="auto"/>
              </w:rPr>
              <w:t>Legal reserve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731.402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731.884</w:t>
            </w:r>
          </w:p>
        </w:tc>
        <w:tc>
          <w:tcPr>
            <w:tcW w:w="200" w:type="dxa"/>
            <w:vAlign w:val="bottom"/>
          </w:tcPr>
          <w:p>
            <w:pPr>
              <w:spacing w:after="0"/>
              <w:rPr>
                <w:sz w:val="18"/>
                <w:szCs w:val="18"/>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804.354</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804.716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$231.840</w:t>
            </w:r>
          </w:p>
        </w:tc>
      </w:tr>
      <w:tr>
        <w:trPr>
          <w:trHeight w:val="222"/>
        </w:trPr>
        <w:tc>
          <w:tcPr>
            <w:tcW w:w="4580" w:type="dxa"/>
            <w:vAlign w:val="bottom"/>
            <w:gridSpan w:val="6"/>
          </w:tcPr>
          <w:p>
            <w:pPr>
              <w:spacing w:after="0"/>
              <w:rPr>
                <w:sz w:val="20"/>
                <w:szCs w:val="20"/>
                <w:color w:val="auto"/>
              </w:rPr>
            </w:pPr>
            <w:r>
              <w:rPr>
                <w:rFonts w:ascii="Arial" w:cs="Arial" w:eastAsia="Arial" w:hAnsi="Arial"/>
                <w:sz w:val="18"/>
                <w:szCs w:val="18"/>
                <w:color w:val="auto"/>
              </w:rPr>
              <w:t>Retained earnings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120.521</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324.849</w:t>
            </w: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75.235</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color w:val="auto"/>
              </w:rPr>
              <w:t>157.728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$45.442</w:t>
            </w:r>
          </w:p>
        </w:tc>
      </w:tr>
      <w:tr>
        <w:trPr>
          <w:trHeight w:val="432"/>
        </w:trPr>
        <w:tc>
          <w:tcPr>
            <w:tcW w:w="600" w:type="dxa"/>
            <w:vAlign w:val="bottom"/>
          </w:tcPr>
          <w:p>
            <w:pPr>
              <w:spacing w:after="0"/>
              <w:rPr>
                <w:sz w:val="24"/>
                <w:szCs w:val="24"/>
                <w:color w:val="auto"/>
              </w:rPr>
            </w:pPr>
          </w:p>
        </w:tc>
        <w:tc>
          <w:tcPr>
            <w:tcW w:w="398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rPr>
              <w:t>TOTAL LIABILITIES AND EQUITY</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24,882.273</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24,271.530</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23,351.021</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23,685.001</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$6,823.682</w:t>
            </w:r>
          </w:p>
        </w:tc>
      </w:tr>
      <w:tr>
        <w:trPr>
          <w:trHeight w:val="447"/>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Contingent Credits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5,246.354</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6,100.099</w:t>
            </w:r>
          </w:p>
        </w:tc>
        <w:tc>
          <w:tcPr>
            <w:tcW w:w="200" w:type="dxa"/>
            <w:vAlign w:val="bottom"/>
          </w:tcPr>
          <w:p>
            <w:pPr>
              <w:spacing w:after="0"/>
              <w:rPr>
                <w:sz w:val="24"/>
                <w:szCs w:val="24"/>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5,823.640</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5,961.632</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$1,717.554</w:t>
            </w:r>
          </w:p>
        </w:tc>
      </w:tr>
      <w:tr>
        <w:trPr>
          <w:trHeight w:val="228"/>
        </w:trPr>
        <w:tc>
          <w:tcPr>
            <w:tcW w:w="4580" w:type="dxa"/>
            <w:vAlign w:val="bottom"/>
            <w:gridSpan w:val="6"/>
          </w:tcPr>
          <w:p>
            <w:pPr>
              <w:spacing w:after="0"/>
              <w:rPr>
                <w:sz w:val="20"/>
                <w:szCs w:val="20"/>
                <w:color w:val="auto"/>
              </w:rPr>
            </w:pPr>
            <w:r>
              <w:rPr>
                <w:rFonts w:ascii="Arial" w:cs="Arial" w:eastAsia="Arial" w:hAnsi="Arial"/>
                <w:sz w:val="18"/>
                <w:szCs w:val="18"/>
                <w:b w:val="1"/>
                <w:bCs w:val="1"/>
                <w:color w:val="auto"/>
              </w:rPr>
              <w:t>Funds under management</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3,611.389</w:t>
            </w: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3,934.466</w:t>
            </w:r>
          </w:p>
        </w:tc>
        <w:tc>
          <w:tcPr>
            <w:tcW w:w="2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3,767.513</w:t>
            </w:r>
          </w:p>
        </w:tc>
        <w:tc>
          <w:tcPr>
            <w:tcW w:w="13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3,390.097</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$976.692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-5319395</wp:posOffset>
            </wp:positionV>
            <wp:extent cx="3429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(1)Translated at S/.3.471 per US$1.00.</w:t>
      </w:r>
    </w:p>
    <w:p>
      <w:pPr>
        <w:sectPr>
          <w:pgSz w:w="11900" w:h="16838" w:orient="portrait"/>
          <w:cols w:equalWidth="0" w:num="1">
            <w:col w:w="11420"/>
          </w:cols>
          <w:pgMar w:left="240" w:top="34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(Constant Nuevos Soles, as of June 30, 2004 and U.S.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6"/>
          </w:tcPr>
          <w:p>
            <w:pPr>
              <w:jc w:val="center"/>
              <w:ind w:left="232"/>
              <w:spacing w:after="0"/>
              <w:rPr>
                <w:sz w:val="20"/>
                <w:szCs w:val="20"/>
                <w:color w:val="auto"/>
              </w:rPr>
            </w:pPr>
            <w:r>
              <w:rPr>
                <w:rFonts w:ascii="Arial" w:cs="Arial" w:eastAsia="Arial" w:hAnsi="Arial"/>
                <w:sz w:val="18"/>
                <w:szCs w:val="18"/>
                <w:b w:val="1"/>
                <w:bCs w:val="1"/>
                <w:color w:val="auto"/>
                <w:w w:val="85"/>
              </w:rPr>
              <w:t>Six months ended</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30.06.03</w:t>
            </w:r>
          </w:p>
        </w:tc>
        <w:tc>
          <w:tcPr>
            <w:tcW w:w="11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31.03.04</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30.06.04</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30.06.04</w:t>
            </w:r>
          </w:p>
        </w:tc>
        <w:tc>
          <w:tcPr>
            <w:tcW w:w="120" w:type="dxa"/>
            <w:vAlign w:val="bottom"/>
          </w:tcPr>
          <w:p>
            <w:pPr>
              <w:spacing w:after="0"/>
              <w:rPr>
                <w:sz w:val="24"/>
                <w:szCs w:val="24"/>
                <w:color w:val="auto"/>
              </w:rPr>
            </w:pPr>
          </w:p>
        </w:tc>
        <w:tc>
          <w:tcPr>
            <w:tcW w:w="1020" w:type="dxa"/>
            <w:vAlign w:val="bottom"/>
            <w:gridSpan w:val="3"/>
          </w:tcPr>
          <w:p>
            <w:pPr>
              <w:jc w:val="right"/>
              <w:ind w:right="172"/>
              <w:spacing w:after="0"/>
              <w:rPr>
                <w:sz w:val="20"/>
                <w:szCs w:val="20"/>
                <w:color w:val="auto"/>
              </w:rPr>
            </w:pPr>
            <w:r>
              <w:rPr>
                <w:rFonts w:ascii="Arial" w:cs="Arial" w:eastAsia="Arial" w:hAnsi="Arial"/>
                <w:sz w:val="18"/>
                <w:szCs w:val="18"/>
                <w:b w:val="1"/>
                <w:bCs w:val="1"/>
                <w:color w:val="auto"/>
              </w:rPr>
              <w:t>30.06.03</w:t>
            </w:r>
          </w:p>
        </w:tc>
        <w:tc>
          <w:tcPr>
            <w:tcW w:w="12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30.06.04</w:t>
            </w:r>
          </w:p>
        </w:tc>
        <w:tc>
          <w:tcPr>
            <w:tcW w:w="180" w:type="dxa"/>
            <w:vAlign w:val="bottom"/>
          </w:tcPr>
          <w:p>
            <w:pPr>
              <w:spacing w:after="0"/>
              <w:rPr>
                <w:sz w:val="24"/>
                <w:szCs w:val="24"/>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6"/>
              </w:rPr>
              <w:t>30.06.04</w:t>
            </w:r>
          </w:p>
        </w:tc>
        <w:tc>
          <w:tcPr>
            <w:tcW w:w="0" w:type="dxa"/>
            <w:vAlign w:val="bottom"/>
          </w:tcPr>
          <w:p>
            <w:pPr>
              <w:spacing w:after="0"/>
              <w:rPr>
                <w:sz w:val="1"/>
                <w:szCs w:val="1"/>
                <w:color w:val="auto"/>
              </w:rPr>
            </w:pPr>
          </w:p>
        </w:tc>
      </w:tr>
      <w:tr>
        <w:trPr>
          <w:trHeight w:val="110"/>
        </w:trPr>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329"/>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Interest income and expense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gridSpan w:val="4"/>
          </w:tcPr>
          <w:p>
            <w:pPr>
              <w:ind w:left="360"/>
              <w:spacing w:after="0"/>
              <w:rPr>
                <w:sz w:val="20"/>
                <w:szCs w:val="20"/>
                <w:color w:val="auto"/>
              </w:rPr>
            </w:pPr>
            <w:r>
              <w:rPr>
                <w:rFonts w:ascii="Arial" w:cs="Arial" w:eastAsia="Arial" w:hAnsi="Arial"/>
                <w:sz w:val="18"/>
                <w:szCs w:val="18"/>
                <w:b w:val="1"/>
                <w:bCs w:val="1"/>
                <w:color w:val="auto"/>
              </w:rPr>
              <w:t>US$000(1)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US$000(1)</w:t>
            </w:r>
          </w:p>
        </w:tc>
        <w:tc>
          <w:tcPr>
            <w:tcW w:w="0" w:type="dxa"/>
            <w:vAlign w:val="bottom"/>
          </w:tcPr>
          <w:p>
            <w:pPr>
              <w:spacing w:after="0"/>
              <w:rPr>
                <w:sz w:val="1"/>
                <w:szCs w:val="1"/>
                <w:color w:val="auto"/>
              </w:rPr>
            </w:pPr>
          </w:p>
        </w:tc>
      </w:tr>
      <w:tr>
        <w:trPr>
          <w:trHeight w:val="223"/>
        </w:trPr>
        <w:tc>
          <w:tcPr>
            <w:tcW w:w="344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428.538</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375.307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369.130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$106.347</w:t>
            </w:r>
          </w:p>
        </w:tc>
        <w:tc>
          <w:tcPr>
            <w:tcW w:w="1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867.615</w:t>
            </w:r>
          </w:p>
        </w:tc>
        <w:tc>
          <w:tcPr>
            <w:tcW w:w="120" w:type="dxa"/>
            <w:vAlign w:val="bottom"/>
          </w:tcPr>
          <w:p>
            <w:pPr>
              <w:spacing w:after="0"/>
              <w:rPr>
                <w:sz w:val="19"/>
                <w:szCs w:val="19"/>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744.437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$214.473</w:t>
            </w:r>
          </w:p>
        </w:tc>
        <w:tc>
          <w:tcPr>
            <w:tcW w:w="0" w:type="dxa"/>
            <w:vAlign w:val="bottom"/>
          </w:tcPr>
          <w:p>
            <w:pPr>
              <w:spacing w:after="0"/>
              <w:rPr>
                <w:sz w:val="1"/>
                <w:szCs w:val="1"/>
                <w:color w:val="auto"/>
              </w:rPr>
            </w:pPr>
          </w:p>
        </w:tc>
      </w:tr>
      <w:tr>
        <w:trPr>
          <w:trHeight w:val="184"/>
        </w:trPr>
        <w:tc>
          <w:tcPr>
            <w:tcW w:w="3440" w:type="dxa"/>
            <w:vAlign w:val="bottom"/>
            <w:gridSpan w:val="5"/>
          </w:tcPr>
          <w:p>
            <w:pPr>
              <w:spacing w:after="0" w:line="184" w:lineRule="exact"/>
              <w:rPr>
                <w:sz w:val="20"/>
                <w:szCs w:val="20"/>
                <w:color w:val="auto"/>
              </w:rPr>
            </w:pPr>
            <w:r>
              <w:rPr>
                <w:rFonts w:ascii="Arial" w:cs="Arial" w:eastAsia="Arial" w:hAnsi="Arial"/>
                <w:sz w:val="18"/>
                <w:szCs w:val="18"/>
                <w:color w:val="auto"/>
              </w:rPr>
              <w:t>Less - Interest expense</w:t>
            </w:r>
          </w:p>
        </w:tc>
        <w:tc>
          <w:tcPr>
            <w:tcW w:w="114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126.</w:t>
            </w:r>
            <w:r>
              <w:rPr>
                <w:rFonts w:ascii="Arial" w:cs="Arial" w:eastAsia="Arial" w:hAnsi="Arial"/>
                <w:sz w:val="18"/>
                <w:szCs w:val="18"/>
                <w:u w:val="single" w:color="auto"/>
                <w:color w:val="auto"/>
              </w:rPr>
              <w:t>067</w:t>
            </w:r>
          </w:p>
        </w:tc>
        <w:tc>
          <w:tcPr>
            <w:tcW w:w="116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107.</w:t>
            </w:r>
            <w:r>
              <w:rPr>
                <w:rFonts w:ascii="Arial" w:cs="Arial" w:eastAsia="Arial" w:hAnsi="Arial"/>
                <w:sz w:val="18"/>
                <w:szCs w:val="18"/>
                <w:u w:val="single" w:color="auto"/>
                <w:color w:val="auto"/>
              </w:rPr>
              <w:t>942</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105.</w:t>
            </w:r>
            <w:r>
              <w:rPr>
                <w:rFonts w:ascii="Arial" w:cs="Arial" w:eastAsia="Arial" w:hAnsi="Arial"/>
                <w:sz w:val="18"/>
                <w:szCs w:val="18"/>
                <w:u w:val="single" w:color="auto"/>
                <w:color w:val="auto"/>
              </w:rPr>
              <w:t>766</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30.471</w:t>
            </w:r>
          </w:p>
        </w:tc>
        <w:tc>
          <w:tcPr>
            <w:tcW w:w="120" w:type="dxa"/>
            <w:vAlign w:val="bottom"/>
          </w:tcPr>
          <w:p>
            <w:pPr>
              <w:spacing w:after="0"/>
              <w:rPr>
                <w:sz w:val="15"/>
                <w:szCs w:val="15"/>
                <w:color w:val="auto"/>
              </w:rPr>
            </w:pPr>
          </w:p>
        </w:tc>
        <w:tc>
          <w:tcPr>
            <w:tcW w:w="10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265.</w:t>
            </w:r>
            <w:r>
              <w:rPr>
                <w:rFonts w:ascii="Arial" w:cs="Arial" w:eastAsia="Arial" w:hAnsi="Arial"/>
                <w:sz w:val="18"/>
                <w:szCs w:val="18"/>
                <w:u w:val="single" w:color="auto"/>
                <w:color w:val="auto"/>
              </w:rPr>
              <w:t>259</w:t>
            </w:r>
          </w:p>
        </w:tc>
        <w:tc>
          <w:tcPr>
            <w:tcW w:w="120" w:type="dxa"/>
            <w:vAlign w:val="bottom"/>
          </w:tcPr>
          <w:p>
            <w:pPr>
              <w:spacing w:after="0"/>
              <w:rPr>
                <w:sz w:val="15"/>
                <w:szCs w:val="15"/>
                <w:color w:val="auto"/>
              </w:rPr>
            </w:pPr>
          </w:p>
        </w:tc>
        <w:tc>
          <w:tcPr>
            <w:tcW w:w="118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213.</w:t>
            </w:r>
            <w:r>
              <w:rPr>
                <w:rFonts w:ascii="Arial" w:cs="Arial" w:eastAsia="Arial" w:hAnsi="Arial"/>
                <w:sz w:val="18"/>
                <w:szCs w:val="18"/>
                <w:u w:val="single" w:color="auto"/>
                <w:color w:val="auto"/>
              </w:rPr>
              <w:t>708</w:t>
            </w:r>
          </w:p>
        </w:tc>
        <w:tc>
          <w:tcPr>
            <w:tcW w:w="960" w:type="dxa"/>
            <w:vAlign w:val="bottom"/>
            <w:gridSpan w:val="4"/>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61.570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jc w:val="center"/>
              <w:spacing w:after="0" w:line="196" w:lineRule="exact"/>
              <w:rPr>
                <w:sz w:val="20"/>
                <w:szCs w:val="20"/>
                <w:color w:val="auto"/>
              </w:rPr>
            </w:pPr>
            <w:r>
              <w:rPr>
                <w:rFonts w:ascii="Arial" w:cs="Arial" w:eastAsia="Arial" w:hAnsi="Arial"/>
                <w:sz w:val="18"/>
                <w:szCs w:val="18"/>
                <w:color w:val="auto"/>
                <w:w w:val="88"/>
              </w:rPr>
              <w:t>Net interest income</w:t>
            </w:r>
          </w:p>
        </w:tc>
        <w:tc>
          <w:tcPr>
            <w:tcW w:w="1020" w:type="dxa"/>
            <w:vAlign w:val="bottom"/>
            <w:gridSpan w:val="2"/>
          </w:tcPr>
          <w:p>
            <w:pPr>
              <w:spacing w:after="0"/>
              <w:rPr>
                <w:sz w:val="17"/>
                <w:szCs w:val="17"/>
                <w:color w:val="auto"/>
              </w:rPr>
            </w:pP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302.</w:t>
            </w:r>
            <w:r>
              <w:rPr>
                <w:rFonts w:ascii="Arial" w:cs="Arial" w:eastAsia="Arial" w:hAnsi="Arial"/>
                <w:sz w:val="18"/>
                <w:szCs w:val="18"/>
                <w:u w:val="single" w:color="auto"/>
                <w:color w:val="auto"/>
              </w:rPr>
              <w:t>471</w:t>
            </w: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267.</w:t>
            </w:r>
            <w:r>
              <w:rPr>
                <w:rFonts w:ascii="Arial" w:cs="Arial" w:eastAsia="Arial" w:hAnsi="Arial"/>
                <w:sz w:val="18"/>
                <w:szCs w:val="18"/>
                <w:u w:val="single" w:color="auto"/>
                <w:color w:val="auto"/>
              </w:rPr>
              <w:t>365</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263.</w:t>
            </w:r>
            <w:r>
              <w:rPr>
                <w:rFonts w:ascii="Arial" w:cs="Arial" w:eastAsia="Arial" w:hAnsi="Arial"/>
                <w:sz w:val="18"/>
                <w:szCs w:val="18"/>
                <w:u w:val="single" w:color="auto"/>
                <w:color w:val="auto"/>
              </w:rPr>
              <w:t>364</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75.876</w:t>
            </w:r>
          </w:p>
        </w:tc>
        <w:tc>
          <w:tcPr>
            <w:tcW w:w="12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602.</w:t>
            </w:r>
            <w:r>
              <w:rPr>
                <w:rFonts w:ascii="Arial" w:cs="Arial" w:eastAsia="Arial" w:hAnsi="Arial"/>
                <w:sz w:val="18"/>
                <w:szCs w:val="18"/>
                <w:u w:val="single" w:color="auto"/>
                <w:color w:val="auto"/>
              </w:rPr>
              <w:t>356</w:t>
            </w:r>
          </w:p>
        </w:tc>
        <w:tc>
          <w:tcPr>
            <w:tcW w:w="120" w:type="dxa"/>
            <w:vAlign w:val="bottom"/>
          </w:tcPr>
          <w:p>
            <w:pPr>
              <w:spacing w:after="0"/>
              <w:rPr>
                <w:sz w:val="17"/>
                <w:szCs w:val="17"/>
                <w:color w:val="auto"/>
              </w:rPr>
            </w:pPr>
          </w:p>
        </w:tc>
        <w:tc>
          <w:tcPr>
            <w:tcW w:w="1180" w:type="dxa"/>
            <w:vAlign w:val="bottom"/>
            <w:gridSpan w:val="4"/>
          </w:tcPr>
          <w:p>
            <w:pPr>
              <w:jc w:val="right"/>
              <w:ind w:right="180"/>
              <w:spacing w:after="0" w:line="196" w:lineRule="exact"/>
              <w:rPr>
                <w:sz w:val="20"/>
                <w:szCs w:val="20"/>
                <w:color w:val="auto"/>
              </w:rPr>
            </w:pPr>
            <w:r>
              <w:rPr>
                <w:rFonts w:ascii="Arial" w:cs="Arial" w:eastAsia="Arial" w:hAnsi="Arial"/>
                <w:sz w:val="18"/>
                <w:szCs w:val="18"/>
                <w:color w:val="auto"/>
              </w:rPr>
              <w:t>530.</w:t>
            </w:r>
            <w:r>
              <w:rPr>
                <w:rFonts w:ascii="Arial" w:cs="Arial" w:eastAsia="Arial" w:hAnsi="Arial"/>
                <w:sz w:val="18"/>
                <w:szCs w:val="18"/>
                <w:u w:val="single" w:color="auto"/>
                <w:color w:val="auto"/>
              </w:rPr>
              <w:t>729</w:t>
            </w:r>
          </w:p>
        </w:tc>
        <w:tc>
          <w:tcPr>
            <w:tcW w:w="960" w:type="dxa"/>
            <w:vAlign w:val="bottom"/>
            <w:gridSpan w:val="4"/>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152.904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3440" w:type="dxa"/>
            <w:vAlign w:val="bottom"/>
            <w:gridSpan w:val="5"/>
          </w:tcPr>
          <w:p>
            <w:pPr>
              <w:jc w:val="center"/>
              <w:spacing w:after="0"/>
              <w:rPr>
                <w:sz w:val="20"/>
                <w:szCs w:val="20"/>
                <w:color w:val="auto"/>
              </w:rPr>
            </w:pPr>
            <w:r>
              <w:rPr>
                <w:rFonts w:ascii="Arial" w:cs="Arial" w:eastAsia="Arial" w:hAnsi="Arial"/>
                <w:sz w:val="18"/>
                <w:szCs w:val="18"/>
                <w:color w:val="auto"/>
                <w:w w:val="87"/>
              </w:rPr>
              <w:t>Provisions for possible loan losses, net</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70.493</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48.040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20.596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$5.934</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193.217</w:t>
            </w:r>
          </w:p>
        </w:tc>
        <w:tc>
          <w:tcPr>
            <w:tcW w:w="120" w:type="dxa"/>
            <w:vAlign w:val="bottom"/>
          </w:tcPr>
          <w:p>
            <w:pPr>
              <w:spacing w:after="0"/>
              <w:rPr>
                <w:sz w:val="24"/>
                <w:szCs w:val="24"/>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68.636</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$19.774</w:t>
            </w:r>
          </w:p>
        </w:tc>
        <w:tc>
          <w:tcPr>
            <w:tcW w:w="0" w:type="dxa"/>
            <w:vAlign w:val="bottom"/>
          </w:tcPr>
          <w:p>
            <w:pPr>
              <w:spacing w:after="0"/>
              <w:rPr>
                <w:sz w:val="1"/>
                <w:szCs w:val="1"/>
                <w:color w:val="auto"/>
              </w:rPr>
            </w:pPr>
          </w:p>
        </w:tc>
      </w:tr>
      <w:tr>
        <w:trPr>
          <w:trHeight w:val="394"/>
        </w:trPr>
        <w:tc>
          <w:tcPr>
            <w:tcW w:w="460" w:type="dxa"/>
            <w:vAlign w:val="bottom"/>
          </w:tcPr>
          <w:p>
            <w:pPr>
              <w:spacing w:after="0"/>
              <w:rPr>
                <w:sz w:val="24"/>
                <w:szCs w:val="24"/>
                <w:color w:val="auto"/>
              </w:rPr>
            </w:pPr>
          </w:p>
        </w:tc>
        <w:tc>
          <w:tcPr>
            <w:tcW w:w="2980" w:type="dxa"/>
            <w:vAlign w:val="bottom"/>
            <w:gridSpan w:val="4"/>
          </w:tcPr>
          <w:p>
            <w:pPr>
              <w:jc w:val="center"/>
              <w:ind w:right="460"/>
              <w:spacing w:after="0"/>
              <w:rPr>
                <w:sz w:val="20"/>
                <w:szCs w:val="20"/>
                <w:color w:val="auto"/>
              </w:rPr>
            </w:pPr>
            <w:r>
              <w:rPr>
                <w:rFonts w:ascii="Arial" w:cs="Arial" w:eastAsia="Arial" w:hAnsi="Arial"/>
                <w:sz w:val="18"/>
                <w:szCs w:val="18"/>
                <w:color w:val="auto"/>
                <w:w w:val="89"/>
              </w:rPr>
              <w:t>Net interest income after provisions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231.</w:t>
            </w:r>
            <w:r>
              <w:rPr>
                <w:rFonts w:ascii="Arial" w:cs="Arial" w:eastAsia="Arial" w:hAnsi="Arial"/>
                <w:sz w:val="18"/>
                <w:szCs w:val="18"/>
                <w:u w:val="single" w:color="auto"/>
                <w:color w:val="auto"/>
              </w:rPr>
              <w:t>978</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219.</w:t>
            </w:r>
            <w:r>
              <w:rPr>
                <w:rFonts w:ascii="Arial" w:cs="Arial" w:eastAsia="Arial" w:hAnsi="Arial"/>
                <w:sz w:val="18"/>
                <w:szCs w:val="18"/>
                <w:u w:val="single" w:color="auto"/>
                <w:color w:val="auto"/>
              </w:rPr>
              <w:t>325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242.</w:t>
            </w:r>
            <w:r>
              <w:rPr>
                <w:rFonts w:ascii="Arial" w:cs="Arial" w:eastAsia="Arial" w:hAnsi="Arial"/>
                <w:sz w:val="18"/>
                <w:szCs w:val="18"/>
                <w:u w:val="single" w:color="auto"/>
                <w:color w:val="auto"/>
              </w:rPr>
              <w:t>768</w:t>
            </w:r>
          </w:p>
        </w:tc>
        <w:tc>
          <w:tcPr>
            <w:tcW w:w="11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69.942</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409.</w:t>
            </w:r>
            <w:r>
              <w:rPr>
                <w:rFonts w:ascii="Arial" w:cs="Arial" w:eastAsia="Arial" w:hAnsi="Arial"/>
                <w:sz w:val="18"/>
                <w:szCs w:val="18"/>
                <w:u w:val="single" w:color="auto"/>
                <w:color w:val="auto"/>
              </w:rPr>
              <w:t>139</w:t>
            </w:r>
          </w:p>
        </w:tc>
        <w:tc>
          <w:tcPr>
            <w:tcW w:w="120" w:type="dxa"/>
            <w:vAlign w:val="bottom"/>
          </w:tcPr>
          <w:p>
            <w:pPr>
              <w:spacing w:after="0"/>
              <w:rPr>
                <w:sz w:val="24"/>
                <w:szCs w:val="24"/>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462.</w:t>
            </w:r>
            <w:r>
              <w:rPr>
                <w:rFonts w:ascii="Arial" w:cs="Arial" w:eastAsia="Arial" w:hAnsi="Arial"/>
                <w:sz w:val="18"/>
                <w:szCs w:val="18"/>
                <w:u w:val="single" w:color="auto"/>
                <w:color w:val="auto"/>
              </w:rPr>
              <w:t>093</w:t>
            </w:r>
          </w:p>
        </w:tc>
        <w:tc>
          <w:tcPr>
            <w:tcW w:w="9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520" w:type="dxa"/>
            <w:vAlign w:val="bottom"/>
            <w:gridSpan w:val="3"/>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Other Income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Fees and commissions from services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168.737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160.469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161.025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$46.392</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333.575</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321.494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$92.623</w:t>
            </w: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gains from sales of securities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8.704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9.993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(8.739)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13.468</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1.254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gains on foreing exchg. transacts.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20.087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19.174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18.322</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$5.279</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42.693</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37.496</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$10.803</w:t>
            </w:r>
          </w:p>
        </w:tc>
        <w:tc>
          <w:tcPr>
            <w:tcW w:w="0" w:type="dxa"/>
            <w:vAlign w:val="bottom"/>
          </w:tcPr>
          <w:p>
            <w:pPr>
              <w:spacing w:after="0"/>
              <w:rPr>
                <w:sz w:val="1"/>
                <w:szCs w:val="1"/>
                <w:color w:val="auto"/>
              </w:rPr>
            </w:pPr>
          </w:p>
        </w:tc>
      </w:tr>
      <w:tr>
        <w:trPr>
          <w:trHeight w:val="184"/>
        </w:trPr>
        <w:tc>
          <w:tcPr>
            <w:tcW w:w="3440" w:type="dxa"/>
            <w:vAlign w:val="bottom"/>
            <w:gridSpan w:val="5"/>
          </w:tcPr>
          <w:p>
            <w:pPr>
              <w:spacing w:after="0" w:line="184" w:lineRule="exact"/>
              <w:rPr>
                <w:sz w:val="20"/>
                <w:szCs w:val="20"/>
                <w:color w:val="auto"/>
              </w:rPr>
            </w:pPr>
            <w:r>
              <w:rPr>
                <w:rFonts w:ascii="Arial" w:cs="Arial" w:eastAsia="Arial" w:hAnsi="Arial"/>
                <w:sz w:val="18"/>
                <w:szCs w:val="18"/>
                <w:color w:val="auto"/>
              </w:rPr>
              <w:t>Other income</w:t>
            </w:r>
          </w:p>
        </w:tc>
        <w:tc>
          <w:tcPr>
            <w:tcW w:w="660" w:type="dxa"/>
            <w:vAlign w:val="bottom"/>
            <w:gridSpan w:val="2"/>
          </w:tcPr>
          <w:p>
            <w:pPr>
              <w:spacing w:after="0"/>
              <w:rPr>
                <w:sz w:val="15"/>
                <w:szCs w:val="15"/>
                <w:color w:val="auto"/>
              </w:rPr>
            </w:pPr>
          </w:p>
        </w:tc>
        <w:tc>
          <w:tcPr>
            <w:tcW w:w="48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83"/>
              </w:rPr>
              <w:t>26.</w:t>
            </w:r>
            <w:r>
              <w:rPr>
                <w:rFonts w:ascii="Arial" w:cs="Arial" w:eastAsia="Arial" w:hAnsi="Arial"/>
                <w:sz w:val="18"/>
                <w:szCs w:val="18"/>
                <w:u w:val="single" w:color="auto"/>
                <w:color w:val="auto"/>
                <w:w w:val="83"/>
              </w:rPr>
              <w:t>452</w:t>
            </w:r>
          </w:p>
        </w:tc>
        <w:tc>
          <w:tcPr>
            <w:tcW w:w="116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36.</w:t>
            </w:r>
            <w:r>
              <w:rPr>
                <w:rFonts w:ascii="Arial" w:cs="Arial" w:eastAsia="Arial" w:hAnsi="Arial"/>
                <w:sz w:val="18"/>
                <w:szCs w:val="18"/>
                <w:u w:val="single" w:color="auto"/>
                <w:color w:val="auto"/>
              </w:rPr>
              <w:t>978</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001</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10.084</w:t>
            </w:r>
          </w:p>
        </w:tc>
        <w:tc>
          <w:tcPr>
            <w:tcW w:w="120" w:type="dxa"/>
            <w:vAlign w:val="bottom"/>
          </w:tcPr>
          <w:p>
            <w:pPr>
              <w:spacing w:after="0"/>
              <w:rPr>
                <w:sz w:val="15"/>
                <w:szCs w:val="15"/>
                <w:color w:val="auto"/>
              </w:rPr>
            </w:pPr>
          </w:p>
        </w:tc>
        <w:tc>
          <w:tcPr>
            <w:tcW w:w="10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98.</w:t>
            </w:r>
            <w:r>
              <w:rPr>
                <w:rFonts w:ascii="Arial" w:cs="Arial" w:eastAsia="Arial" w:hAnsi="Arial"/>
                <w:sz w:val="18"/>
                <w:szCs w:val="18"/>
                <w:u w:val="single" w:color="auto"/>
                <w:color w:val="auto"/>
              </w:rPr>
              <w:t>002</w:t>
            </w:r>
          </w:p>
        </w:tc>
        <w:tc>
          <w:tcPr>
            <w:tcW w:w="120" w:type="dxa"/>
            <w:vAlign w:val="bottom"/>
          </w:tcPr>
          <w:p>
            <w:pPr>
              <w:spacing w:after="0"/>
              <w:rPr>
                <w:sz w:val="15"/>
                <w:szCs w:val="15"/>
                <w:color w:val="auto"/>
              </w:rPr>
            </w:pPr>
          </w:p>
        </w:tc>
        <w:tc>
          <w:tcPr>
            <w:tcW w:w="118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979</w:t>
            </w:r>
          </w:p>
        </w:tc>
        <w:tc>
          <w:tcPr>
            <w:tcW w:w="960" w:type="dxa"/>
            <w:vAlign w:val="bottom"/>
            <w:gridSpan w:val="4"/>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223.</w:t>
            </w:r>
            <w:r>
              <w:rPr>
                <w:rFonts w:ascii="Arial" w:cs="Arial" w:eastAsia="Arial" w:hAnsi="Arial"/>
                <w:sz w:val="18"/>
                <w:szCs w:val="18"/>
                <w:u w:val="single" w:color="auto"/>
                <w:color w:val="auto"/>
              </w:rPr>
              <w:t>980</w:t>
            </w: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226.</w:t>
            </w:r>
            <w:r>
              <w:rPr>
                <w:rFonts w:ascii="Arial" w:cs="Arial" w:eastAsia="Arial" w:hAnsi="Arial"/>
                <w:sz w:val="18"/>
                <w:szCs w:val="18"/>
                <w:u w:val="single" w:color="auto"/>
                <w:color w:val="auto"/>
              </w:rPr>
              <w:t>614</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205.</w:t>
            </w:r>
            <w:r>
              <w:rPr>
                <w:rFonts w:ascii="Arial" w:cs="Arial" w:eastAsia="Arial" w:hAnsi="Arial"/>
                <w:sz w:val="18"/>
                <w:szCs w:val="18"/>
                <w:u w:val="single" w:color="auto"/>
                <w:color w:val="auto"/>
              </w:rPr>
              <w:t>609</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59.236</w:t>
            </w:r>
          </w:p>
        </w:tc>
        <w:tc>
          <w:tcPr>
            <w:tcW w:w="12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487.</w:t>
            </w:r>
            <w:r>
              <w:rPr>
                <w:rFonts w:ascii="Arial" w:cs="Arial" w:eastAsia="Arial" w:hAnsi="Arial"/>
                <w:sz w:val="18"/>
                <w:szCs w:val="18"/>
                <w:u w:val="single" w:color="auto"/>
                <w:color w:val="auto"/>
              </w:rPr>
              <w:t>738</w:t>
            </w:r>
          </w:p>
        </w:tc>
        <w:tc>
          <w:tcPr>
            <w:tcW w:w="120" w:type="dxa"/>
            <w:vAlign w:val="bottom"/>
          </w:tcPr>
          <w:p>
            <w:pPr>
              <w:spacing w:after="0"/>
              <w:rPr>
                <w:sz w:val="17"/>
                <w:szCs w:val="17"/>
                <w:color w:val="auto"/>
              </w:rPr>
            </w:pPr>
          </w:p>
        </w:tc>
        <w:tc>
          <w:tcPr>
            <w:tcW w:w="1180" w:type="dxa"/>
            <w:vAlign w:val="bottom"/>
            <w:gridSpan w:val="4"/>
          </w:tcPr>
          <w:p>
            <w:pPr>
              <w:jc w:val="right"/>
              <w:ind w:right="180"/>
              <w:spacing w:after="0" w:line="196" w:lineRule="exact"/>
              <w:rPr>
                <w:sz w:val="20"/>
                <w:szCs w:val="20"/>
                <w:color w:val="auto"/>
              </w:rPr>
            </w:pPr>
            <w:r>
              <w:rPr>
                <w:rFonts w:ascii="Arial" w:cs="Arial" w:eastAsia="Arial" w:hAnsi="Arial"/>
                <w:sz w:val="18"/>
                <w:szCs w:val="18"/>
                <w:color w:val="auto"/>
              </w:rPr>
              <w:t>432.</w:t>
            </w:r>
            <w:r>
              <w:rPr>
                <w:rFonts w:ascii="Arial" w:cs="Arial" w:eastAsia="Arial" w:hAnsi="Arial"/>
                <w:sz w:val="18"/>
                <w:szCs w:val="18"/>
                <w:u w:val="single" w:color="auto"/>
                <w:color w:val="auto"/>
              </w:rPr>
              <w:t>223</w:t>
            </w:r>
          </w:p>
        </w:tc>
        <w:tc>
          <w:tcPr>
            <w:tcW w:w="960" w:type="dxa"/>
            <w:vAlign w:val="bottom"/>
            <w:gridSpan w:val="4"/>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124.524</w:t>
            </w:r>
          </w:p>
        </w:tc>
        <w:tc>
          <w:tcPr>
            <w:tcW w:w="0" w:type="dxa"/>
            <w:vAlign w:val="bottom"/>
          </w:tcPr>
          <w:p>
            <w:pPr>
              <w:spacing w:after="0"/>
              <w:rPr>
                <w:sz w:val="1"/>
                <w:szCs w:val="1"/>
                <w:color w:val="auto"/>
              </w:rPr>
            </w:pPr>
          </w:p>
        </w:tc>
      </w:tr>
      <w:tr>
        <w:trPr>
          <w:trHeight w:val="444"/>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Other Expenses</w:t>
            </w: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Salaries and employee benefits</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132.877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128.161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131.247</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$37.812</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273.872</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259.408</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$74.736</w:t>
            </w: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105.325</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102.861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97.436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$28.071</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216.855</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200.297</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$57.706</w:t>
            </w: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36.691</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36.259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33.520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72.170</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69.779</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$20.103</w:t>
            </w: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Taxes other than income tax</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10.994</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12.501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12.791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22.838</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25.292</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28.629</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27.148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32.016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59.963</w:t>
            </w:r>
          </w:p>
        </w:tc>
        <w:tc>
          <w:tcPr>
            <w:tcW w:w="12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59.164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$17.045</w:t>
            </w:r>
          </w:p>
        </w:tc>
        <w:tc>
          <w:tcPr>
            <w:tcW w:w="0" w:type="dxa"/>
            <w:vAlign w:val="bottom"/>
          </w:tcPr>
          <w:p>
            <w:pPr>
              <w:spacing w:after="0"/>
              <w:rPr>
                <w:sz w:val="1"/>
                <w:szCs w:val="1"/>
                <w:color w:val="auto"/>
              </w:rPr>
            </w:pPr>
          </w:p>
        </w:tc>
      </w:tr>
      <w:tr>
        <w:trPr>
          <w:trHeight w:val="184"/>
        </w:trPr>
        <w:tc>
          <w:tcPr>
            <w:tcW w:w="3440" w:type="dxa"/>
            <w:vAlign w:val="bottom"/>
            <w:gridSpan w:val="5"/>
          </w:tcPr>
          <w:p>
            <w:pPr>
              <w:spacing w:after="0" w:line="184" w:lineRule="exact"/>
              <w:rPr>
                <w:sz w:val="20"/>
                <w:szCs w:val="20"/>
                <w:color w:val="auto"/>
              </w:rPr>
            </w:pPr>
            <w:r>
              <w:rPr>
                <w:rFonts w:ascii="Arial" w:cs="Arial" w:eastAsia="Arial" w:hAnsi="Arial"/>
                <w:sz w:val="18"/>
                <w:szCs w:val="18"/>
                <w:color w:val="auto"/>
              </w:rPr>
              <w:t>Merger costs</w:t>
            </w:r>
          </w:p>
        </w:tc>
        <w:tc>
          <w:tcPr>
            <w:tcW w:w="114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405</w:t>
            </w:r>
          </w:p>
        </w:tc>
        <w:tc>
          <w:tcPr>
            <w:tcW w:w="1160" w:type="dxa"/>
            <w:vAlign w:val="bottom"/>
            <w:gridSpan w:val="4"/>
          </w:tcPr>
          <w:p>
            <w:pPr>
              <w:jc w:val="right"/>
              <w:spacing w:after="0" w:line="184" w:lineRule="exact"/>
              <w:rPr>
                <w:sz w:val="20"/>
                <w:szCs w:val="20"/>
                <w:color w:val="auto"/>
              </w:rPr>
            </w:pPr>
            <w:r>
              <w:rPr>
                <w:rFonts w:ascii="Arial" w:cs="Arial" w:eastAsia="Arial" w:hAnsi="Arial"/>
                <w:sz w:val="18"/>
                <w:szCs w:val="18"/>
                <w:color w:val="auto"/>
              </w:rPr>
              <w:t>6.</w:t>
            </w:r>
            <w:r>
              <w:rPr>
                <w:rFonts w:ascii="Arial" w:cs="Arial" w:eastAsia="Arial" w:hAnsi="Arial"/>
                <w:sz w:val="18"/>
                <w:szCs w:val="18"/>
                <w:u w:val="single" w:color="auto"/>
                <w:color w:val="auto"/>
              </w:rPr>
              <w:t>513</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849</w:t>
            </w:r>
          </w:p>
        </w:tc>
        <w:tc>
          <w:tcPr>
            <w:tcW w:w="1140" w:type="dxa"/>
            <w:vAlign w:val="bottom"/>
            <w:gridSpan w:val="3"/>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1.397</w:t>
            </w:r>
          </w:p>
        </w:tc>
        <w:tc>
          <w:tcPr>
            <w:tcW w:w="120" w:type="dxa"/>
            <w:vAlign w:val="bottom"/>
          </w:tcPr>
          <w:p>
            <w:pPr>
              <w:spacing w:after="0"/>
              <w:rPr>
                <w:sz w:val="15"/>
                <w:szCs w:val="15"/>
                <w:color w:val="auto"/>
              </w:rPr>
            </w:pPr>
          </w:p>
        </w:tc>
        <w:tc>
          <w:tcPr>
            <w:tcW w:w="102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170</w:t>
            </w:r>
          </w:p>
        </w:tc>
        <w:tc>
          <w:tcPr>
            <w:tcW w:w="120" w:type="dxa"/>
            <w:vAlign w:val="bottom"/>
          </w:tcPr>
          <w:p>
            <w:pPr>
              <w:spacing w:after="0"/>
              <w:rPr>
                <w:sz w:val="15"/>
                <w:szCs w:val="15"/>
                <w:color w:val="auto"/>
              </w:rPr>
            </w:pPr>
          </w:p>
        </w:tc>
        <w:tc>
          <w:tcPr>
            <w:tcW w:w="1180" w:type="dxa"/>
            <w:vAlign w:val="bottom"/>
            <w:gridSpan w:val="4"/>
          </w:tcPr>
          <w:p>
            <w:pPr>
              <w:jc w:val="right"/>
              <w:ind w:right="180"/>
              <w:spacing w:after="0" w:line="184" w:lineRule="exact"/>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362</w:t>
            </w:r>
          </w:p>
        </w:tc>
        <w:tc>
          <w:tcPr>
            <w:tcW w:w="960" w:type="dxa"/>
            <w:vAlign w:val="bottom"/>
            <w:gridSpan w:val="4"/>
          </w:tcPr>
          <w:p>
            <w:pPr>
              <w:jc w:val="right"/>
              <w:spacing w:after="0" w:line="184"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321.</w:t>
            </w:r>
            <w:r>
              <w:rPr>
                <w:rFonts w:ascii="Arial" w:cs="Arial" w:eastAsia="Arial" w:hAnsi="Arial"/>
                <w:sz w:val="18"/>
                <w:szCs w:val="18"/>
                <w:u w:val="single" w:color="auto"/>
                <w:color w:val="auto"/>
              </w:rPr>
              <w:t>921</w:t>
            </w: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313.</w:t>
            </w:r>
            <w:r>
              <w:rPr>
                <w:rFonts w:ascii="Arial" w:cs="Arial" w:eastAsia="Arial" w:hAnsi="Arial"/>
                <w:sz w:val="18"/>
                <w:szCs w:val="18"/>
                <w:u w:val="single" w:color="auto"/>
                <w:color w:val="auto"/>
              </w:rPr>
              <w:t>443</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311.</w:t>
            </w:r>
            <w:r>
              <w:rPr>
                <w:rFonts w:ascii="Arial" w:cs="Arial" w:eastAsia="Arial" w:hAnsi="Arial"/>
                <w:sz w:val="18"/>
                <w:szCs w:val="18"/>
                <w:u w:val="single" w:color="auto"/>
                <w:color w:val="auto"/>
              </w:rPr>
              <w:t>859</w:t>
            </w:r>
          </w:p>
        </w:tc>
        <w:tc>
          <w:tcPr>
            <w:tcW w:w="1140" w:type="dxa"/>
            <w:vAlign w:val="bottom"/>
            <w:gridSpan w:val="3"/>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89.847</w:t>
            </w:r>
          </w:p>
        </w:tc>
        <w:tc>
          <w:tcPr>
            <w:tcW w:w="120" w:type="dxa"/>
            <w:vAlign w:val="bottom"/>
          </w:tcPr>
          <w:p>
            <w:pPr>
              <w:spacing w:after="0"/>
              <w:rPr>
                <w:sz w:val="17"/>
                <w:szCs w:val="17"/>
                <w:color w:val="auto"/>
              </w:rPr>
            </w:pPr>
          </w:p>
        </w:tc>
        <w:tc>
          <w:tcPr>
            <w:tcW w:w="10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709.</w:t>
            </w:r>
            <w:r>
              <w:rPr>
                <w:rFonts w:ascii="Arial" w:cs="Arial" w:eastAsia="Arial" w:hAnsi="Arial"/>
                <w:sz w:val="18"/>
                <w:szCs w:val="18"/>
                <w:u w:val="single" w:color="auto"/>
                <w:color w:val="auto"/>
              </w:rPr>
              <w:t>868</w:t>
            </w:r>
          </w:p>
        </w:tc>
        <w:tc>
          <w:tcPr>
            <w:tcW w:w="120" w:type="dxa"/>
            <w:vAlign w:val="bottom"/>
          </w:tcPr>
          <w:p>
            <w:pPr>
              <w:spacing w:after="0"/>
              <w:rPr>
                <w:sz w:val="17"/>
                <w:szCs w:val="17"/>
                <w:color w:val="auto"/>
              </w:rPr>
            </w:pPr>
          </w:p>
        </w:tc>
        <w:tc>
          <w:tcPr>
            <w:tcW w:w="1180" w:type="dxa"/>
            <w:vAlign w:val="bottom"/>
            <w:gridSpan w:val="4"/>
          </w:tcPr>
          <w:p>
            <w:pPr>
              <w:jc w:val="right"/>
              <w:ind w:right="180"/>
              <w:spacing w:after="0" w:line="196" w:lineRule="exact"/>
              <w:rPr>
                <w:sz w:val="20"/>
                <w:szCs w:val="20"/>
                <w:color w:val="auto"/>
              </w:rPr>
            </w:pPr>
            <w:r>
              <w:rPr>
                <w:rFonts w:ascii="Arial" w:cs="Arial" w:eastAsia="Arial" w:hAnsi="Arial"/>
                <w:sz w:val="18"/>
                <w:szCs w:val="18"/>
                <w:color w:val="auto"/>
              </w:rPr>
              <w:t>625.</w:t>
            </w:r>
            <w:r>
              <w:rPr>
                <w:rFonts w:ascii="Arial" w:cs="Arial" w:eastAsia="Arial" w:hAnsi="Arial"/>
                <w:sz w:val="18"/>
                <w:szCs w:val="18"/>
                <w:u w:val="single" w:color="auto"/>
                <w:color w:val="auto"/>
              </w:rPr>
              <w:t>302</w:t>
            </w:r>
          </w:p>
        </w:tc>
        <w:tc>
          <w:tcPr>
            <w:tcW w:w="960" w:type="dxa"/>
            <w:vAlign w:val="bottom"/>
            <w:gridSpan w:val="4"/>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180.150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98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87"/>
              </w:rPr>
              <w:t>Result from exposure to inflation</w:t>
            </w:r>
          </w:p>
        </w:tc>
        <w:tc>
          <w:tcPr>
            <w:tcW w:w="5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60" w:type="dxa"/>
            <w:vAlign w:val="bottom"/>
          </w:tcPr>
          <w:p>
            <w:pPr>
              <w:spacing w:after="0"/>
              <w:rPr>
                <w:sz w:val="24"/>
                <w:szCs w:val="24"/>
                <w:color w:val="auto"/>
              </w:rPr>
            </w:pPr>
          </w:p>
        </w:tc>
        <w:tc>
          <w:tcPr>
            <w:tcW w:w="298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3.973</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(35.570)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(16.811)</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($4.843)</w:t>
            </w:r>
          </w:p>
        </w:tc>
        <w:tc>
          <w:tcPr>
            <w:tcW w:w="120" w:type="dxa"/>
            <w:vAlign w:val="bottom"/>
          </w:tcPr>
          <w:p>
            <w:pPr>
              <w:spacing w:after="0"/>
              <w:rPr>
                <w:sz w:val="24"/>
                <w:szCs w:val="24"/>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(22.516)</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(52.381)</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98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86"/>
              </w:rPr>
              <w:t>Income before income tax</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138.010</w:t>
            </w: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96.926</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119.707</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$34.488</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164.493</w:t>
            </w:r>
          </w:p>
        </w:tc>
        <w:tc>
          <w:tcPr>
            <w:tcW w:w="120" w:type="dxa"/>
            <w:vAlign w:val="bottom"/>
          </w:tcPr>
          <w:p>
            <w:pPr>
              <w:spacing w:after="0"/>
              <w:rPr>
                <w:sz w:val="24"/>
                <w:szCs w:val="24"/>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216.633</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$62.412</w:t>
            </w:r>
          </w:p>
        </w:tc>
        <w:tc>
          <w:tcPr>
            <w:tcW w:w="0" w:type="dxa"/>
            <w:vAlign w:val="bottom"/>
          </w:tcPr>
          <w:p>
            <w:pPr>
              <w:spacing w:after="0"/>
              <w:rPr>
                <w:sz w:val="1"/>
                <w:szCs w:val="1"/>
                <w:color w:val="auto"/>
              </w:rPr>
            </w:pPr>
          </w:p>
        </w:tc>
      </w:tr>
      <w:tr>
        <w:trPr>
          <w:trHeight w:val="432"/>
        </w:trPr>
        <w:tc>
          <w:tcPr>
            <w:tcW w:w="3440" w:type="dxa"/>
            <w:vAlign w:val="bottom"/>
            <w:gridSpan w:val="5"/>
          </w:tcPr>
          <w:p>
            <w:pPr>
              <w:spacing w:after="0"/>
              <w:rPr>
                <w:sz w:val="20"/>
                <w:szCs w:val="20"/>
                <w:color w:val="auto"/>
              </w:rPr>
            </w:pPr>
            <w:r>
              <w:rPr>
                <w:rFonts w:ascii="Arial" w:cs="Arial" w:eastAsia="Arial" w:hAnsi="Arial"/>
                <w:sz w:val="18"/>
                <w:szCs w:val="18"/>
                <w:color w:val="auto"/>
              </w:rPr>
              <w:t>Income Tax</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31.567</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28.554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37.324</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$10.753</w:t>
            </w:r>
          </w:p>
        </w:tc>
        <w:tc>
          <w:tcPr>
            <w:tcW w:w="120" w:type="dxa"/>
            <w:vAlign w:val="bottom"/>
          </w:tcPr>
          <w:p>
            <w:pPr>
              <w:spacing w:after="0"/>
              <w:rPr>
                <w:sz w:val="24"/>
                <w:szCs w:val="24"/>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45.115</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65.878</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$18.980</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rPr>
              <w:t>NET INCOME</w:t>
            </w: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106.443</w:t>
            </w: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68.372</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82.383</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$23.735</w:t>
            </w:r>
          </w:p>
        </w:tc>
        <w:tc>
          <w:tcPr>
            <w:tcW w:w="1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119.378</w:t>
            </w:r>
          </w:p>
        </w:tc>
        <w:tc>
          <w:tcPr>
            <w:tcW w:w="120" w:type="dxa"/>
            <w:vAlign w:val="bottom"/>
          </w:tcPr>
          <w:p>
            <w:pPr>
              <w:spacing w:after="0"/>
              <w:rPr>
                <w:sz w:val="24"/>
                <w:szCs w:val="24"/>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150.755</w:t>
            </w: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rPr>
              <w:t>$43.433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-4779010</wp:posOffset>
            </wp:positionV>
            <wp:extent cx="3429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-4779010</wp:posOffset>
            </wp:positionV>
            <wp:extent cx="3429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-4495800</wp:posOffset>
            </wp:positionV>
            <wp:extent cx="3429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(1)Translated at S/.3.471 per US$1.00.</w:t>
      </w:r>
    </w:p>
    <w:p>
      <w:pPr>
        <w:sectPr>
          <w:pgSz w:w="11900" w:h="16838" w:orient="portrait"/>
          <w:cols w:equalWidth="0" w:num="1">
            <w:col w:w="11420"/>
          </w:cols>
          <w:pgMar w:left="240" w:top="34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60" w:type="dxa"/>
            <w:vAlign w:val="bottom"/>
            <w:gridSpan w:val="5"/>
          </w:tcPr>
          <w:p>
            <w:pPr>
              <w:jc w:val="center"/>
              <w:ind w:right="592"/>
              <w:spacing w:after="0"/>
              <w:rPr>
                <w:sz w:val="20"/>
                <w:szCs w:val="20"/>
                <w:color w:val="auto"/>
              </w:rPr>
            </w:pPr>
            <w:r>
              <w:rPr>
                <w:rFonts w:ascii="Arial" w:cs="Arial" w:eastAsia="Arial" w:hAnsi="Arial"/>
                <w:sz w:val="18"/>
                <w:szCs w:val="18"/>
                <w:b w:val="1"/>
                <w:bCs w:val="1"/>
                <w:color w:val="auto"/>
                <w:w w:val="97"/>
              </w:rPr>
              <w:t>BANCO DE CREDITO DEL PERU AND SUBSIDIARIES</w:t>
            </w: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tcPr>
          <w:p>
            <w:pPr>
              <w:jc w:val="center"/>
              <w:ind w:left="592"/>
              <w:spacing w:after="0"/>
              <w:rPr>
                <w:sz w:val="20"/>
                <w:szCs w:val="20"/>
                <w:color w:val="auto"/>
              </w:rPr>
            </w:pPr>
            <w:r>
              <w:rPr>
                <w:rFonts w:ascii="Arial" w:cs="Arial" w:eastAsia="Arial" w:hAnsi="Arial"/>
                <w:sz w:val="18"/>
                <w:szCs w:val="18"/>
                <w:b w:val="1"/>
                <w:bCs w:val="1"/>
                <w:color w:val="auto"/>
                <w:w w:val="86"/>
              </w:rPr>
              <w:t>Table 6</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SELECTED FINANCIAL INDICATORS</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254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Six months ended</w:t>
            </w:r>
          </w:p>
        </w:tc>
      </w:tr>
      <w:tr>
        <w:trPr>
          <w:trHeight w:val="110"/>
        </w:trPr>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29"/>
        </w:trPr>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30.06.03</w:t>
            </w: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31.03.04</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30.06.04</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30.06.03</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30.06.04</w:t>
            </w:r>
          </w:p>
        </w:tc>
      </w:tr>
      <w:tr>
        <w:trPr>
          <w:trHeight w:val="110"/>
        </w:trPr>
        <w:tc>
          <w:tcPr>
            <w:tcW w:w="9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Profitability</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8"/>
        </w:trPr>
        <w:tc>
          <w:tcPr>
            <w:tcW w:w="3900" w:type="dxa"/>
            <w:vAlign w:val="bottom"/>
            <w:gridSpan w:val="6"/>
          </w:tcPr>
          <w:p>
            <w:pPr>
              <w:spacing w:after="0"/>
              <w:rPr>
                <w:sz w:val="20"/>
                <w:szCs w:val="20"/>
                <w:color w:val="auto"/>
              </w:rPr>
            </w:pPr>
            <w:r>
              <w:rPr>
                <w:rFonts w:ascii="Arial" w:cs="Arial" w:eastAsia="Arial" w:hAnsi="Arial"/>
                <w:sz w:val="18"/>
                <w:szCs w:val="18"/>
                <w:color w:val="auto"/>
                <w:w w:val="99"/>
              </w:rPr>
              <w:t>Net income per common share (S/. per share)(1)</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0.087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0.056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0.067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0.097</w:t>
            </w:r>
          </w:p>
        </w:tc>
        <w:tc>
          <w:tcPr>
            <w:tcW w:w="1180" w:type="dxa"/>
            <w:vAlign w:val="bottom"/>
          </w:tcPr>
          <w:p>
            <w:pPr>
              <w:jc w:val="right"/>
              <w:spacing w:after="0"/>
              <w:rPr>
                <w:sz w:val="20"/>
                <w:szCs w:val="20"/>
                <w:color w:val="auto"/>
              </w:rPr>
            </w:pPr>
            <w:r>
              <w:rPr>
                <w:rFonts w:ascii="Arial" w:cs="Arial" w:eastAsia="Arial" w:hAnsi="Arial"/>
                <w:sz w:val="18"/>
                <w:szCs w:val="18"/>
                <w:color w:val="auto"/>
              </w:rPr>
              <w:t>0.123</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w w:val="99"/>
              </w:rPr>
              <w:t>Net interest margin on interest earning assets (2)</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5.38%</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5.12%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5.08%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5.24%</w:t>
            </w: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Return on average total assets (2)(3)</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1.67%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0.92%</w:t>
            </w: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2"/>
        </w:trPr>
        <w:tc>
          <w:tcPr>
            <w:tcW w:w="3900" w:type="dxa"/>
            <w:vAlign w:val="bottom"/>
            <w:gridSpan w:val="6"/>
          </w:tcPr>
          <w:p>
            <w:pPr>
              <w:spacing w:after="0"/>
              <w:rPr>
                <w:sz w:val="20"/>
                <w:szCs w:val="20"/>
                <w:color w:val="auto"/>
              </w:rPr>
            </w:pPr>
            <w:r>
              <w:rPr>
                <w:rFonts w:ascii="Arial" w:cs="Arial" w:eastAsia="Arial" w:hAnsi="Arial"/>
                <w:sz w:val="18"/>
                <w:szCs w:val="18"/>
                <w:color w:val="auto"/>
              </w:rPr>
              <w:t>Return on average shareholders' equity (2)(3)</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20.45%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12.14%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14.94%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11.37%</w:t>
            </w:r>
          </w:p>
        </w:tc>
        <w:tc>
          <w:tcPr>
            <w:tcW w:w="1180" w:type="dxa"/>
            <w:vAlign w:val="bottom"/>
          </w:tcPr>
          <w:p>
            <w:pPr>
              <w:jc w:val="right"/>
              <w:spacing w:after="0"/>
              <w:rPr>
                <w:sz w:val="20"/>
                <w:szCs w:val="20"/>
                <w:color w:val="auto"/>
              </w:rPr>
            </w:pPr>
            <w:r>
              <w:rPr>
                <w:rFonts w:ascii="Arial" w:cs="Arial" w:eastAsia="Arial" w:hAnsi="Arial"/>
                <w:sz w:val="18"/>
                <w:szCs w:val="18"/>
                <w:color w:val="auto"/>
              </w:rPr>
              <w:t>13.39%</w:t>
            </w:r>
          </w:p>
        </w:tc>
      </w:tr>
      <w:tr>
        <w:trPr>
          <w:trHeight w:val="394"/>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Quality of loan portfolio</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71"/>
        </w:trPr>
        <w:tc>
          <w:tcPr>
            <w:tcW w:w="3900" w:type="dxa"/>
            <w:vAlign w:val="bottom"/>
            <w:gridSpan w:val="6"/>
          </w:tcPr>
          <w:p>
            <w:pPr>
              <w:spacing w:after="0"/>
              <w:rPr>
                <w:sz w:val="20"/>
                <w:szCs w:val="20"/>
                <w:color w:val="auto"/>
              </w:rPr>
            </w:pPr>
            <w:r>
              <w:rPr>
                <w:rFonts w:ascii="Arial" w:cs="Arial" w:eastAsia="Arial" w:hAnsi="Arial"/>
                <w:sz w:val="18"/>
                <w:szCs w:val="18"/>
                <w:color w:val="auto"/>
              </w:rPr>
              <w:t>Past due loans as a percentage of total loans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8.37%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6.01%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5.08%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8.37%</w:t>
            </w: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Past due loans + refinanced loans as a</w:t>
            </w: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percentage of total loans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14.61%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11.58%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10.34%</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14.61%</w:t>
            </w:r>
          </w:p>
        </w:tc>
        <w:tc>
          <w:tcPr>
            <w:tcW w:w="1180" w:type="dxa"/>
            <w:vAlign w:val="bottom"/>
          </w:tcPr>
          <w:p>
            <w:pPr>
              <w:jc w:val="right"/>
              <w:spacing w:after="0"/>
              <w:rPr>
                <w:sz w:val="20"/>
                <w:szCs w:val="20"/>
                <w:color w:val="auto"/>
              </w:rPr>
            </w:pPr>
            <w:r>
              <w:rPr>
                <w:rFonts w:ascii="Arial" w:cs="Arial" w:eastAsia="Arial" w:hAnsi="Arial"/>
                <w:sz w:val="18"/>
                <w:szCs w:val="18"/>
                <w:color w:val="auto"/>
              </w:rPr>
              <w:t>10.34%</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past due loans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117.78%</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129.78%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137.63%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117.78%</w:t>
            </w:r>
          </w:p>
        </w:tc>
        <w:tc>
          <w:tcPr>
            <w:tcW w:w="1180" w:type="dxa"/>
            <w:vAlign w:val="bottom"/>
          </w:tcPr>
          <w:p>
            <w:pPr>
              <w:jc w:val="right"/>
              <w:spacing w:after="0"/>
              <w:rPr>
                <w:sz w:val="20"/>
                <w:szCs w:val="20"/>
                <w:color w:val="auto"/>
              </w:rPr>
            </w:pPr>
            <w:r>
              <w:rPr>
                <w:rFonts w:ascii="Arial" w:cs="Arial" w:eastAsia="Arial" w:hAnsi="Arial"/>
                <w:sz w:val="18"/>
                <w:szCs w:val="18"/>
                <w:color w:val="auto"/>
              </w:rPr>
              <w:t>137.63%</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Reserves for loan losses as a percentage of</w:t>
            </w: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substandard loans (C+D+E)</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54.41%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53.46%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52.08%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54.41%</w:t>
            </w:r>
          </w:p>
        </w:tc>
        <w:tc>
          <w:tcPr>
            <w:tcW w:w="1180" w:type="dxa"/>
            <w:vAlign w:val="bottom"/>
          </w:tcPr>
          <w:p>
            <w:pPr>
              <w:jc w:val="right"/>
              <w:spacing w:after="0"/>
              <w:rPr>
                <w:sz w:val="20"/>
                <w:szCs w:val="20"/>
                <w:color w:val="auto"/>
              </w:rPr>
            </w:pPr>
            <w:r>
              <w:rPr>
                <w:rFonts w:ascii="Arial" w:cs="Arial" w:eastAsia="Arial" w:hAnsi="Arial"/>
                <w:sz w:val="18"/>
                <w:szCs w:val="18"/>
                <w:color w:val="auto"/>
              </w:rPr>
              <w:t>52.08%</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Past due loans - reserves for loan losses as a</w:t>
            </w:r>
          </w:p>
        </w:tc>
        <w:tc>
          <w:tcPr>
            <w:tcW w:w="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3900" w:type="dxa"/>
            <w:vAlign w:val="bottom"/>
            <w:gridSpan w:val="6"/>
          </w:tcPr>
          <w:p>
            <w:pPr>
              <w:spacing w:after="0"/>
              <w:rPr>
                <w:sz w:val="20"/>
                <w:szCs w:val="20"/>
                <w:color w:val="auto"/>
              </w:rPr>
            </w:pPr>
            <w:r>
              <w:rPr>
                <w:rFonts w:ascii="Arial" w:cs="Arial" w:eastAsia="Arial" w:hAnsi="Arial"/>
                <w:sz w:val="18"/>
                <w:szCs w:val="18"/>
                <w:color w:val="auto"/>
              </w:rPr>
              <w:t>percentage of shareholders' equity</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-10.84%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-11.64%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-12.26%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-10.84%</w:t>
            </w:r>
          </w:p>
        </w:tc>
        <w:tc>
          <w:tcPr>
            <w:tcW w:w="118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421"/>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Operating efficiency (5)</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8"/>
        </w:trPr>
        <w:tc>
          <w:tcPr>
            <w:tcW w:w="3900" w:type="dxa"/>
            <w:vAlign w:val="bottom"/>
            <w:gridSpan w:val="6"/>
          </w:tcPr>
          <w:p>
            <w:pPr>
              <w:spacing w:after="0"/>
              <w:rPr>
                <w:sz w:val="20"/>
                <w:szCs w:val="20"/>
                <w:color w:val="auto"/>
              </w:rPr>
            </w:pPr>
            <w:r>
              <w:rPr>
                <w:rFonts w:ascii="Arial" w:cs="Arial" w:eastAsia="Arial" w:hAnsi="Arial"/>
                <w:sz w:val="18"/>
                <w:szCs w:val="18"/>
                <w:color w:val="auto"/>
              </w:rPr>
              <w:t>Oper. expense as a percent. of total income (4)</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52.86%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57.03%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57.83%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53.61%</w:t>
            </w:r>
          </w:p>
        </w:tc>
        <w:tc>
          <w:tcPr>
            <w:tcW w:w="1180" w:type="dxa"/>
            <w:vAlign w:val="bottom"/>
          </w:tcPr>
          <w:p>
            <w:pPr>
              <w:jc w:val="right"/>
              <w:spacing w:after="0"/>
              <w:rPr>
                <w:sz w:val="20"/>
                <w:szCs w:val="20"/>
                <w:color w:val="auto"/>
              </w:rPr>
            </w:pPr>
            <w:r>
              <w:rPr>
                <w:rFonts w:ascii="Arial" w:cs="Arial" w:eastAsia="Arial" w:hAnsi="Arial"/>
                <w:sz w:val="18"/>
                <w:szCs w:val="18"/>
                <w:color w:val="auto"/>
              </w:rPr>
              <w:t>57.42%</w:t>
            </w:r>
          </w:p>
        </w:tc>
      </w:tr>
      <w:tr>
        <w:trPr>
          <w:trHeight w:val="222"/>
        </w:trPr>
        <w:tc>
          <w:tcPr>
            <w:tcW w:w="3900" w:type="dxa"/>
            <w:vAlign w:val="bottom"/>
            <w:gridSpan w:val="6"/>
          </w:tcPr>
          <w:p>
            <w:pPr>
              <w:spacing w:after="0"/>
              <w:rPr>
                <w:sz w:val="20"/>
                <w:szCs w:val="20"/>
                <w:color w:val="auto"/>
              </w:rPr>
            </w:pPr>
            <w:r>
              <w:rPr>
                <w:rFonts w:ascii="Arial" w:cs="Arial" w:eastAsia="Arial" w:hAnsi="Arial"/>
                <w:sz w:val="18"/>
                <w:szCs w:val="18"/>
                <w:color w:val="auto"/>
                <w:w w:val="95"/>
              </w:rPr>
              <w:t>Oper. expense as a percent. of av. tot. assets(2)(3)</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4.35%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4.73%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4.61%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4.39%</w:t>
            </w:r>
          </w:p>
        </w:tc>
        <w:tc>
          <w:tcPr>
            <w:tcW w:w="118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394"/>
        </w:trPr>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Capital adequacy</w:t>
            </w:r>
          </w:p>
        </w:tc>
        <w:tc>
          <w:tcPr>
            <w:tcW w:w="258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3900" w:type="dxa"/>
            <w:vAlign w:val="bottom"/>
            <w:gridSpan w:val="6"/>
          </w:tcPr>
          <w:p>
            <w:pPr>
              <w:spacing w:after="0"/>
              <w:rPr>
                <w:sz w:val="20"/>
                <w:szCs w:val="20"/>
                <w:color w:val="auto"/>
              </w:rPr>
            </w:pPr>
            <w:r>
              <w:rPr>
                <w:rFonts w:ascii="Arial" w:cs="Arial" w:eastAsia="Arial" w:hAnsi="Arial"/>
                <w:sz w:val="18"/>
                <w:szCs w:val="18"/>
                <w:color w:val="auto"/>
              </w:rPr>
              <w:t>Total Regulatory capital (constant millions 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2,276.0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2,368.0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2,362.8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2,276.0</w:t>
            </w:r>
          </w:p>
        </w:tc>
        <w:tc>
          <w:tcPr>
            <w:tcW w:w="1180" w:type="dxa"/>
            <w:vAlign w:val="bottom"/>
          </w:tcPr>
          <w:p>
            <w:pPr>
              <w:jc w:val="right"/>
              <w:spacing w:after="0"/>
              <w:rPr>
                <w:sz w:val="20"/>
                <w:szCs w:val="20"/>
                <w:color w:val="auto"/>
              </w:rPr>
            </w:pPr>
            <w:r>
              <w:rPr>
                <w:rFonts w:ascii="Arial" w:cs="Arial" w:eastAsia="Arial" w:hAnsi="Arial"/>
                <w:sz w:val="18"/>
                <w:szCs w:val="18"/>
                <w:color w:val="auto"/>
              </w:rPr>
              <w:t>2,362.8</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Tier I Capital (constant millions 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1,988.5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2,066.1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2,068.5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1,988.5</w:t>
            </w:r>
          </w:p>
        </w:tc>
        <w:tc>
          <w:tcPr>
            <w:tcW w:w="1180" w:type="dxa"/>
            <w:vAlign w:val="bottom"/>
          </w:tcPr>
          <w:p>
            <w:pPr>
              <w:jc w:val="right"/>
              <w:spacing w:after="0"/>
              <w:rPr>
                <w:sz w:val="20"/>
                <w:szCs w:val="20"/>
                <w:color w:val="auto"/>
              </w:rPr>
            </w:pPr>
            <w:r>
              <w:rPr>
                <w:rFonts w:ascii="Arial" w:cs="Arial" w:eastAsia="Arial" w:hAnsi="Arial"/>
                <w:sz w:val="18"/>
                <w:szCs w:val="18"/>
                <w:color w:val="auto"/>
              </w:rPr>
              <w:t>2,068.5</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w w:val="92"/>
              </w:rPr>
              <w:t>Net equity as a percentage of period end total assets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8.59%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9.27%</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9.49%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8.59%</w:t>
            </w:r>
          </w:p>
        </w:tc>
        <w:tc>
          <w:tcPr>
            <w:tcW w:w="118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22"/>
        </w:trPr>
        <w:tc>
          <w:tcPr>
            <w:tcW w:w="3900" w:type="dxa"/>
            <w:vAlign w:val="bottom"/>
            <w:gridSpan w:val="6"/>
          </w:tcPr>
          <w:p>
            <w:pPr>
              <w:spacing w:after="0"/>
              <w:rPr>
                <w:sz w:val="20"/>
                <w:szCs w:val="20"/>
                <w:color w:val="auto"/>
              </w:rPr>
            </w:pPr>
            <w:r>
              <w:rPr>
                <w:rFonts w:ascii="Arial" w:cs="Arial" w:eastAsia="Arial" w:hAnsi="Arial"/>
                <w:sz w:val="18"/>
                <w:szCs w:val="18"/>
                <w:color w:val="auto"/>
              </w:rPr>
              <w:t>Regulatory capital / risk-weighted assets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12.49%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13.82%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14.15%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12.49%</w:t>
            </w:r>
          </w:p>
        </w:tc>
        <w:tc>
          <w:tcPr>
            <w:tcW w:w="118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394"/>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Average balances (constant millions S/.) (3)</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32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Interest earning assets</w:t>
            </w:r>
          </w:p>
        </w:tc>
        <w:tc>
          <w:tcPr>
            <w:tcW w:w="680" w:type="dxa"/>
            <w:vAlign w:val="bottom"/>
          </w:tcPr>
          <w:p>
            <w:pPr>
              <w:spacing w:after="0"/>
              <w:rPr>
                <w:sz w:val="19"/>
                <w:szCs w:val="19"/>
                <w:color w:val="auto"/>
              </w:rPr>
            </w:pP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22,505.5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20,893.1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20,718.6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22,994.2</w:t>
            </w:r>
          </w:p>
        </w:tc>
        <w:tc>
          <w:tcPr>
            <w:tcW w:w="1180" w:type="dxa"/>
            <w:vAlign w:val="bottom"/>
          </w:tcPr>
          <w:p>
            <w:pPr>
              <w:jc w:val="right"/>
              <w:spacing w:after="0"/>
              <w:rPr>
                <w:sz w:val="20"/>
                <w:szCs w:val="20"/>
                <w:color w:val="auto"/>
              </w:rPr>
            </w:pPr>
            <w:r>
              <w:rPr>
                <w:rFonts w:ascii="Arial" w:cs="Arial" w:eastAsia="Arial" w:hAnsi="Arial"/>
                <w:sz w:val="18"/>
                <w:szCs w:val="18"/>
                <w:color w:val="auto"/>
              </w:rPr>
              <w:t>20,898.5</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Total Assets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25,563.0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23,811.3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23,518.0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26,079.8</w:t>
            </w:r>
          </w:p>
        </w:tc>
        <w:tc>
          <w:tcPr>
            <w:tcW w:w="1180" w:type="dxa"/>
            <w:vAlign w:val="bottom"/>
          </w:tcPr>
          <w:p>
            <w:pPr>
              <w:jc w:val="right"/>
              <w:spacing w:after="0"/>
              <w:rPr>
                <w:sz w:val="20"/>
                <w:szCs w:val="20"/>
                <w:color w:val="auto"/>
              </w:rPr>
            </w:pPr>
            <w:r>
              <w:rPr>
                <w:rFonts w:ascii="Arial" w:cs="Arial" w:eastAsia="Arial" w:hAnsi="Arial"/>
                <w:sz w:val="18"/>
                <w:szCs w:val="18"/>
                <w:color w:val="auto"/>
              </w:rPr>
              <w:t>23,978.3</w:t>
            </w:r>
          </w:p>
        </w:tc>
      </w:tr>
      <w:tr>
        <w:trPr>
          <w:trHeight w:val="222"/>
        </w:trPr>
        <w:tc>
          <w:tcPr>
            <w:tcW w:w="3900" w:type="dxa"/>
            <w:vAlign w:val="bottom"/>
            <w:gridSpan w:val="6"/>
          </w:tcPr>
          <w:p>
            <w:pPr>
              <w:spacing w:after="0"/>
              <w:rPr>
                <w:sz w:val="20"/>
                <w:szCs w:val="20"/>
                <w:color w:val="auto"/>
              </w:rPr>
            </w:pPr>
            <w:r>
              <w:rPr>
                <w:rFonts w:ascii="Arial" w:cs="Arial" w:eastAsia="Arial" w:hAnsi="Arial"/>
                <w:sz w:val="18"/>
                <w:szCs w:val="18"/>
                <w:color w:val="auto"/>
              </w:rPr>
              <w:t>Net equity</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2,082.5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2,253.2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2,206.0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2,099.1</w:t>
            </w:r>
          </w:p>
        </w:tc>
        <w:tc>
          <w:tcPr>
            <w:tcW w:w="1180" w:type="dxa"/>
            <w:vAlign w:val="bottom"/>
          </w:tcPr>
          <w:p>
            <w:pPr>
              <w:jc w:val="right"/>
              <w:spacing w:after="0"/>
              <w:rPr>
                <w:sz w:val="20"/>
                <w:szCs w:val="20"/>
                <w:color w:val="auto"/>
              </w:rPr>
            </w:pPr>
            <w:r>
              <w:rPr>
                <w:rFonts w:ascii="Arial" w:cs="Arial" w:eastAsia="Arial" w:hAnsi="Arial"/>
                <w:sz w:val="18"/>
                <w:szCs w:val="18"/>
                <w:color w:val="auto"/>
              </w:rPr>
              <w:t>2,251.4</w:t>
            </w:r>
          </w:p>
        </w:tc>
      </w:tr>
      <w:tr>
        <w:trPr>
          <w:trHeight w:val="394"/>
        </w:trPr>
        <w:tc>
          <w:tcPr>
            <w:tcW w:w="3900" w:type="dxa"/>
            <w:vAlign w:val="bottom"/>
            <w:gridSpan w:val="6"/>
          </w:tcPr>
          <w:p>
            <w:pPr>
              <w:spacing w:after="0"/>
              <w:rPr>
                <w:sz w:val="20"/>
                <w:szCs w:val="20"/>
                <w:color w:val="auto"/>
              </w:rPr>
            </w:pPr>
            <w:r>
              <w:rPr>
                <w:rFonts w:ascii="Arial" w:cs="Arial" w:eastAsia="Arial" w:hAnsi="Arial"/>
                <w:sz w:val="18"/>
                <w:szCs w:val="18"/>
                <w:b w:val="1"/>
                <w:bCs w:val="1"/>
                <w:color w:val="auto"/>
              </w:rPr>
              <w:t>Additional data</w:t>
            </w: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8"/>
        </w:trPr>
        <w:tc>
          <w:tcPr>
            <w:tcW w:w="3900" w:type="dxa"/>
            <w:vAlign w:val="bottom"/>
            <w:gridSpan w:val="6"/>
          </w:tcPr>
          <w:p>
            <w:pPr>
              <w:spacing w:after="0"/>
              <w:rPr>
                <w:sz w:val="20"/>
                <w:szCs w:val="20"/>
                <w:color w:val="auto"/>
              </w:rPr>
            </w:pPr>
            <w:r>
              <w:rPr>
                <w:rFonts w:ascii="Arial" w:cs="Arial" w:eastAsia="Arial" w:hAnsi="Arial"/>
                <w:sz w:val="18"/>
                <w:szCs w:val="18"/>
                <w:color w:val="auto"/>
              </w:rPr>
              <w:t>No. of outstanding shares (millions)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1,202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1,202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1,226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1,202</w:t>
            </w:r>
          </w:p>
        </w:tc>
        <w:tc>
          <w:tcPr>
            <w:tcW w:w="118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No. of employees</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7,570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7,652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7,567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7,570</w:t>
            </w:r>
          </w:p>
        </w:tc>
        <w:tc>
          <w:tcPr>
            <w:tcW w:w="1180" w:type="dxa"/>
            <w:vAlign w:val="bottom"/>
          </w:tcPr>
          <w:p>
            <w:pPr>
              <w:jc w:val="right"/>
              <w:spacing w:after="0"/>
              <w:rPr>
                <w:sz w:val="20"/>
                <w:szCs w:val="20"/>
                <w:color w:val="auto"/>
              </w:rPr>
            </w:pPr>
            <w:r>
              <w:rPr>
                <w:rFonts w:ascii="Arial" w:cs="Arial" w:eastAsia="Arial" w:hAnsi="Arial"/>
                <w:sz w:val="18"/>
                <w:szCs w:val="18"/>
                <w:color w:val="auto"/>
              </w:rPr>
              <w:t>7,567</w:t>
            </w:r>
          </w:p>
        </w:tc>
      </w:tr>
      <w:tr>
        <w:trPr>
          <w:trHeight w:val="216"/>
        </w:trPr>
        <w:tc>
          <w:tcPr>
            <w:tcW w:w="3900" w:type="dxa"/>
            <w:vAlign w:val="bottom"/>
            <w:gridSpan w:val="6"/>
          </w:tcPr>
          <w:p>
            <w:pPr>
              <w:spacing w:after="0"/>
              <w:rPr>
                <w:sz w:val="20"/>
                <w:szCs w:val="20"/>
                <w:color w:val="auto"/>
              </w:rPr>
            </w:pPr>
            <w:r>
              <w:rPr>
                <w:rFonts w:ascii="Arial" w:cs="Arial" w:eastAsia="Arial" w:hAnsi="Arial"/>
                <w:sz w:val="18"/>
                <w:szCs w:val="18"/>
                <w:color w:val="auto"/>
              </w:rPr>
              <w:t>Inflation rate ( Wholesale price index)</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-0.66%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2.83%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1.89%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0.44%</w:t>
            </w:r>
          </w:p>
        </w:tc>
        <w:tc>
          <w:tcPr>
            <w:tcW w:w="11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22"/>
        </w:trPr>
        <w:tc>
          <w:tcPr>
            <w:tcW w:w="3900" w:type="dxa"/>
            <w:vAlign w:val="bottom"/>
            <w:gridSpan w:val="6"/>
          </w:tcPr>
          <w:p>
            <w:pPr>
              <w:spacing w:after="0"/>
              <w:rPr>
                <w:sz w:val="20"/>
                <w:szCs w:val="20"/>
                <w:color w:val="auto"/>
              </w:rPr>
            </w:pPr>
            <w:r>
              <w:rPr>
                <w:rFonts w:ascii="Arial" w:cs="Arial" w:eastAsia="Arial" w:hAnsi="Arial"/>
                <w:sz w:val="18"/>
                <w:szCs w:val="18"/>
                <w:color w:val="auto"/>
              </w:rPr>
              <w:t>Exchange rate (S/. per 1 U.S. Dollar)</w:t>
            </w:r>
          </w:p>
        </w:tc>
        <w:tc>
          <w:tcPr>
            <w:tcW w:w="2260" w:type="dxa"/>
            <w:vAlign w:val="bottom"/>
            <w:gridSpan w:val="2"/>
          </w:tcPr>
          <w:p>
            <w:pPr>
              <w:jc w:val="right"/>
              <w:ind w:right="112"/>
              <w:spacing w:after="0"/>
              <w:rPr>
                <w:sz w:val="20"/>
                <w:szCs w:val="20"/>
                <w:color w:val="auto"/>
              </w:rPr>
            </w:pPr>
            <w:r>
              <w:rPr>
                <w:rFonts w:ascii="Arial" w:cs="Arial" w:eastAsia="Arial" w:hAnsi="Arial"/>
                <w:sz w:val="18"/>
                <w:szCs w:val="18"/>
                <w:color w:val="auto"/>
              </w:rPr>
              <w:t>3.47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3.46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3.47</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3.47</w:t>
            </w: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-5628005</wp:posOffset>
            </wp:positionV>
            <wp:extent cx="3429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-5628005</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-5336540</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ind w:left="280" w:right="5480" w:hanging="262"/>
        <w:spacing w:after="0" w:line="286" w:lineRule="auto"/>
        <w:rPr>
          <w:sz w:val="20"/>
          <w:szCs w:val="20"/>
          <w:color w:val="auto"/>
        </w:rPr>
      </w:pPr>
      <w:r>
        <w:rPr>
          <w:rFonts w:ascii="Arial" w:cs="Arial" w:eastAsia="Arial" w:hAnsi="Arial"/>
          <w:sz w:val="16"/>
          <w:szCs w:val="16"/>
          <w:i w:val="1"/>
          <w:iCs w:val="1"/>
          <w:color w:val="auto"/>
        </w:rPr>
        <w:t>(1)Shares outstanding of 1,226 million is used for all periods since shares have been issued only for capitalization of profits and inflation adjustment.</w:t>
      </w:r>
    </w:p>
    <w:p>
      <w:pPr>
        <w:spacing w:after="0"/>
        <w:rPr>
          <w:sz w:val="20"/>
          <w:szCs w:val="20"/>
          <w:color w:val="auto"/>
        </w:rPr>
      </w:pPr>
      <w:r>
        <w:rPr>
          <w:rFonts w:ascii="Arial" w:cs="Arial" w:eastAsia="Arial" w:hAnsi="Arial"/>
          <w:sz w:val="18"/>
          <w:szCs w:val="18"/>
          <w:i w:val="1"/>
          <w:iCs w:val="1"/>
          <w:color w:val="auto"/>
        </w:rPr>
        <w:t>(2)Ratios are 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(4)Total income includes net interest income and other income, excluding non-recurring items.</w:t>
      </w:r>
    </w:p>
    <w:p>
      <w:pPr>
        <w:spacing w:after="0" w:line="9" w:lineRule="exact"/>
        <w:rPr>
          <w:sz w:val="20"/>
          <w:szCs w:val="20"/>
          <w:color w:val="auto"/>
        </w:rPr>
      </w:pPr>
    </w:p>
    <w:p>
      <w:pPr>
        <w:ind w:left="280" w:right="5060" w:hanging="262"/>
        <w:spacing w:after="0" w:line="361" w:lineRule="auto"/>
        <w:rPr>
          <w:sz w:val="20"/>
          <w:szCs w:val="20"/>
          <w:color w:val="auto"/>
        </w:rPr>
      </w:pPr>
      <w:r>
        <w:rPr>
          <w:rFonts w:ascii="Arial" w:cs="Arial" w:eastAsia="Arial" w:hAnsi="Arial"/>
          <w:sz w:val="15"/>
          <w:szCs w:val="15"/>
          <w:i w:val="1"/>
          <w:iCs w:val="1"/>
          <w:color w:val="auto"/>
        </w:rPr>
        <w:t>(5)Operating expense does not include mandatory employee profit sharing expense nor provisions for other assets received in lieu of loan repayment and non-recurring items.</w:t>
      </w:r>
    </w:p>
    <w:p>
      <w:pPr>
        <w:sectPr>
          <w:pgSz w:w="11900" w:h="16838" w:orient="portrait"/>
          <w:cols w:equalWidth="0" w:num="1">
            <w:col w:w="11420"/>
          </w:cols>
          <w:pgMar w:left="240" w:top="34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ATLANTIC SECURITY HOLDING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U.S. Dollars, except net income per share, and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Three months ended</w:t>
            </w:r>
          </w:p>
        </w:tc>
        <w:tc>
          <w:tcPr>
            <w:tcW w:w="1320" w:type="dxa"/>
            <w:vAlign w:val="bottom"/>
          </w:tcPr>
          <w:p>
            <w:pPr>
              <w:spacing w:after="0"/>
              <w:rPr>
                <w:sz w:val="19"/>
                <w:szCs w:val="19"/>
                <w:color w:val="auto"/>
              </w:rPr>
            </w:pPr>
          </w:p>
        </w:tc>
        <w:tc>
          <w:tcPr>
            <w:tcW w:w="254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Six months ended</w:t>
            </w:r>
          </w:p>
        </w:tc>
      </w:tr>
      <w:tr>
        <w:trPr>
          <w:trHeight w:val="110"/>
        </w:trPr>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329"/>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Arial" w:cs="Arial" w:eastAsia="Arial" w:hAnsi="Arial"/>
                <w:sz w:val="18"/>
                <w:szCs w:val="18"/>
                <w:b w:val="1"/>
                <w:bCs w:val="1"/>
                <w:color w:val="auto"/>
              </w:rPr>
              <w:t>30.06.03</w:t>
            </w:r>
          </w:p>
        </w:tc>
        <w:tc>
          <w:tcPr>
            <w:tcW w:w="1400" w:type="dxa"/>
            <w:vAlign w:val="bottom"/>
          </w:tcPr>
          <w:p>
            <w:pPr>
              <w:jc w:val="right"/>
              <w:ind w:right="512"/>
              <w:spacing w:after="0"/>
              <w:rPr>
                <w:sz w:val="20"/>
                <w:szCs w:val="20"/>
                <w:color w:val="auto"/>
              </w:rPr>
            </w:pPr>
            <w:r>
              <w:rPr>
                <w:rFonts w:ascii="Arial" w:cs="Arial" w:eastAsia="Arial" w:hAnsi="Arial"/>
                <w:sz w:val="18"/>
                <w:szCs w:val="18"/>
                <w:b w:val="1"/>
                <w:bCs w:val="1"/>
                <w:color w:val="auto"/>
              </w:rPr>
              <w:t>31.03.04</w:t>
            </w:r>
          </w:p>
        </w:tc>
        <w:tc>
          <w:tcPr>
            <w:tcW w:w="132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30.06.04</w:t>
            </w:r>
          </w:p>
        </w:tc>
        <w:tc>
          <w:tcPr>
            <w:tcW w:w="1360" w:type="dxa"/>
            <w:vAlign w:val="bottom"/>
          </w:tcPr>
          <w:p>
            <w:pPr>
              <w:jc w:val="right"/>
              <w:ind w:right="472"/>
              <w:spacing w:after="0"/>
              <w:rPr>
                <w:sz w:val="20"/>
                <w:szCs w:val="20"/>
                <w:color w:val="auto"/>
              </w:rPr>
            </w:pPr>
            <w:r>
              <w:rPr>
                <w:rFonts w:ascii="Arial" w:cs="Arial" w:eastAsia="Arial" w:hAnsi="Arial"/>
                <w:sz w:val="18"/>
                <w:szCs w:val="18"/>
                <w:b w:val="1"/>
                <w:bCs w:val="1"/>
                <w:color w:val="auto"/>
              </w:rPr>
              <w:t>30.06.03</w:t>
            </w:r>
          </w:p>
        </w:tc>
        <w:tc>
          <w:tcPr>
            <w:tcW w:w="1180" w:type="dxa"/>
            <w:vAlign w:val="bottom"/>
          </w:tcPr>
          <w:p>
            <w:pPr>
              <w:jc w:val="right"/>
              <w:ind w:right="292"/>
              <w:spacing w:after="0"/>
              <w:rPr>
                <w:sz w:val="20"/>
                <w:szCs w:val="20"/>
                <w:color w:val="auto"/>
              </w:rPr>
            </w:pPr>
            <w:r>
              <w:rPr>
                <w:rFonts w:ascii="Arial" w:cs="Arial" w:eastAsia="Arial" w:hAnsi="Arial"/>
                <w:sz w:val="18"/>
                <w:szCs w:val="18"/>
                <w:b w:val="1"/>
                <w:bCs w:val="1"/>
                <w:color w:val="auto"/>
              </w:rPr>
              <w:t>30.06.04</w:t>
            </w:r>
          </w:p>
        </w:tc>
      </w:tr>
      <w:tr>
        <w:trPr>
          <w:trHeight w:val="110"/>
        </w:trPr>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r>
      <w:tr>
        <w:trPr>
          <w:trHeight w:val="277"/>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Results</w:t>
            </w:r>
          </w:p>
        </w:tc>
        <w:tc>
          <w:tcPr>
            <w:tcW w:w="402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4580" w:type="dxa"/>
            <w:vAlign w:val="bottom"/>
            <w:gridSpan w:val="4"/>
          </w:tcPr>
          <w:p>
            <w:pPr>
              <w:spacing w:after="0"/>
              <w:rPr>
                <w:sz w:val="20"/>
                <w:szCs w:val="20"/>
                <w:color w:val="auto"/>
              </w:rPr>
            </w:pPr>
            <w:r>
              <w:rPr>
                <w:rFonts w:ascii="Arial" w:cs="Arial" w:eastAsia="Arial" w:hAnsi="Arial"/>
                <w:sz w:val="18"/>
                <w:szCs w:val="18"/>
                <w:color w:val="auto"/>
              </w:rPr>
              <w:t>Net Interest Income (w/o dividends)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3,669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3,383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3,632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7,643</w:t>
            </w:r>
          </w:p>
        </w:tc>
        <w:tc>
          <w:tcPr>
            <w:tcW w:w="1180" w:type="dxa"/>
            <w:vAlign w:val="bottom"/>
          </w:tcPr>
          <w:p>
            <w:pPr>
              <w:jc w:val="right"/>
              <w:spacing w:after="0"/>
              <w:rPr>
                <w:sz w:val="20"/>
                <w:szCs w:val="20"/>
                <w:color w:val="auto"/>
              </w:rPr>
            </w:pPr>
            <w:r>
              <w:rPr>
                <w:rFonts w:ascii="Arial" w:cs="Arial" w:eastAsia="Arial" w:hAnsi="Arial"/>
                <w:sz w:val="18"/>
                <w:szCs w:val="18"/>
                <w:color w:val="auto"/>
              </w:rPr>
              <w:t>7,015</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Dividend income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97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4,871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1,043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3,216</w:t>
            </w:r>
          </w:p>
        </w:tc>
        <w:tc>
          <w:tcPr>
            <w:tcW w:w="1180" w:type="dxa"/>
            <w:vAlign w:val="bottom"/>
          </w:tcPr>
          <w:p>
            <w:pPr>
              <w:jc w:val="right"/>
              <w:spacing w:after="0"/>
              <w:rPr>
                <w:sz w:val="20"/>
                <w:szCs w:val="20"/>
                <w:color w:val="auto"/>
              </w:rPr>
            </w:pPr>
            <w:r>
              <w:rPr>
                <w:rFonts w:ascii="Arial" w:cs="Arial" w:eastAsia="Arial" w:hAnsi="Arial"/>
                <w:sz w:val="18"/>
                <w:szCs w:val="18"/>
                <w:color w:val="auto"/>
              </w:rPr>
              <w:t>5,914</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Provisions for credit and market risks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4,459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1,034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520</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8,706</w:t>
            </w:r>
          </w:p>
        </w:tc>
        <w:tc>
          <w:tcPr>
            <w:tcW w:w="1180" w:type="dxa"/>
            <w:vAlign w:val="bottom"/>
          </w:tcPr>
          <w:p>
            <w:pPr>
              <w:jc w:val="right"/>
              <w:spacing w:after="0"/>
              <w:rPr>
                <w:sz w:val="20"/>
                <w:szCs w:val="20"/>
                <w:color w:val="auto"/>
              </w:rPr>
            </w:pPr>
            <w:r>
              <w:rPr>
                <w:rFonts w:ascii="Arial" w:cs="Arial" w:eastAsia="Arial" w:hAnsi="Arial"/>
                <w:sz w:val="18"/>
                <w:szCs w:val="18"/>
                <w:color w:val="auto"/>
              </w:rPr>
              <w:t>1,554</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Commissions and fee income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845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1,116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1,095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1,802</w:t>
            </w:r>
          </w:p>
        </w:tc>
        <w:tc>
          <w:tcPr>
            <w:tcW w:w="1180" w:type="dxa"/>
            <w:vAlign w:val="bottom"/>
          </w:tcPr>
          <w:p>
            <w:pPr>
              <w:jc w:val="right"/>
              <w:spacing w:after="0"/>
              <w:rPr>
                <w:sz w:val="20"/>
                <w:szCs w:val="20"/>
                <w:color w:val="auto"/>
              </w:rPr>
            </w:pPr>
            <w:r>
              <w:rPr>
                <w:rFonts w:ascii="Arial" w:cs="Arial" w:eastAsia="Arial" w:hAnsi="Arial"/>
                <w:sz w:val="18"/>
                <w:szCs w:val="18"/>
                <w:color w:val="auto"/>
              </w:rPr>
              <w:t>2,211</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Other Income(1)</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3,066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1,252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1,116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4,518</w:t>
            </w:r>
          </w:p>
        </w:tc>
        <w:tc>
          <w:tcPr>
            <w:tcW w:w="1180" w:type="dxa"/>
            <w:vAlign w:val="bottom"/>
          </w:tcPr>
          <w:p>
            <w:pPr>
              <w:jc w:val="right"/>
              <w:spacing w:after="0"/>
              <w:rPr>
                <w:sz w:val="20"/>
                <w:szCs w:val="20"/>
                <w:color w:val="auto"/>
              </w:rPr>
            </w:pPr>
            <w:r>
              <w:rPr>
                <w:rFonts w:ascii="Arial" w:cs="Arial" w:eastAsia="Arial" w:hAnsi="Arial"/>
                <w:sz w:val="18"/>
                <w:szCs w:val="18"/>
                <w:color w:val="auto"/>
              </w:rPr>
              <w:t>2,368</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1,606</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1,864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1,776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3,100</w:t>
            </w:r>
          </w:p>
        </w:tc>
        <w:tc>
          <w:tcPr>
            <w:tcW w:w="1180" w:type="dxa"/>
            <w:vAlign w:val="bottom"/>
          </w:tcPr>
          <w:p>
            <w:pPr>
              <w:jc w:val="right"/>
              <w:spacing w:after="0"/>
              <w:rPr>
                <w:sz w:val="20"/>
                <w:szCs w:val="20"/>
                <w:color w:val="auto"/>
              </w:rPr>
            </w:pPr>
            <w:r>
              <w:rPr>
                <w:rFonts w:ascii="Arial" w:cs="Arial" w:eastAsia="Arial" w:hAnsi="Arial"/>
                <w:sz w:val="18"/>
                <w:szCs w:val="18"/>
                <w:color w:val="auto"/>
              </w:rPr>
              <w:t>3,639</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1,613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7,725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4,589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5,374</w:t>
            </w:r>
          </w:p>
        </w:tc>
        <w:tc>
          <w:tcPr>
            <w:tcW w:w="1180" w:type="dxa"/>
            <w:vAlign w:val="bottom"/>
          </w:tcPr>
          <w:p>
            <w:pPr>
              <w:jc w:val="right"/>
              <w:spacing w:after="0"/>
              <w:rPr>
                <w:sz w:val="20"/>
                <w:szCs w:val="20"/>
                <w:color w:val="auto"/>
              </w:rPr>
            </w:pPr>
            <w:r>
              <w:rPr>
                <w:rFonts w:ascii="Arial" w:cs="Arial" w:eastAsia="Arial" w:hAnsi="Arial"/>
                <w:sz w:val="18"/>
                <w:szCs w:val="18"/>
                <w:color w:val="auto"/>
              </w:rPr>
              <w:t>12,314</w:t>
            </w:r>
          </w:p>
        </w:tc>
      </w:tr>
      <w:tr>
        <w:trPr>
          <w:trHeight w:val="222"/>
        </w:trPr>
        <w:tc>
          <w:tcPr>
            <w:tcW w:w="4580" w:type="dxa"/>
            <w:vAlign w:val="bottom"/>
            <w:gridSpan w:val="4"/>
          </w:tcPr>
          <w:p>
            <w:pPr>
              <w:spacing w:after="0"/>
              <w:rPr>
                <w:sz w:val="20"/>
                <w:szCs w:val="20"/>
                <w:color w:val="auto"/>
              </w:rPr>
            </w:pPr>
            <w:r>
              <w:rPr>
                <w:rFonts w:ascii="Arial" w:cs="Arial" w:eastAsia="Arial" w:hAnsi="Arial"/>
                <w:sz w:val="18"/>
                <w:szCs w:val="18"/>
                <w:color w:val="auto"/>
              </w:rPr>
              <w:t>Net Income per share (US$)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0.19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0.11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0.13</w:t>
            </w: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394"/>
        </w:trPr>
        <w:tc>
          <w:tcPr>
            <w:tcW w:w="4580" w:type="dxa"/>
            <w:vAlign w:val="bottom"/>
            <w:gridSpan w:val="4"/>
          </w:tcPr>
          <w:p>
            <w:pPr>
              <w:spacing w:after="0"/>
              <w:rPr>
                <w:sz w:val="20"/>
                <w:szCs w:val="20"/>
                <w:color w:val="auto"/>
              </w:rPr>
            </w:pPr>
            <w:r>
              <w:rPr>
                <w:rFonts w:ascii="Arial" w:cs="Arial" w:eastAsia="Arial" w:hAnsi="Arial"/>
                <w:sz w:val="18"/>
                <w:szCs w:val="18"/>
                <w:b w:val="1"/>
                <w:bCs w:val="1"/>
                <w:color w:val="auto"/>
              </w:rPr>
              <w:t>Balance Sheets (end of period)</w:t>
            </w: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2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Total Assets</w:t>
            </w:r>
          </w:p>
        </w:tc>
        <w:tc>
          <w:tcPr>
            <w:tcW w:w="2300" w:type="dxa"/>
            <w:vAlign w:val="bottom"/>
          </w:tcPr>
          <w:p>
            <w:pPr>
              <w:spacing w:after="0"/>
              <w:rPr>
                <w:sz w:val="19"/>
                <w:szCs w:val="19"/>
                <w:color w:val="auto"/>
              </w:rPr>
            </w:pP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725,774</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793,521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851,608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725,774</w:t>
            </w:r>
          </w:p>
        </w:tc>
        <w:tc>
          <w:tcPr>
            <w:tcW w:w="1180" w:type="dxa"/>
            <w:vAlign w:val="bottom"/>
          </w:tcPr>
          <w:p>
            <w:pPr>
              <w:jc w:val="right"/>
              <w:spacing w:after="0"/>
              <w:rPr>
                <w:sz w:val="20"/>
                <w:szCs w:val="20"/>
                <w:color w:val="auto"/>
              </w:rPr>
            </w:pPr>
            <w:r>
              <w:rPr>
                <w:rFonts w:ascii="Arial" w:cs="Arial" w:eastAsia="Arial" w:hAnsi="Arial"/>
                <w:sz w:val="18"/>
                <w:szCs w:val="18"/>
                <w:color w:val="auto"/>
              </w:rPr>
              <w:t>851,608</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Loan portfolio, net</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156,683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154,170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163,136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156,683</w:t>
            </w:r>
          </w:p>
        </w:tc>
        <w:tc>
          <w:tcPr>
            <w:tcW w:w="1180" w:type="dxa"/>
            <w:vAlign w:val="bottom"/>
          </w:tcPr>
          <w:p>
            <w:pPr>
              <w:jc w:val="right"/>
              <w:spacing w:after="0"/>
              <w:rPr>
                <w:sz w:val="20"/>
                <w:szCs w:val="20"/>
                <w:color w:val="auto"/>
              </w:rPr>
            </w:pPr>
            <w:r>
              <w:rPr>
                <w:rFonts w:ascii="Arial" w:cs="Arial" w:eastAsia="Arial" w:hAnsi="Arial"/>
                <w:sz w:val="18"/>
                <w:szCs w:val="18"/>
                <w:color w:val="auto"/>
              </w:rPr>
              <w:t>163,136</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Marketable securities and investments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359,762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452,738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464,926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359,762</w:t>
            </w:r>
          </w:p>
        </w:tc>
        <w:tc>
          <w:tcPr>
            <w:tcW w:w="1180" w:type="dxa"/>
            <w:vAlign w:val="bottom"/>
          </w:tcPr>
          <w:p>
            <w:pPr>
              <w:jc w:val="right"/>
              <w:spacing w:after="0"/>
              <w:rPr>
                <w:sz w:val="20"/>
                <w:szCs w:val="20"/>
                <w:color w:val="auto"/>
              </w:rPr>
            </w:pPr>
            <w:r>
              <w:rPr>
                <w:rFonts w:ascii="Arial" w:cs="Arial" w:eastAsia="Arial" w:hAnsi="Arial"/>
                <w:sz w:val="18"/>
                <w:szCs w:val="18"/>
                <w:color w:val="auto"/>
              </w:rPr>
              <w:t>464,926</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Total Deposits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583,679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638,118</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677,793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583,679</w:t>
            </w:r>
          </w:p>
        </w:tc>
        <w:tc>
          <w:tcPr>
            <w:tcW w:w="1180" w:type="dxa"/>
            <w:vAlign w:val="bottom"/>
          </w:tcPr>
          <w:p>
            <w:pPr>
              <w:jc w:val="right"/>
              <w:spacing w:after="0"/>
              <w:rPr>
                <w:sz w:val="20"/>
                <w:szCs w:val="20"/>
                <w:color w:val="auto"/>
              </w:rPr>
            </w:pPr>
            <w:r>
              <w:rPr>
                <w:rFonts w:ascii="Arial" w:cs="Arial" w:eastAsia="Arial" w:hAnsi="Arial"/>
                <w:sz w:val="18"/>
                <w:szCs w:val="18"/>
                <w:color w:val="auto"/>
              </w:rPr>
              <w:t>677,793</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Shareholders' equity</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128,687</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121,901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141,316</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128,687</w:t>
            </w:r>
          </w:p>
        </w:tc>
        <w:tc>
          <w:tcPr>
            <w:tcW w:w="1180" w:type="dxa"/>
            <w:vAlign w:val="bottom"/>
          </w:tcPr>
          <w:p>
            <w:pPr>
              <w:jc w:val="right"/>
              <w:spacing w:after="0"/>
              <w:rPr>
                <w:sz w:val="20"/>
                <w:szCs w:val="20"/>
                <w:color w:val="auto"/>
              </w:rPr>
            </w:pPr>
            <w:r>
              <w:rPr>
                <w:rFonts w:ascii="Arial" w:cs="Arial" w:eastAsia="Arial" w:hAnsi="Arial"/>
                <w:sz w:val="18"/>
                <w:szCs w:val="18"/>
                <w:color w:val="auto"/>
              </w:rPr>
              <w:t>141,316</w:t>
            </w:r>
          </w:p>
        </w:tc>
      </w:tr>
      <w:tr>
        <w:trPr>
          <w:trHeight w:val="222"/>
        </w:trPr>
        <w:tc>
          <w:tcPr>
            <w:tcW w:w="4580" w:type="dxa"/>
            <w:vAlign w:val="bottom"/>
            <w:gridSpan w:val="4"/>
          </w:tcPr>
          <w:p>
            <w:pPr>
              <w:spacing w:after="0"/>
              <w:rPr>
                <w:sz w:val="20"/>
                <w:szCs w:val="20"/>
                <w:color w:val="auto"/>
              </w:rPr>
            </w:pPr>
            <w:r>
              <w:rPr>
                <w:rFonts w:ascii="Arial" w:cs="Arial" w:eastAsia="Arial" w:hAnsi="Arial"/>
                <w:sz w:val="18"/>
                <w:szCs w:val="18"/>
                <w:color w:val="auto"/>
              </w:rPr>
              <w:t>Funds under administration (2)</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547,143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691,200</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693,498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547,143</w:t>
            </w:r>
          </w:p>
        </w:tc>
        <w:tc>
          <w:tcPr>
            <w:tcW w:w="1180" w:type="dxa"/>
            <w:vAlign w:val="bottom"/>
          </w:tcPr>
          <w:p>
            <w:pPr>
              <w:jc w:val="right"/>
              <w:spacing w:after="0"/>
              <w:rPr>
                <w:sz w:val="20"/>
                <w:szCs w:val="20"/>
                <w:color w:val="auto"/>
              </w:rPr>
            </w:pPr>
            <w:r>
              <w:rPr>
                <w:rFonts w:ascii="Arial" w:cs="Arial" w:eastAsia="Arial" w:hAnsi="Arial"/>
                <w:sz w:val="18"/>
                <w:szCs w:val="18"/>
                <w:color w:val="auto"/>
              </w:rPr>
              <w:t>693,498</w:t>
            </w:r>
          </w:p>
        </w:tc>
      </w:tr>
      <w:tr>
        <w:trPr>
          <w:trHeight w:val="394"/>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Ratios (3)</w:t>
            </w:r>
          </w:p>
        </w:tc>
        <w:tc>
          <w:tcPr>
            <w:tcW w:w="384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8"/>
        </w:trPr>
        <w:tc>
          <w:tcPr>
            <w:tcW w:w="4580" w:type="dxa"/>
            <w:vAlign w:val="bottom"/>
            <w:gridSpan w:val="4"/>
          </w:tcPr>
          <w:p>
            <w:pPr>
              <w:spacing w:after="0"/>
              <w:rPr>
                <w:sz w:val="20"/>
                <w:szCs w:val="20"/>
                <w:color w:val="auto"/>
              </w:rPr>
            </w:pPr>
            <w:r>
              <w:rPr>
                <w:rFonts w:ascii="Arial" w:cs="Arial" w:eastAsia="Arial" w:hAnsi="Arial"/>
                <w:sz w:val="18"/>
                <w:szCs w:val="18"/>
                <w:color w:val="auto"/>
              </w:rPr>
              <w:t>Net interest margin / interest earning assets (4,5,6)</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2.4%</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Return on average stockholders' equity(5)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5.2%</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26.3%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13.9%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9.0%</w:t>
            </w: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Return on average total assets(5)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Past due loans as a percentage 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0.0%</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0.0%</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Reserves for loan losses as a percentage</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of total loans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2.1%</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 / total income(7)</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20.9%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17.5%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25.8%</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18.0%</w:t>
            </w:r>
          </w:p>
        </w:tc>
        <w:tc>
          <w:tcPr>
            <w:tcW w:w="11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 / average total assets(5)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0.9%</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0.9%</w:t>
            </w: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 / average total assets +</w:t>
            </w:r>
          </w:p>
        </w:tc>
        <w:tc>
          <w:tcPr>
            <w:tcW w:w="1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2"/>
        </w:trPr>
        <w:tc>
          <w:tcPr>
            <w:tcW w:w="4580" w:type="dxa"/>
            <w:vAlign w:val="bottom"/>
            <w:gridSpan w:val="4"/>
          </w:tcPr>
          <w:p>
            <w:pPr>
              <w:spacing w:after="0"/>
              <w:rPr>
                <w:sz w:val="20"/>
                <w:szCs w:val="20"/>
                <w:color w:val="auto"/>
              </w:rPr>
            </w:pPr>
            <w:r>
              <w:rPr>
                <w:rFonts w:ascii="Arial" w:cs="Arial" w:eastAsia="Arial" w:hAnsi="Arial"/>
                <w:sz w:val="18"/>
                <w:szCs w:val="18"/>
                <w:color w:val="auto"/>
              </w:rPr>
              <w:t>funds under management(5)</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0.5%</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-4358640</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-4358640</wp:posOffset>
            </wp:positionV>
            <wp:extent cx="3429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-4067175</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Includes realized gains in securities.</w:t>
      </w:r>
    </w:p>
    <w:p>
      <w:pPr>
        <w:spacing w:after="0" w:line="15" w:lineRule="exact"/>
        <w:rPr>
          <w:sz w:val="20"/>
          <w:szCs w:val="20"/>
          <w:color w:val="auto"/>
        </w:rPr>
      </w:pPr>
    </w:p>
    <w:p>
      <w:pPr>
        <w:ind w:left="220" w:right="5220" w:hanging="219"/>
        <w:spacing w:after="0" w:line="250" w:lineRule="auto"/>
        <w:rPr>
          <w:sz w:val="20"/>
          <w:szCs w:val="20"/>
          <w:color w:val="auto"/>
        </w:rPr>
      </w:pPr>
      <w:r>
        <w:rPr>
          <w:rFonts w:ascii="Arial" w:cs="Arial" w:eastAsia="Arial" w:hAnsi="Arial"/>
          <w:sz w:val="18"/>
          <w:szCs w:val="18"/>
          <w:i w:val="1"/>
          <w:iCs w:val="1"/>
          <w:color w:val="auto"/>
        </w:rPr>
        <w:t>(2)Prior period figures have been revised to reflect funds currently booked by Credicorp Securities, which were previously registered by ASHC.</w:t>
      </w:r>
    </w:p>
    <w:p>
      <w:pPr>
        <w:spacing w:after="0" w:line="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Averages determined from monthly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considering dividend income and dividend earning assets.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considering provisions for investments.</w:t>
      </w:r>
    </w:p>
    <w:p>
      <w:pPr>
        <w:sectPr>
          <w:pgSz w:w="11900" w:h="16838" w:orient="portrait"/>
          <w:cols w:equalWidth="0" w:num="1">
            <w:col w:w="11420"/>
          </w:cols>
          <w:pgMar w:left="240" w:top="3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EL PACIFICO-PERUANO SUIZA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(Constant Nuevos Soles as of June 30, 2004,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88"/>
              </w:rPr>
              <w:t>As of and for the three month</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2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87"/>
              </w:rPr>
              <w:t>As of and for the six month</w:t>
            </w:r>
          </w:p>
        </w:tc>
      </w:tr>
      <w:tr>
        <w:trPr>
          <w:trHeight w:val="228"/>
        </w:trPr>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8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period ended</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period ended</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10"/>
        </w:trPr>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316"/>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30.06.03</w:t>
            </w:r>
          </w:p>
        </w:tc>
        <w:tc>
          <w:tcPr>
            <w:tcW w:w="2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31.03.04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30.06.04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30.06.04</w:t>
            </w:r>
          </w:p>
        </w:tc>
        <w:tc>
          <w:tcPr>
            <w:tcW w:w="120" w:type="dxa"/>
            <w:vAlign w:val="bottom"/>
          </w:tcPr>
          <w:p>
            <w:pPr>
              <w:spacing w:after="0"/>
              <w:rPr>
                <w:sz w:val="24"/>
                <w:szCs w:val="24"/>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30.06.03</w:t>
            </w:r>
          </w:p>
        </w:tc>
        <w:tc>
          <w:tcPr>
            <w:tcW w:w="20" w:type="dxa"/>
            <w:vAlign w:val="bottom"/>
          </w:tcPr>
          <w:p>
            <w:pPr>
              <w:spacing w:after="0"/>
              <w:rPr>
                <w:sz w:val="24"/>
                <w:szCs w:val="24"/>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30.06.04</w:t>
            </w:r>
          </w:p>
        </w:tc>
        <w:tc>
          <w:tcPr>
            <w:tcW w:w="1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30.06.04</w:t>
            </w:r>
          </w:p>
        </w:tc>
      </w:tr>
      <w:tr>
        <w:trPr>
          <w:trHeight w:val="110"/>
        </w:trPr>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r>
        <w:trPr>
          <w:trHeight w:val="277"/>
        </w:trPr>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Results</w:t>
            </w:r>
          </w:p>
        </w:tc>
        <w:tc>
          <w:tcPr>
            <w:tcW w:w="288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gridSpan w:val="3"/>
          </w:tcPr>
          <w:p>
            <w:pPr>
              <w:ind w:left="360"/>
              <w:spacing w:after="0"/>
              <w:rPr>
                <w:sz w:val="20"/>
                <w:szCs w:val="20"/>
                <w:color w:val="auto"/>
              </w:rPr>
            </w:pPr>
            <w:r>
              <w:rPr>
                <w:rFonts w:ascii="Arial" w:cs="Arial" w:eastAsia="Arial" w:hAnsi="Arial"/>
                <w:sz w:val="18"/>
                <w:szCs w:val="18"/>
                <w:b w:val="1"/>
                <w:bCs w:val="1"/>
                <w:color w:val="auto"/>
              </w:rPr>
              <w:t>US$000(1)</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US$000(1)</w:t>
            </w:r>
          </w:p>
        </w:tc>
      </w:tr>
      <w:tr>
        <w:trPr>
          <w:trHeight w:val="444"/>
        </w:trPr>
        <w:tc>
          <w:tcPr>
            <w:tcW w:w="3440" w:type="dxa"/>
            <w:vAlign w:val="bottom"/>
            <w:gridSpan w:val="5"/>
          </w:tcPr>
          <w:p>
            <w:pPr>
              <w:spacing w:after="0"/>
              <w:rPr>
                <w:sz w:val="20"/>
                <w:szCs w:val="20"/>
                <w:color w:val="auto"/>
              </w:rPr>
            </w:pPr>
            <w:r>
              <w:rPr>
                <w:rFonts w:ascii="Arial" w:cs="Arial" w:eastAsia="Arial" w:hAnsi="Arial"/>
                <w:sz w:val="18"/>
                <w:szCs w:val="18"/>
                <w:color w:val="auto"/>
              </w:rPr>
              <w:t>Total gross Premiums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283,672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248,128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269,584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$77,667</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539,413</w:t>
            </w:r>
          </w:p>
        </w:tc>
        <w:tc>
          <w:tcPr>
            <w:tcW w:w="2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517,712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$149,153</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Premiums Earned</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128,780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146,385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126,609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$36,476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255,694</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272,994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$78,650</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Change in Reserves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80,834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63,538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102,756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$29,604</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133,688</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166,294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$47,910</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Underwriting Results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14,756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21,058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30,311</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31,887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$9,187</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Financial Income</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48,347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31,425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106,360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$30,642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71,257</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137,785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$39,696</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General Expenses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31,738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30,788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29,160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$8,401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58,926</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59,948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$17,271</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Income Tax</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6,628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9,008</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3,147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$907</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24,981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57,522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$16,572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30,472</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65,427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$18,849</w:t>
            </w:r>
          </w:p>
        </w:tc>
      </w:tr>
      <w:tr>
        <w:trPr>
          <w:trHeight w:val="222"/>
        </w:trPr>
        <w:tc>
          <w:tcPr>
            <w:tcW w:w="3440" w:type="dxa"/>
            <w:vAlign w:val="bottom"/>
            <w:gridSpan w:val="5"/>
          </w:tcPr>
          <w:p>
            <w:pPr>
              <w:spacing w:after="0"/>
              <w:rPr>
                <w:sz w:val="20"/>
                <w:szCs w:val="20"/>
                <w:color w:val="auto"/>
              </w:rPr>
            </w:pPr>
            <w:r>
              <w:rPr>
                <w:rFonts w:ascii="Arial" w:cs="Arial" w:eastAsia="Arial" w:hAnsi="Arial"/>
                <w:sz w:val="18"/>
                <w:szCs w:val="18"/>
                <w:color w:val="auto"/>
              </w:rPr>
              <w:t>Net Income per share (S/.)(2)</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$0.78</w:t>
            </w:r>
          </w:p>
        </w:tc>
      </w:tr>
      <w:tr>
        <w:trPr>
          <w:trHeight w:val="394"/>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Balance Sheets (end of period)</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44"/>
        </w:trPr>
        <w:tc>
          <w:tcPr>
            <w:tcW w:w="22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Total Assets</w:t>
            </w:r>
          </w:p>
        </w:tc>
        <w:tc>
          <w:tcPr>
            <w:tcW w:w="116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1,702,558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1,841,931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1,925,723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$554,804</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1,702,558</w:t>
            </w:r>
          </w:p>
        </w:tc>
        <w:tc>
          <w:tcPr>
            <w:tcW w:w="2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1,925,723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$554,804</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Investments in Secur. and Real estate</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1,250,583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1,387,507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1,464,662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$421,971</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1,250,583</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1,464,662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$421,971</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Technical Reserves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1,121,933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1,275,898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1,364,055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$392,986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1,121,933</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1,364,055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$392,986</w:t>
            </w:r>
          </w:p>
        </w:tc>
      </w:tr>
      <w:tr>
        <w:trPr>
          <w:trHeight w:val="222"/>
        </w:trPr>
        <w:tc>
          <w:tcPr>
            <w:tcW w:w="3440" w:type="dxa"/>
            <w:vAlign w:val="bottom"/>
            <w:gridSpan w:val="5"/>
          </w:tcPr>
          <w:p>
            <w:pPr>
              <w:spacing w:after="0"/>
              <w:rPr>
                <w:sz w:val="20"/>
                <w:szCs w:val="20"/>
                <w:color w:val="auto"/>
              </w:rPr>
            </w:pPr>
            <w:r>
              <w:rPr>
                <w:rFonts w:ascii="Arial" w:cs="Arial" w:eastAsia="Arial" w:hAnsi="Arial"/>
                <w:sz w:val="18"/>
                <w:szCs w:val="18"/>
                <w:color w:val="auto"/>
              </w:rPr>
              <w:t>Net Equity</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385,528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336,525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396,546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$114,245</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385,528</w:t>
            </w:r>
          </w:p>
        </w:tc>
        <w:tc>
          <w:tcPr>
            <w:tcW w:w="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396,546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$114,245</w:t>
            </w:r>
          </w:p>
        </w:tc>
      </w:tr>
      <w:tr>
        <w:trPr>
          <w:trHeight w:val="394"/>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Ratios</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44"/>
        </w:trPr>
        <w:tc>
          <w:tcPr>
            <w:tcW w:w="3440" w:type="dxa"/>
            <w:vAlign w:val="bottom"/>
            <w:gridSpan w:val="5"/>
          </w:tcPr>
          <w:p>
            <w:pPr>
              <w:spacing w:after="0"/>
              <w:rPr>
                <w:sz w:val="20"/>
                <w:szCs w:val="20"/>
                <w:color w:val="auto"/>
              </w:rPr>
            </w:pPr>
            <w:r>
              <w:rPr>
                <w:rFonts w:ascii="Arial" w:cs="Arial" w:eastAsia="Arial" w:hAnsi="Arial"/>
                <w:sz w:val="18"/>
                <w:szCs w:val="18"/>
                <w:color w:val="auto"/>
              </w:rPr>
              <w:t>Net underwriting results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Total loss ratio</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47.9%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Return on avge. equity (3)(4)</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35.8%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Return on total premiums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Shareholders' Equity / Total Assets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Increase in Risk Reserves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37.9%</w:t>
            </w:r>
          </w:p>
        </w:tc>
      </w:tr>
      <w:tr>
        <w:trPr>
          <w:trHeight w:val="184"/>
        </w:trPr>
        <w:tc>
          <w:tcPr>
            <w:tcW w:w="1420" w:type="dxa"/>
            <w:vAlign w:val="bottom"/>
            <w:gridSpan w:val="3"/>
          </w:tcPr>
          <w:p>
            <w:pPr>
              <w:spacing w:after="0" w:line="184" w:lineRule="exact"/>
              <w:rPr>
                <w:sz w:val="20"/>
                <w:szCs w:val="20"/>
                <w:color w:val="auto"/>
              </w:rPr>
            </w:pPr>
            <w:r>
              <w:rPr>
                <w:rFonts w:ascii="Arial" w:cs="Arial" w:eastAsia="Arial" w:hAnsi="Arial"/>
                <w:sz w:val="18"/>
                <w:szCs w:val="18"/>
                <w:color w:val="auto"/>
                <w:w w:val="89"/>
              </w:rPr>
              <w:t>Combined Ratio (5)</w:t>
            </w:r>
          </w:p>
        </w:tc>
        <w:tc>
          <w:tcPr>
            <w:tcW w:w="2020" w:type="dxa"/>
            <w:vAlign w:val="bottom"/>
            <w:gridSpan w:val="2"/>
          </w:tcPr>
          <w:p>
            <w:pPr>
              <w:spacing w:after="0"/>
              <w:rPr>
                <w:sz w:val="15"/>
                <w:szCs w:val="15"/>
                <w:color w:val="auto"/>
              </w:rPr>
            </w:pPr>
          </w:p>
        </w:tc>
        <w:tc>
          <w:tcPr>
            <w:tcW w:w="116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5%</w:t>
            </w:r>
          </w:p>
        </w:tc>
        <w:tc>
          <w:tcPr>
            <w:tcW w:w="11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92.</w:t>
            </w:r>
            <w:r>
              <w:rPr>
                <w:rFonts w:ascii="Arial" w:cs="Arial" w:eastAsia="Arial" w:hAnsi="Arial"/>
                <w:sz w:val="18"/>
                <w:szCs w:val="18"/>
                <w:u w:val="single" w:color="auto"/>
                <w:color w:val="auto"/>
              </w:rPr>
              <w:t>6%</w:t>
            </w:r>
          </w:p>
        </w:tc>
        <w:tc>
          <w:tcPr>
            <w:tcW w:w="11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102.</w:t>
            </w:r>
            <w:r>
              <w:rPr>
                <w:rFonts w:ascii="Arial" w:cs="Arial" w:eastAsia="Arial" w:hAnsi="Arial"/>
                <w:sz w:val="18"/>
                <w:szCs w:val="18"/>
                <w:u w:val="single" w:color="auto"/>
                <w:color w:val="auto"/>
              </w:rPr>
              <w:t>4%</w:t>
            </w:r>
          </w:p>
        </w:tc>
        <w:tc>
          <w:tcPr>
            <w:tcW w:w="11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102.</w:t>
            </w:r>
            <w:r>
              <w:rPr>
                <w:rFonts w:ascii="Arial" w:cs="Arial" w:eastAsia="Arial" w:hAnsi="Arial"/>
                <w:sz w:val="18"/>
                <w:szCs w:val="18"/>
                <w:u w:val="single" w:color="auto"/>
                <w:color w:val="auto"/>
              </w:rPr>
              <w:t>4%</w:t>
            </w:r>
          </w:p>
        </w:tc>
        <w:tc>
          <w:tcPr>
            <w:tcW w:w="120" w:type="dxa"/>
            <w:vAlign w:val="bottom"/>
          </w:tcPr>
          <w:p>
            <w:pPr>
              <w:spacing w:after="0"/>
              <w:rPr>
                <w:sz w:val="15"/>
                <w:szCs w:val="15"/>
                <w:color w:val="auto"/>
              </w:rPr>
            </w:pPr>
          </w:p>
        </w:tc>
        <w:tc>
          <w:tcPr>
            <w:tcW w:w="102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96.</w:t>
            </w:r>
            <w:r>
              <w:rPr>
                <w:rFonts w:ascii="Arial" w:cs="Arial" w:eastAsia="Arial" w:hAnsi="Arial"/>
                <w:sz w:val="18"/>
                <w:szCs w:val="18"/>
                <w:u w:val="single" w:color="auto"/>
                <w:color w:val="auto"/>
              </w:rPr>
              <w:t>1%</w:t>
            </w:r>
          </w:p>
        </w:tc>
        <w:tc>
          <w:tcPr>
            <w:tcW w:w="20" w:type="dxa"/>
            <w:vAlign w:val="bottom"/>
          </w:tcPr>
          <w:p>
            <w:pPr>
              <w:spacing w:after="0"/>
              <w:rPr>
                <w:sz w:val="15"/>
                <w:szCs w:val="15"/>
                <w:color w:val="auto"/>
              </w:rPr>
            </w:pPr>
          </w:p>
        </w:tc>
        <w:tc>
          <w:tcPr>
            <w:tcW w:w="1240" w:type="dxa"/>
            <w:vAlign w:val="bottom"/>
            <w:gridSpan w:val="3"/>
          </w:tcPr>
          <w:p>
            <w:pPr>
              <w:jc w:val="right"/>
              <w:ind w:right="140"/>
              <w:spacing w:after="0" w:line="184" w:lineRule="exact"/>
              <w:rPr>
                <w:sz w:val="20"/>
                <w:szCs w:val="20"/>
                <w:color w:val="auto"/>
              </w:rPr>
            </w:pPr>
            <w:r>
              <w:rPr>
                <w:rFonts w:ascii="Arial" w:cs="Arial" w:eastAsia="Arial" w:hAnsi="Arial"/>
                <w:sz w:val="18"/>
                <w:szCs w:val="18"/>
                <w:color w:val="auto"/>
              </w:rPr>
              <w:t>97.</w:t>
            </w:r>
            <w:r>
              <w:rPr>
                <w:rFonts w:ascii="Arial" w:cs="Arial" w:eastAsia="Arial" w:hAnsi="Arial"/>
                <w:sz w:val="18"/>
                <w:szCs w:val="18"/>
                <w:u w:val="single" w:color="auto"/>
                <w:color w:val="auto"/>
              </w:rPr>
              <w:t>3%</w:t>
            </w:r>
          </w:p>
        </w:tc>
        <w:tc>
          <w:tcPr>
            <w:tcW w:w="100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97.</w:t>
            </w:r>
            <w:r>
              <w:rPr>
                <w:rFonts w:ascii="Arial" w:cs="Arial" w:eastAsia="Arial" w:hAnsi="Arial"/>
                <w:sz w:val="18"/>
                <w:szCs w:val="18"/>
                <w:u w:val="single" w:color="auto"/>
                <w:color w:val="auto"/>
              </w:rPr>
              <w:t>3%</w:t>
            </w:r>
          </w:p>
        </w:tc>
      </w:tr>
      <w:tr>
        <w:trPr>
          <w:trHeight w:val="20"/>
        </w:trPr>
        <w:tc>
          <w:tcPr>
            <w:tcW w:w="1420" w:type="dxa"/>
            <w:vAlign w:val="bottom"/>
            <w:gridSpan w:val="3"/>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28"/>
        </w:trPr>
        <w:tc>
          <w:tcPr>
            <w:tcW w:w="3440" w:type="dxa"/>
            <w:vAlign w:val="bottom"/>
            <w:gridSpan w:val="5"/>
          </w:tcPr>
          <w:p>
            <w:pPr>
              <w:spacing w:after="0"/>
              <w:rPr>
                <w:sz w:val="20"/>
                <w:szCs w:val="20"/>
                <w:color w:val="auto"/>
              </w:rPr>
            </w:pPr>
            <w:r>
              <w:rPr>
                <w:rFonts w:ascii="Arial" w:cs="Arial" w:eastAsia="Arial" w:hAnsi="Arial"/>
                <w:sz w:val="18"/>
                <w:szCs w:val="18"/>
                <w:color w:val="auto"/>
              </w:rPr>
              <w:t>-Net Claims / Net Premiums Earned</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68.7%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66.6%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-Op. Exp.+Comiss./Net Prems. Earned</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30.7%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30.7%</w:t>
            </w:r>
          </w:p>
        </w:tc>
      </w:tr>
      <w:tr>
        <w:trPr>
          <w:trHeight w:val="216"/>
        </w:trPr>
        <w:tc>
          <w:tcPr>
            <w:tcW w:w="3440" w:type="dxa"/>
            <w:vAlign w:val="bottom"/>
            <w:gridSpan w:val="5"/>
          </w:tcPr>
          <w:p>
            <w:pPr>
              <w:spacing w:after="0"/>
              <w:rPr>
                <w:sz w:val="20"/>
                <w:szCs w:val="20"/>
                <w:color w:val="auto"/>
              </w:rPr>
            </w:pPr>
            <w:r>
              <w:rPr>
                <w:rFonts w:ascii="Arial" w:cs="Arial" w:eastAsia="Arial" w:hAnsi="Arial"/>
                <w:sz w:val="18"/>
                <w:szCs w:val="18"/>
                <w:color w:val="auto"/>
              </w:rPr>
              <w:t>Operating expense/Net Earn. Premiums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22"/>
        </w:trPr>
        <w:tc>
          <w:tcPr>
            <w:tcW w:w="3440" w:type="dxa"/>
            <w:vAlign w:val="bottom"/>
            <w:gridSpan w:val="5"/>
          </w:tcPr>
          <w:p>
            <w:pPr>
              <w:spacing w:after="0"/>
              <w:rPr>
                <w:sz w:val="20"/>
                <w:szCs w:val="20"/>
                <w:color w:val="auto"/>
              </w:rPr>
            </w:pPr>
            <w:r>
              <w:rPr>
                <w:rFonts w:ascii="Arial" w:cs="Arial" w:eastAsia="Arial" w:hAnsi="Arial"/>
                <w:sz w:val="18"/>
                <w:szCs w:val="18"/>
                <w:color w:val="auto"/>
              </w:rPr>
              <w:t>Oper. expense / Avge. assets (3)(4)</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-4761865</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-4761865</wp:posOffset>
            </wp:positionV>
            <wp:extent cx="3429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-4478655</wp:posOffset>
            </wp:positionV>
            <wp:extent cx="3429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(1)Translated at S/.3.471 per US$1.00.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(2)Based on 24.2 million shares in all periods.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(3)Averages are determined as the average of period-beginning and period-ending balances.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(4)Annualized.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(5)Does not include the life insurance subsidiary Pacifico Vida.</w:t>
      </w:r>
    </w:p>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August 13,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2019-12-14T06:43:36Z</dcterms:created>
  <dcterms:modified xsi:type="dcterms:W3CDTF">2019-12-14T06:43:36Z</dcterms:modified>
</cp:coreProperties>
</file>