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15468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154680" cy="47180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hereby notify you as a Material Event that Credicorp Ltd. (“Credicorp”) was informed that, on December 7, 2021, the Peruvian Superintendency of the Securities Market (SMV) was notified of the resolution issued by the Provisional Superior Chamber Specialized in Administrative Litigation of the Superior Court of Justice of Lima (the “Court”), pursuant to which the Court has admitted for consideration Credicorp’s contentious-administrative claim challenging the SMV’s resolution (by negative administrative silence), with reference to the appeal filed by Credicorp against the first administrative instance Resolution issued by the Deputy Superintendency (N° 012-2021-SMV/11 of March 5, 2021) (the “Resolution”).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Resolution, the SMV resolved to sanction Credicorp (i) with a fine of 300 Unidades Impositivas Tributarias (UITs) (approximately US $ 270,000) for, allegedly, having infringed (categorized as “very serious”) (</w:t>
      </w:r>
      <w:r>
        <w:rPr>
          <w:rFonts w:ascii="Arial" w:cs="Arial" w:eastAsia="Arial" w:hAnsi="Arial"/>
          <w:sz w:val="18"/>
          <w:szCs w:val="18"/>
          <w:i w:val="1"/>
          <w:iCs w:val="1"/>
          <w:color w:val="auto"/>
        </w:rPr>
        <w:t>muy grave</w:t>
      </w:r>
      <w:r>
        <w:rPr>
          <w:rFonts w:ascii="Arial" w:cs="Arial" w:eastAsia="Arial" w:hAnsi="Arial"/>
          <w:sz w:val="18"/>
          <w:szCs w:val="18"/>
          <w:color w:val="auto"/>
        </w:rPr>
        <w:t>) subsection 1.6, numeral 1 of Annex 1 of the Sanctions Regulation, approved by CONASEV Resolution N° 055-2001-EF / 94.10, effective as from 2011; and (ii) with a fine of 210 Unidades Impositivas Tributarias (UITs) (approximately US $ 207,375) for, allegedly, having violated (categorized as “very serious”) (</w:t>
      </w:r>
      <w:r>
        <w:rPr>
          <w:rFonts w:ascii="Arial" w:cs="Arial" w:eastAsia="Arial" w:hAnsi="Arial"/>
          <w:sz w:val="18"/>
          <w:szCs w:val="18"/>
          <w:i w:val="1"/>
          <w:iCs w:val="1"/>
          <w:color w:val="auto"/>
        </w:rPr>
        <w:t>muy grave</w:t>
      </w:r>
      <w:r>
        <w:rPr>
          <w:rFonts w:ascii="Arial" w:cs="Arial" w:eastAsia="Arial" w:hAnsi="Arial"/>
          <w:sz w:val="18"/>
          <w:szCs w:val="18"/>
          <w:color w:val="auto"/>
        </w:rPr>
        <w:t>) subsection 1.5, numeral 1 of Annex 1 of the Sanctions Regulation, approved by CONASEV Resolution N° 055-2001-EF / 94.10 and modified by Resolution N° 006-2012-SMV / 01, effective as from 2016.</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Credicorp was neither in agreement with the categorization of the facts nor with the sanctions imposed, Credicorp filed an appeal challenging the Resolution. Subsequently, after the expiration of the term to resolve in the appeal (second administrative instance), Credicorp asserted its right to negative administrative silence and to resort to the Judiciary. Notwithstanding, Credicorp will proceed to pay the fines imposed by the SMV, in compliance with Peruvian law.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since the negative administrative silence was applied and Credicorp’s contentious-administrative claim filed was admitted for consideration by the Court, in accordance with articles 191.1 and 197.4 of the Law of General Administrative Procedure approved by Supreme Decree 006-2017-JUS, the administrative procedure has now terminated and the matter is now subject to the decision of the Judiciary. Consequently, we comply with reporting this fact as a material event.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Credicorp Ltd. furnishes this Form 6-K in the light of its filing, on December 7, 2021, with the SMV of a Material Event report with respect to Credicorp’s successful application to the Peruvian judiciary (specifically, to the Provisional Superior Chamber Specialized in Administrative Litigation of the Superior Court of Justice of Lima) for a hearing with respect to an administrative sanction imposed by the SMV. Notwithstanding that Credicorp neither agrees with the SMV’s categorization of the facts nor with the sanctions imposed, Credicorp in accordance with Peruvian law is going to pay the fines imposed by the SMV (totaling the equivalent of US$477,375.00) pending the decision of the Peruvian judiciary.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8,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2021-12-08T15:08:49Z</dcterms:created>
  <dcterms:modified xsi:type="dcterms:W3CDTF">2021-12-08T15:08:49Z</dcterms:modified>
</cp:coreProperties>
</file>