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February,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jc w:val="center"/>
        <w:ind w:right="5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1830070</wp:posOffset>
            </wp:positionH>
            <wp:positionV relativeFrom="page">
              <wp:posOffset>88900</wp:posOffset>
            </wp:positionV>
            <wp:extent cx="557403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574030" cy="548640"/>
                    </a:xfrm>
                    <a:prstGeom prst="rect">
                      <a:avLst/>
                    </a:prstGeom>
                    <a:noFill/>
                  </pic:spPr>
                </pic:pic>
              </a:graphicData>
            </a:graphic>
          </wp:anchor>
        </w:drawing>
        <w:t>Credicorp Ltd. and Subsidiaries</w:t>
      </w:r>
    </w:p>
    <w:p>
      <w:pPr>
        <w:spacing w:after="0" w:line="4"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Management Report</w:t>
      </w:r>
    </w:p>
    <w:p>
      <w:pPr>
        <w:jc w:val="center"/>
        <w:ind w:right="540"/>
        <w:spacing w:after="0"/>
        <w:rPr>
          <w:sz w:val="20"/>
          <w:szCs w:val="20"/>
          <w:color w:val="auto"/>
        </w:rPr>
      </w:pPr>
      <w:r>
        <w:rPr>
          <w:rFonts w:ascii="Arial" w:cs="Arial" w:eastAsia="Arial" w:hAnsi="Arial"/>
          <w:sz w:val="22"/>
          <w:szCs w:val="22"/>
          <w:b w:val="1"/>
          <w:bCs w:val="1"/>
          <w:color w:val="auto"/>
        </w:rPr>
        <w:t>Fourth Quarter and Twelve Months of 2005</w:t>
      </w:r>
    </w:p>
    <w:p>
      <w:pPr>
        <w:spacing w:after="0" w:line="200" w:lineRule="exact"/>
        <w:rPr>
          <w:sz w:val="20"/>
          <w:szCs w:val="20"/>
          <w:color w:val="auto"/>
        </w:rPr>
      </w:pPr>
    </w:p>
    <w:p>
      <w:pPr>
        <w:spacing w:after="0" w:line="252"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HIGHLIGHTS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Credicorp reported 4Q05 net income of US$44.3 million, consolidating the trends seen in 2005 and confirming the significant improvement of the company’s earnings generation capacity. Thus, Credicorp concluded 2005 by reporting net income of US$182 million, a 39% increase compared to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-412115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spacing w:after="0" w:line="230" w:lineRule="auto"/>
        <w:rPr>
          <w:sz w:val="20"/>
          <w:szCs w:val="20"/>
          <w:color w:val="auto"/>
        </w:rPr>
      </w:pPr>
      <w:r>
        <w:rPr>
          <w:rFonts w:ascii="Arial" w:cs="Arial" w:eastAsia="Arial" w:hAnsi="Arial"/>
          <w:sz w:val="22"/>
          <w:szCs w:val="22"/>
          <w:color w:val="auto"/>
        </w:rPr>
        <w:t>Loan growth in the corporate and middle market sectors picked-up in 4Q05, while loan growth in the retail and SME segment remained strong. This led to total loan growth for the year of 11.1%, a significant rate given the evolution of the financial system and continued dis-intermediation of the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spacing w:after="0" w:line="230" w:lineRule="auto"/>
        <w:rPr>
          <w:sz w:val="20"/>
          <w:szCs w:val="20"/>
          <w:color w:val="auto"/>
        </w:rPr>
      </w:pPr>
      <w:r>
        <w:rPr>
          <w:rFonts w:ascii="Arial" w:cs="Arial" w:eastAsia="Arial" w:hAnsi="Arial"/>
          <w:sz w:val="22"/>
          <w:szCs w:val="22"/>
          <w:color w:val="auto"/>
        </w:rPr>
        <w:t>The focus in the transactional fee generating business and in the retail and SME segments contributed to the significant income growth, with interest income increasing 15%, and fees for banking services increasing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Despite the expansion of Credicorp’s businesses, a strict cost-control program led to expense reductions of 3.4%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-88265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In the 4Q05, the contribution of the insurance business to Credicorp’s net income decreased by 50%. This business is currently undergoing a re-structuring, in order to recover competitiveness and profitability, which was weakened due to a competitive environment and increased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-411480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20"/>
        <w:spacing w:after="0" w:line="241" w:lineRule="auto"/>
        <w:rPr>
          <w:sz w:val="20"/>
          <w:szCs w:val="20"/>
          <w:color w:val="auto"/>
        </w:rPr>
      </w:pPr>
      <w:r>
        <w:rPr>
          <w:rFonts w:ascii="Arial" w:cs="Arial" w:eastAsia="Arial" w:hAnsi="Arial"/>
          <w:sz w:val="21"/>
          <w:szCs w:val="21"/>
          <w:color w:val="auto"/>
        </w:rPr>
        <w:t>The significant improvement in Credicorp’s results is led by its banking operations, mainly BCP which accounts for 90% of earnings contribution. Credicorp’s Bolivian operation also improves significantly its contribution, doubling in 2005 its net earnings compared to last year, and ASHC continues its conservative but consistent business expansion. Credicorp’s new pension fund company AFP-Prima, reports a very good start, exceeding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-565785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-102870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right="20"/>
        <w:spacing w:after="0" w:line="230" w:lineRule="auto"/>
        <w:rPr>
          <w:sz w:val="20"/>
          <w:szCs w:val="20"/>
          <w:color w:val="auto"/>
        </w:rPr>
      </w:pPr>
      <w:r>
        <w:rPr>
          <w:rFonts w:ascii="Arial" w:cs="Arial" w:eastAsia="Arial" w:hAnsi="Arial"/>
          <w:sz w:val="22"/>
          <w:szCs w:val="22"/>
          <w:color w:val="auto"/>
        </w:rPr>
        <w:t>The solid results of Credicorp’s banking business compensated for the decrease in earnings from the insurance business, and helped to absorb the start-up expenses from the new pension fund business - AFP Prima.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-257810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2"/>
          <w:szCs w:val="22"/>
          <w:color w:val="auto"/>
        </w:rPr>
        <w:t>Credicorp’s capital adequacy ratios are above the minimum levels required by local and international regulators, and position the Company for potential expansion of its business, thus consolidating the company’s leadership position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-419735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19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I. CREDICORP LTD.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 NET INCOME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Credicorp’s 4Q05 operating results are evidence of the dynamic expansion of Credicorp’s businesses, reaching an unprecedented net profit in 2005. For the twelve months ended December 31, 2005, Credicorp achieved a consolidated net profit of US$ 181.9 million attributable to the parent company; this was 39% greater than the net profit of US$ 130.7 million that was obtained during the same period of 2004, or earnings per share of US$ 2.28 versus US$ 1.64, respectively. For the 4Q05, the profit attributable to Credicorp was US$ 44.3 million, or US$ 0.56 per share, 27% higher than the US$ 34.9 million during the 4Q04, thus demonstrating continuity in its increased capacity for generating earnings for 2005.</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These results are explained by a major expansion of Credicorp’s banking business. The strategy applied during 2005, which focused on expanding those businesses that offered higher growth and better margins in retail banking (which grew 27% during the year), as well as the expansion of transactional business, taking advantage of BCP’s solid customer base (with fees for banking services rising 11% in the year) proved fruitful, leading to the growth of both financial and non-financial income.</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focus positioned Credicorp to also benefit from the expansion and steady growth of the Peruvian economy, which in addition to allowing income growth, contributed to improving portfolio quality. This led to lower levels of portfolio provisions, as well as the recovery of write-offs from prior periods, resulting in an unusually negative position for net provisions for 2005, and thus contributing even more to the increase in net income.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insurance activities, however, 4Q05 income was 36% lower than that generated in 3Q05; bringing the accumulated income for 2005 to 19% below results for the previous year. This is a result of the challenges that were previously identified in three areas of Credicorp’s insurance business (strong overall competition, higher claims on marine hull risks, lower results in the health area, etc).</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While the new PRIMA operation (Credicorp’s pension fund administrator) has generated high expectations due to the good results achieved to date (PRIMA’s current portfolio has reached nearly US$ 250 million with almost 60,000 members), it continues to have a negative contribution to Credicorp’s results, in accordance with projections.</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Despite this, the superior income levels achieved this year managed to offset the income decline in the insurance business, while also absorbing the start-up losses for the new PRIMA operation.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Also contributing to this improvement was the Company’s ability to successfully apply cost-control policies. This has allowed Credicorp to obtain income growth with a reduction in overall expenses, which more that compensates for the increase in personnel expenses. The net result was a year-to-year reduction of total expenses of 3.4% .</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 a result, Credicorp has been able to achieve strong growth while maintaining a solid balance sheet, an extremely sound portfolio and a sufficiently high capital position that positions the Company for future expansion.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0"/>
              </w:rPr>
              <w:t>Three months ended</w:t>
            </w:r>
          </w:p>
        </w:tc>
        <w:tc>
          <w:tcPr>
            <w:tcW w:w="10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80" w:type="dxa"/>
            <w:vAlign w:val="bottom"/>
            <w:tcBorders>
              <w:top w:val="single" w:sz="8" w:color="auto"/>
              <w:bottom w:val="single" w:sz="8" w:color="auto"/>
            </w:tcBorders>
            <w:gridSpan w:val="2"/>
          </w:tcPr>
          <w:p>
            <w:pPr>
              <w:jc w:val="right"/>
              <w:ind w:right="506"/>
              <w:spacing w:after="0"/>
              <w:rPr>
                <w:sz w:val="20"/>
                <w:szCs w:val="20"/>
                <w:color w:val="auto"/>
              </w:rPr>
            </w:pPr>
            <w:r>
              <w:rPr>
                <w:rFonts w:ascii="Arial" w:cs="Arial" w:eastAsia="Arial" w:hAnsi="Arial"/>
                <w:sz w:val="15"/>
                <w:szCs w:val="15"/>
                <w:b w:val="1"/>
                <w:bCs w:val="1"/>
                <w:color w:val="auto"/>
              </w:rPr>
              <w:t>Twelve months ended</w:t>
            </w:r>
          </w:p>
        </w:tc>
      </w:tr>
      <w:tr>
        <w:trPr>
          <w:trHeight w:val="169"/>
        </w:trPr>
        <w:tc>
          <w:tcPr>
            <w:tcW w:w="48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i w:val="1"/>
                <w:iCs w:val="1"/>
                <w:color w:val="auto"/>
              </w:rPr>
              <w:t>(In U.S.$ millions)</w:t>
            </w:r>
          </w:p>
        </w:tc>
        <w:tc>
          <w:tcPr>
            <w:tcW w:w="1220" w:type="dxa"/>
            <w:vAlign w:val="bottom"/>
            <w:tcBorders>
              <w:bottom w:val="single" w:sz="8" w:color="auto"/>
            </w:tcBorders>
          </w:tcPr>
          <w:p>
            <w:pPr>
              <w:jc w:val="right"/>
              <w:ind w:right="326"/>
              <w:spacing w:after="0" w:line="169" w:lineRule="exact"/>
              <w:rPr>
                <w:sz w:val="20"/>
                <w:szCs w:val="20"/>
                <w:color w:val="auto"/>
              </w:rPr>
            </w:pPr>
            <w:r>
              <w:rPr>
                <w:rFonts w:ascii="Arial" w:cs="Arial" w:eastAsia="Arial" w:hAnsi="Arial"/>
                <w:sz w:val="15"/>
                <w:szCs w:val="15"/>
                <w:b w:val="1"/>
                <w:bCs w:val="1"/>
                <w:color w:val="auto"/>
              </w:rPr>
              <w:t>31.12.04</w:t>
            </w:r>
          </w:p>
        </w:tc>
        <w:tc>
          <w:tcPr>
            <w:tcW w:w="1600" w:type="dxa"/>
            <w:vAlign w:val="bottom"/>
            <w:tcBorders>
              <w:bottom w:val="single" w:sz="8" w:color="auto"/>
            </w:tcBorders>
          </w:tcPr>
          <w:p>
            <w:pPr>
              <w:jc w:val="right"/>
              <w:ind w:right="566"/>
              <w:spacing w:after="0" w:line="169" w:lineRule="exact"/>
              <w:rPr>
                <w:sz w:val="20"/>
                <w:szCs w:val="20"/>
                <w:color w:val="auto"/>
              </w:rPr>
            </w:pPr>
            <w:r>
              <w:rPr>
                <w:rFonts w:ascii="Arial" w:cs="Arial" w:eastAsia="Arial" w:hAnsi="Arial"/>
                <w:sz w:val="15"/>
                <w:szCs w:val="15"/>
                <w:b w:val="1"/>
                <w:bCs w:val="1"/>
                <w:color w:val="auto"/>
              </w:rPr>
              <w:t>30.09.05</w:t>
            </w:r>
          </w:p>
        </w:tc>
        <w:tc>
          <w:tcPr>
            <w:tcW w:w="108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31.12.05</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06"/>
              <w:spacing w:after="0" w:line="169" w:lineRule="exact"/>
              <w:rPr>
                <w:sz w:val="20"/>
                <w:szCs w:val="20"/>
                <w:color w:val="auto"/>
              </w:rPr>
            </w:pPr>
            <w:r>
              <w:rPr>
                <w:rFonts w:ascii="Arial" w:cs="Arial" w:eastAsia="Arial" w:hAnsi="Arial"/>
                <w:sz w:val="15"/>
                <w:szCs w:val="15"/>
                <w:b w:val="1"/>
                <w:bCs w:val="1"/>
                <w:color w:val="auto"/>
              </w:rPr>
              <w:t>31.12.04</w:t>
            </w:r>
          </w:p>
        </w:tc>
        <w:tc>
          <w:tcPr>
            <w:tcW w:w="110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31.12.05</w:t>
            </w: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Net interest income</w:t>
            </w:r>
          </w:p>
        </w:tc>
        <w:tc>
          <w:tcPr>
            <w:tcW w:w="1220" w:type="dxa"/>
            <w:vAlign w:val="bottom"/>
          </w:tcPr>
          <w:p>
            <w:pPr>
              <w:jc w:val="right"/>
              <w:ind w:right="46"/>
              <w:spacing w:after="0" w:line="160" w:lineRule="exact"/>
              <w:rPr>
                <w:sz w:val="20"/>
                <w:szCs w:val="20"/>
                <w:color w:val="auto"/>
              </w:rPr>
            </w:pPr>
            <w:r>
              <w:rPr>
                <w:rFonts w:ascii="Arial" w:cs="Arial" w:eastAsia="Arial" w:hAnsi="Arial"/>
                <w:sz w:val="15"/>
                <w:szCs w:val="15"/>
                <w:color w:val="auto"/>
              </w:rPr>
              <w:t>106.1</w:t>
            </w:r>
          </w:p>
        </w:tc>
        <w:tc>
          <w:tcPr>
            <w:tcW w:w="160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113.7</w:t>
            </w: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117.4</w:t>
            </w:r>
          </w:p>
        </w:tc>
        <w:tc>
          <w:tcPr>
            <w:tcW w:w="220" w:type="dxa"/>
            <w:vAlign w:val="bottom"/>
          </w:tcPr>
          <w:p>
            <w:pPr>
              <w:spacing w:after="0"/>
              <w:rPr>
                <w:sz w:val="13"/>
                <w:szCs w:val="13"/>
                <w:color w:val="auto"/>
              </w:rPr>
            </w:pPr>
          </w:p>
        </w:tc>
        <w:tc>
          <w:tcPr>
            <w:tcW w:w="138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382.5</w:t>
            </w:r>
          </w:p>
        </w:tc>
        <w:tc>
          <w:tcPr>
            <w:tcW w:w="1100" w:type="dxa"/>
            <w:vAlign w:val="bottom"/>
          </w:tcPr>
          <w:p>
            <w:pPr>
              <w:jc w:val="right"/>
              <w:spacing w:after="0" w:line="160" w:lineRule="exact"/>
              <w:rPr>
                <w:sz w:val="20"/>
                <w:szCs w:val="20"/>
                <w:color w:val="auto"/>
              </w:rPr>
            </w:pPr>
            <w:r>
              <w:rPr>
                <w:rFonts w:ascii="Arial" w:cs="Arial" w:eastAsia="Arial" w:hAnsi="Arial"/>
                <w:sz w:val="15"/>
                <w:szCs w:val="15"/>
                <w:color w:val="auto"/>
              </w:rPr>
              <w:t>439.3</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Provisions for possible loan losses, net (1)</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5.3</w:t>
            </w:r>
          </w:p>
        </w:tc>
        <w:tc>
          <w:tcPr>
            <w:tcW w:w="160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(4.9)</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3.7</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16.1</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income (1)</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71.0</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72.6</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70.0</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251.4</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267.8</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Claims on insurance activities</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15.8</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13.6</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8.7</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53.6</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43.5</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expenses</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139.5</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128.2</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113.7</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480.4</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467.8</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Merger costs</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0.0</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0.0</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3.7</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Translation result</w:t>
            </w:r>
          </w:p>
        </w:tc>
        <w:tc>
          <w:tcPr>
            <w:tcW w:w="1220" w:type="dxa"/>
            <w:vAlign w:val="bottom"/>
          </w:tcPr>
          <w:p>
            <w:pPr>
              <w:jc w:val="right"/>
              <w:ind w:right="46"/>
              <w:spacing w:after="0" w:line="158" w:lineRule="exact"/>
              <w:rPr>
                <w:sz w:val="20"/>
                <w:szCs w:val="20"/>
                <w:color w:val="auto"/>
              </w:rPr>
            </w:pPr>
            <w:r>
              <w:rPr>
                <w:rFonts w:ascii="Arial" w:cs="Arial" w:eastAsia="Arial" w:hAnsi="Arial"/>
                <w:sz w:val="15"/>
                <w:szCs w:val="15"/>
                <w:color w:val="auto"/>
              </w:rPr>
              <w:t>2.5</w:t>
            </w:r>
          </w:p>
        </w:tc>
        <w:tc>
          <w:tcPr>
            <w:tcW w:w="1600" w:type="dxa"/>
            <w:vAlign w:val="bottom"/>
          </w:tcPr>
          <w:p>
            <w:pPr>
              <w:jc w:val="right"/>
              <w:ind w:right="226"/>
              <w:spacing w:after="0" w:line="158" w:lineRule="exact"/>
              <w:rPr>
                <w:sz w:val="20"/>
                <w:szCs w:val="20"/>
                <w:color w:val="auto"/>
              </w:rPr>
            </w:pPr>
            <w:r>
              <w:rPr>
                <w:rFonts w:ascii="Arial" w:cs="Arial" w:eastAsia="Arial" w:hAnsi="Arial"/>
                <w:sz w:val="15"/>
                <w:szCs w:val="15"/>
                <w:color w:val="auto"/>
              </w:rPr>
              <w:t>(5.7)</w:t>
            </w:r>
          </w:p>
        </w:tc>
        <w:tc>
          <w:tcPr>
            <w:tcW w:w="130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(5.9)</w:t>
            </w:r>
          </w:p>
        </w:tc>
        <w:tc>
          <w:tcPr>
            <w:tcW w:w="138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6.3</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(9.6)</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Income before profit sharing</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820" w:type="dxa"/>
            <w:vAlign w:val="bottom"/>
          </w:tcPr>
          <w:p>
            <w:pPr>
              <w:spacing w:after="0" w:line="167" w:lineRule="exact"/>
              <w:rPr>
                <w:sz w:val="20"/>
                <w:szCs w:val="20"/>
                <w:color w:val="auto"/>
              </w:rPr>
            </w:pPr>
            <w:r>
              <w:rPr>
                <w:rFonts w:ascii="Arial" w:cs="Arial" w:eastAsia="Arial" w:hAnsi="Arial"/>
                <w:sz w:val="15"/>
                <w:szCs w:val="15"/>
                <w:b w:val="1"/>
                <w:bCs w:val="1"/>
                <w:color w:val="auto"/>
              </w:rPr>
              <w:t>and income tax</w:t>
            </w:r>
          </w:p>
        </w:tc>
        <w:tc>
          <w:tcPr>
            <w:tcW w:w="122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rPr>
              <w:t>50.6</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70.9</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72.8</w:t>
            </w:r>
          </w:p>
        </w:tc>
        <w:tc>
          <w:tcPr>
            <w:tcW w:w="220" w:type="dxa"/>
            <w:vAlign w:val="bottom"/>
          </w:tcPr>
          <w:p>
            <w:pPr>
              <w:spacing w:after="0"/>
              <w:rPr>
                <w:sz w:val="14"/>
                <w:szCs w:val="14"/>
                <w:color w:val="auto"/>
              </w:rPr>
            </w:pPr>
          </w:p>
        </w:tc>
        <w:tc>
          <w:tcPr>
            <w:tcW w:w="138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193.7</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279.5</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Employee profit sharing (2)</w:t>
            </w:r>
          </w:p>
        </w:tc>
        <w:tc>
          <w:tcPr>
            <w:tcW w:w="1220" w:type="dxa"/>
            <w:vAlign w:val="bottom"/>
          </w:tcPr>
          <w:p>
            <w:pPr>
              <w:jc w:val="right"/>
              <w:ind w:right="6"/>
              <w:spacing w:after="0" w:line="162" w:lineRule="exact"/>
              <w:rPr>
                <w:sz w:val="20"/>
                <w:szCs w:val="20"/>
                <w:color w:val="auto"/>
              </w:rPr>
            </w:pPr>
            <w:r>
              <w:rPr>
                <w:rFonts w:ascii="Arial" w:cs="Arial" w:eastAsia="Arial" w:hAnsi="Arial"/>
                <w:sz w:val="15"/>
                <w:szCs w:val="15"/>
                <w:color w:val="auto"/>
              </w:rPr>
              <w:t>(2.2)</w:t>
            </w:r>
          </w:p>
        </w:tc>
        <w:tc>
          <w:tcPr>
            <w:tcW w:w="160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(3.6)</w:t>
            </w:r>
          </w:p>
        </w:tc>
        <w:tc>
          <w:tcPr>
            <w:tcW w:w="13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(3.0)</w:t>
            </w:r>
          </w:p>
        </w:tc>
        <w:tc>
          <w:tcPr>
            <w:tcW w:w="13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(6.6)</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(11.1)</w:t>
            </w: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Income Tax</w:t>
            </w:r>
          </w:p>
        </w:tc>
        <w:tc>
          <w:tcPr>
            <w:tcW w:w="1220" w:type="dxa"/>
            <w:vAlign w:val="bottom"/>
          </w:tcPr>
          <w:p>
            <w:pPr>
              <w:jc w:val="right"/>
              <w:ind w:right="6"/>
              <w:spacing w:after="0" w:line="158" w:lineRule="exact"/>
              <w:rPr>
                <w:sz w:val="20"/>
                <w:szCs w:val="20"/>
                <w:color w:val="auto"/>
              </w:rPr>
            </w:pPr>
            <w:r>
              <w:rPr>
                <w:rFonts w:ascii="Arial" w:cs="Arial" w:eastAsia="Arial" w:hAnsi="Arial"/>
                <w:sz w:val="15"/>
                <w:szCs w:val="15"/>
                <w:color w:val="auto"/>
              </w:rPr>
              <w:t>(10.4)</w:t>
            </w:r>
          </w:p>
        </w:tc>
        <w:tc>
          <w:tcPr>
            <w:tcW w:w="1600" w:type="dxa"/>
            <w:vAlign w:val="bottom"/>
          </w:tcPr>
          <w:p>
            <w:pPr>
              <w:jc w:val="right"/>
              <w:ind w:right="226"/>
              <w:spacing w:after="0" w:line="158" w:lineRule="exact"/>
              <w:rPr>
                <w:sz w:val="20"/>
                <w:szCs w:val="20"/>
                <w:color w:val="auto"/>
              </w:rPr>
            </w:pPr>
            <w:r>
              <w:rPr>
                <w:rFonts w:ascii="Arial" w:cs="Arial" w:eastAsia="Arial" w:hAnsi="Arial"/>
                <w:sz w:val="15"/>
                <w:szCs w:val="15"/>
                <w:color w:val="auto"/>
              </w:rPr>
              <w:t>(16.7)</w:t>
            </w:r>
          </w:p>
        </w:tc>
        <w:tc>
          <w:tcPr>
            <w:tcW w:w="130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(20.4)</w:t>
            </w:r>
          </w:p>
        </w:tc>
        <w:tc>
          <w:tcPr>
            <w:tcW w:w="138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(45.5)</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(73.5)</w:t>
            </w:r>
          </w:p>
        </w:tc>
      </w:tr>
      <w:tr>
        <w:trPr>
          <w:trHeight w:val="166"/>
        </w:trPr>
        <w:tc>
          <w:tcPr>
            <w:tcW w:w="4820" w:type="dxa"/>
            <w:vAlign w:val="bottom"/>
          </w:tcPr>
          <w:p>
            <w:pPr>
              <w:ind w:left="640"/>
              <w:spacing w:after="0" w:line="167" w:lineRule="exact"/>
              <w:rPr>
                <w:sz w:val="20"/>
                <w:szCs w:val="20"/>
                <w:color w:val="auto"/>
              </w:rPr>
            </w:pPr>
            <w:r>
              <w:rPr>
                <w:rFonts w:ascii="Arial" w:cs="Arial" w:eastAsia="Arial" w:hAnsi="Arial"/>
                <w:sz w:val="15"/>
                <w:szCs w:val="15"/>
                <w:b w:val="1"/>
                <w:bCs w:val="1"/>
                <w:color w:val="auto"/>
              </w:rPr>
              <w:t>Net Income</w:t>
            </w:r>
          </w:p>
        </w:tc>
        <w:tc>
          <w:tcPr>
            <w:tcW w:w="122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rPr>
              <w:t>38.0</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50.6</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49.5</w:t>
            </w:r>
          </w:p>
        </w:tc>
        <w:tc>
          <w:tcPr>
            <w:tcW w:w="220" w:type="dxa"/>
            <w:vAlign w:val="bottom"/>
          </w:tcPr>
          <w:p>
            <w:pPr>
              <w:spacing w:after="0"/>
              <w:rPr>
                <w:sz w:val="14"/>
                <w:szCs w:val="14"/>
                <w:color w:val="auto"/>
              </w:rPr>
            </w:pPr>
          </w:p>
        </w:tc>
        <w:tc>
          <w:tcPr>
            <w:tcW w:w="138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141.5</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194.9</w:t>
            </w: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Minority Interest</w:t>
            </w:r>
          </w:p>
        </w:tc>
        <w:tc>
          <w:tcPr>
            <w:tcW w:w="1220" w:type="dxa"/>
            <w:vAlign w:val="bottom"/>
          </w:tcPr>
          <w:p>
            <w:pPr>
              <w:jc w:val="right"/>
              <w:ind w:right="6"/>
              <w:spacing w:after="0" w:line="158" w:lineRule="exact"/>
              <w:rPr>
                <w:sz w:val="20"/>
                <w:szCs w:val="20"/>
                <w:color w:val="auto"/>
              </w:rPr>
            </w:pPr>
            <w:r>
              <w:rPr>
                <w:rFonts w:ascii="Arial" w:cs="Arial" w:eastAsia="Arial" w:hAnsi="Arial"/>
                <w:sz w:val="15"/>
                <w:szCs w:val="15"/>
                <w:color w:val="auto"/>
              </w:rPr>
              <w:t>(3.2)</w:t>
            </w:r>
          </w:p>
        </w:tc>
        <w:tc>
          <w:tcPr>
            <w:tcW w:w="1600" w:type="dxa"/>
            <w:vAlign w:val="bottom"/>
          </w:tcPr>
          <w:p>
            <w:pPr>
              <w:jc w:val="right"/>
              <w:ind w:right="226"/>
              <w:spacing w:after="0" w:line="158" w:lineRule="exact"/>
              <w:rPr>
                <w:sz w:val="20"/>
                <w:szCs w:val="20"/>
                <w:color w:val="auto"/>
              </w:rPr>
            </w:pPr>
            <w:r>
              <w:rPr>
                <w:rFonts w:ascii="Arial" w:cs="Arial" w:eastAsia="Arial" w:hAnsi="Arial"/>
                <w:sz w:val="15"/>
                <w:szCs w:val="15"/>
                <w:color w:val="auto"/>
              </w:rPr>
              <w:t>(3.0)</w:t>
            </w:r>
          </w:p>
        </w:tc>
        <w:tc>
          <w:tcPr>
            <w:tcW w:w="130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(5.1)</w:t>
            </w:r>
          </w:p>
        </w:tc>
        <w:tc>
          <w:tcPr>
            <w:tcW w:w="138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(10.8)</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(13.0)</w:t>
            </w:r>
          </w:p>
        </w:tc>
      </w:tr>
      <w:tr>
        <w:trPr>
          <w:trHeight w:val="166"/>
        </w:trPr>
        <w:tc>
          <w:tcPr>
            <w:tcW w:w="4820" w:type="dxa"/>
            <w:vAlign w:val="bottom"/>
          </w:tcPr>
          <w:p>
            <w:pPr>
              <w:spacing w:after="0" w:line="167" w:lineRule="exact"/>
              <w:rPr>
                <w:sz w:val="20"/>
                <w:szCs w:val="20"/>
                <w:color w:val="auto"/>
              </w:rPr>
            </w:pPr>
            <w:r>
              <w:rPr>
                <w:rFonts w:ascii="Arial" w:cs="Arial" w:eastAsia="Arial" w:hAnsi="Arial"/>
                <w:sz w:val="15"/>
                <w:szCs w:val="15"/>
                <w:b w:val="1"/>
                <w:bCs w:val="1"/>
                <w:color w:val="auto"/>
              </w:rPr>
              <w:t>Net income attributable to shareholders</w:t>
            </w:r>
          </w:p>
        </w:tc>
        <w:tc>
          <w:tcPr>
            <w:tcW w:w="122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rPr>
              <w:t>34.9</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47.6</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44.3</w:t>
            </w:r>
          </w:p>
        </w:tc>
        <w:tc>
          <w:tcPr>
            <w:tcW w:w="220" w:type="dxa"/>
            <w:vAlign w:val="bottom"/>
          </w:tcPr>
          <w:p>
            <w:pPr>
              <w:spacing w:after="0"/>
              <w:rPr>
                <w:sz w:val="14"/>
                <w:szCs w:val="14"/>
                <w:color w:val="auto"/>
              </w:rPr>
            </w:pPr>
          </w:p>
        </w:tc>
        <w:tc>
          <w:tcPr>
            <w:tcW w:w="138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130.7</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181.9</w:t>
            </w:r>
          </w:p>
        </w:tc>
      </w:tr>
      <w:tr>
        <w:trPr>
          <w:trHeight w:val="171"/>
        </w:trPr>
        <w:tc>
          <w:tcPr>
            <w:tcW w:w="48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Net attributable income per share (US$) (3)</w:t>
            </w:r>
          </w:p>
        </w:tc>
        <w:tc>
          <w:tcPr>
            <w:tcW w:w="122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0.44</w:t>
            </w:r>
          </w:p>
        </w:tc>
        <w:tc>
          <w:tcPr>
            <w:tcW w:w="1600" w:type="dxa"/>
            <w:vAlign w:val="bottom"/>
            <w:tcBorders>
              <w:bottom w:val="single" w:sz="8" w:color="auto"/>
            </w:tcBorders>
          </w:tcPr>
          <w:p>
            <w:pPr>
              <w:jc w:val="right"/>
              <w:ind w:right="266"/>
              <w:spacing w:after="0" w:line="172" w:lineRule="exact"/>
              <w:rPr>
                <w:sz w:val="20"/>
                <w:szCs w:val="20"/>
                <w:color w:val="auto"/>
              </w:rPr>
            </w:pPr>
            <w:r>
              <w:rPr>
                <w:rFonts w:ascii="Arial" w:cs="Arial" w:eastAsia="Arial" w:hAnsi="Arial"/>
                <w:sz w:val="15"/>
                <w:szCs w:val="15"/>
                <w:color w:val="auto"/>
              </w:rPr>
              <w:t>0.60</w:t>
            </w: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0.56</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06"/>
              <w:spacing w:after="0" w:line="172" w:lineRule="exact"/>
              <w:rPr>
                <w:sz w:val="20"/>
                <w:szCs w:val="20"/>
                <w:color w:val="auto"/>
              </w:rPr>
            </w:pPr>
            <w:r>
              <w:rPr>
                <w:rFonts w:ascii="Arial" w:cs="Arial" w:eastAsia="Arial" w:hAnsi="Arial"/>
                <w:sz w:val="15"/>
                <w:szCs w:val="15"/>
                <w:color w:val="auto"/>
              </w:rPr>
              <w:t>1.64</w:t>
            </w:r>
          </w:p>
        </w:tc>
        <w:tc>
          <w:tcPr>
            <w:tcW w:w="11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2.28</w:t>
            </w:r>
          </w:p>
        </w:tc>
      </w:tr>
    </w:tbl>
    <w:p>
      <w:pPr>
        <w:spacing w:after="0" w:line="4"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Net of income from recoveries of charged-off loans.</w:t>
      </w:r>
    </w:p>
    <w:p>
      <w:pPr>
        <w:spacing w:after="0" w:line="1" w:lineRule="exact"/>
        <w:rPr>
          <w:rFonts w:ascii="Arial" w:cs="Arial" w:eastAsia="Arial" w:hAnsi="Arial"/>
          <w:sz w:val="15"/>
          <w:szCs w:val="15"/>
          <w:b w:val="1"/>
          <w:bCs w:val="1"/>
          <w:i w:val="1"/>
          <w:iCs w:val="1"/>
          <w:color w:val="auto"/>
        </w:rPr>
      </w:pPr>
    </w:p>
    <w:p>
      <w:pPr>
        <w:ind w:left="220" w:hanging="212"/>
        <w:spacing w:after="0" w:line="225" w:lineRule="auto"/>
        <w:tabs>
          <w:tab w:leader="none" w:pos="22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Previously reported as part of personnel expenses.</w:t>
      </w:r>
    </w:p>
    <w:p>
      <w:pPr>
        <w:ind w:left="220" w:hanging="212"/>
        <w:spacing w:after="0"/>
        <w:tabs>
          <w:tab w:leader="none" w:pos="220" w:val="left"/>
        </w:tabs>
        <w:numPr>
          <w:ilvl w:val="0"/>
          <w:numId w:val="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Based on 79.8 million net outstanding shares in all periods. Treasury shares amount to 14.6 million, which are netted from 94.4 million total outstanding shares.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from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Credicorp’s principal subsidiaries contributed to net income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(US$Mn)</w:t>
            </w:r>
          </w:p>
        </w:tc>
        <w:tc>
          <w:tcPr>
            <w:tcW w:w="24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4Q04</w:t>
            </w:r>
          </w:p>
        </w:tc>
        <w:tc>
          <w:tcPr>
            <w:tcW w:w="13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3Q05</w:t>
            </w:r>
          </w:p>
        </w:tc>
        <w:tc>
          <w:tcPr>
            <w:tcW w:w="13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4Q05</w:t>
            </w:r>
          </w:p>
        </w:tc>
        <w:tc>
          <w:tcPr>
            <w:tcW w:w="13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12M04</w:t>
            </w:r>
          </w:p>
        </w:tc>
        <w:tc>
          <w:tcPr>
            <w:tcW w:w="11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12M05</w:t>
            </w:r>
          </w:p>
        </w:tc>
      </w:tr>
      <w:tr>
        <w:trPr>
          <w:trHeight w:val="160"/>
        </w:trPr>
        <w:tc>
          <w:tcPr>
            <w:tcW w:w="3780" w:type="dxa"/>
            <w:vAlign w:val="bottom"/>
          </w:tcPr>
          <w:p>
            <w:pPr>
              <w:spacing w:after="0" w:line="160" w:lineRule="exact"/>
              <w:rPr>
                <w:sz w:val="20"/>
                <w:szCs w:val="20"/>
                <w:color w:val="auto"/>
              </w:rPr>
            </w:pPr>
            <w:r>
              <w:rPr>
                <w:rFonts w:ascii="Arial" w:cs="Arial" w:eastAsia="Arial" w:hAnsi="Arial"/>
                <w:sz w:val="15"/>
                <w:szCs w:val="15"/>
                <w:color w:val="auto"/>
              </w:rPr>
              <w:t>Banco de Crédito BCP(1)</w:t>
            </w:r>
          </w:p>
        </w:tc>
        <w:tc>
          <w:tcPr>
            <w:tcW w:w="24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28.1</w:t>
            </w:r>
          </w:p>
        </w:tc>
        <w:tc>
          <w:tcPr>
            <w:tcW w:w="13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44.2</w:t>
            </w:r>
          </w:p>
        </w:tc>
        <w:tc>
          <w:tcPr>
            <w:tcW w:w="1340" w:type="dxa"/>
            <w:vAlign w:val="bottom"/>
          </w:tcPr>
          <w:p>
            <w:pPr>
              <w:jc w:val="right"/>
              <w:ind w:right="226"/>
              <w:spacing w:after="0" w:line="160" w:lineRule="exact"/>
              <w:rPr>
                <w:sz w:val="20"/>
                <w:szCs w:val="20"/>
                <w:color w:val="auto"/>
              </w:rPr>
            </w:pPr>
            <w:r>
              <w:rPr>
                <w:rFonts w:ascii="Arial" w:cs="Arial" w:eastAsia="Arial" w:hAnsi="Arial"/>
                <w:sz w:val="15"/>
                <w:szCs w:val="15"/>
                <w:color w:val="auto"/>
              </w:rPr>
              <w:t>46.0</w:t>
            </w:r>
          </w:p>
        </w:tc>
        <w:tc>
          <w:tcPr>
            <w:tcW w:w="134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111.4</w:t>
            </w:r>
          </w:p>
        </w:tc>
        <w:tc>
          <w:tcPr>
            <w:tcW w:w="1100" w:type="dxa"/>
            <w:vAlign w:val="bottom"/>
          </w:tcPr>
          <w:p>
            <w:pPr>
              <w:jc w:val="right"/>
              <w:spacing w:after="0" w:line="160" w:lineRule="exact"/>
              <w:rPr>
                <w:sz w:val="20"/>
                <w:szCs w:val="20"/>
                <w:color w:val="auto"/>
              </w:rPr>
            </w:pPr>
            <w:r>
              <w:rPr>
                <w:rFonts w:ascii="Arial" w:cs="Arial" w:eastAsia="Arial" w:hAnsi="Arial"/>
                <w:sz w:val="15"/>
                <w:szCs w:val="15"/>
                <w:color w:val="auto"/>
              </w:rPr>
              <w:t>176.5</w:t>
            </w:r>
          </w:p>
        </w:tc>
      </w:tr>
      <w:tr>
        <w:trPr>
          <w:trHeight w:val="162"/>
        </w:trPr>
        <w:tc>
          <w:tcPr>
            <w:tcW w:w="3780" w:type="dxa"/>
            <w:vAlign w:val="bottom"/>
          </w:tcPr>
          <w:p>
            <w:pPr>
              <w:ind w:left="120"/>
              <w:spacing w:after="0" w:line="162" w:lineRule="exact"/>
              <w:rPr>
                <w:sz w:val="20"/>
                <w:szCs w:val="20"/>
                <w:color w:val="auto"/>
              </w:rPr>
            </w:pPr>
            <w:r>
              <w:rPr>
                <w:rFonts w:ascii="Arial" w:cs="Arial" w:eastAsia="Arial" w:hAnsi="Arial"/>
                <w:sz w:val="15"/>
                <w:szCs w:val="15"/>
                <w:color w:val="auto"/>
              </w:rPr>
              <w:t>BCB</w:t>
            </w:r>
          </w:p>
        </w:tc>
        <w:tc>
          <w:tcPr>
            <w:tcW w:w="24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2.2</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3.4</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3.8</w:t>
            </w: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4.8</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10.2</w:t>
            </w:r>
          </w:p>
        </w:tc>
      </w:tr>
      <w:tr>
        <w:trPr>
          <w:trHeight w:val="162"/>
        </w:trPr>
        <w:tc>
          <w:tcPr>
            <w:tcW w:w="3780" w:type="dxa"/>
            <w:vAlign w:val="bottom"/>
          </w:tcPr>
          <w:p>
            <w:pPr>
              <w:spacing w:after="0" w:line="162" w:lineRule="exact"/>
              <w:rPr>
                <w:sz w:val="20"/>
                <w:szCs w:val="20"/>
                <w:color w:val="auto"/>
              </w:rPr>
            </w:pPr>
            <w:r>
              <w:rPr>
                <w:rFonts w:ascii="Arial" w:cs="Arial" w:eastAsia="Arial" w:hAnsi="Arial"/>
                <w:sz w:val="15"/>
                <w:szCs w:val="15"/>
                <w:color w:val="auto"/>
              </w:rPr>
              <w:t>Atlantic</w:t>
            </w:r>
          </w:p>
        </w:tc>
        <w:tc>
          <w:tcPr>
            <w:tcW w:w="24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4.0</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3.6</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3.5</w:t>
            </w: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13.3</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13.5</w:t>
            </w:r>
          </w:p>
        </w:tc>
      </w:tr>
      <w:tr>
        <w:trPr>
          <w:trHeight w:val="162"/>
        </w:trPr>
        <w:tc>
          <w:tcPr>
            <w:tcW w:w="3780" w:type="dxa"/>
            <w:vAlign w:val="bottom"/>
          </w:tcPr>
          <w:p>
            <w:pPr>
              <w:spacing w:after="0" w:line="162" w:lineRule="exact"/>
              <w:rPr>
                <w:sz w:val="20"/>
                <w:szCs w:val="20"/>
                <w:color w:val="auto"/>
              </w:rPr>
            </w:pPr>
            <w:r>
              <w:rPr>
                <w:rFonts w:ascii="Arial" w:cs="Arial" w:eastAsia="Arial" w:hAnsi="Arial"/>
                <w:sz w:val="15"/>
                <w:szCs w:val="15"/>
                <w:color w:val="auto"/>
              </w:rPr>
              <w:t>PPS</w:t>
            </w:r>
          </w:p>
        </w:tc>
        <w:tc>
          <w:tcPr>
            <w:tcW w:w="24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1.9</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2.4</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0.9</w:t>
            </w: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9.6</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5.6</w:t>
            </w:r>
          </w:p>
        </w:tc>
      </w:tr>
      <w:tr>
        <w:trPr>
          <w:trHeight w:val="162"/>
        </w:trPr>
        <w:tc>
          <w:tcPr>
            <w:tcW w:w="3780" w:type="dxa"/>
            <w:vAlign w:val="bottom"/>
          </w:tcPr>
          <w:p>
            <w:pPr>
              <w:spacing w:after="0" w:line="162" w:lineRule="exact"/>
              <w:rPr>
                <w:sz w:val="20"/>
                <w:szCs w:val="20"/>
                <w:color w:val="auto"/>
              </w:rPr>
            </w:pPr>
            <w:r>
              <w:rPr>
                <w:rFonts w:ascii="Arial" w:cs="Arial" w:eastAsia="Arial" w:hAnsi="Arial"/>
                <w:sz w:val="15"/>
                <w:szCs w:val="15"/>
                <w:color w:val="auto"/>
              </w:rPr>
              <w:t>Credicorp and Grupo Credito (2)</w:t>
            </w:r>
          </w:p>
        </w:tc>
        <w:tc>
          <w:tcPr>
            <w:tcW w:w="24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0.9</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-2.7</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-6.0</w:t>
            </w: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-3.6</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-13.7</w:t>
            </w:r>
          </w:p>
        </w:tc>
      </w:tr>
      <w:tr>
        <w:trPr>
          <w:trHeight w:val="158"/>
        </w:trPr>
        <w:tc>
          <w:tcPr>
            <w:tcW w:w="3780" w:type="dxa"/>
            <w:vAlign w:val="bottom"/>
          </w:tcPr>
          <w:p>
            <w:pPr>
              <w:ind w:left="120"/>
              <w:spacing w:after="0" w:line="158" w:lineRule="exact"/>
              <w:rPr>
                <w:sz w:val="20"/>
                <w:szCs w:val="20"/>
                <w:color w:val="auto"/>
              </w:rPr>
            </w:pPr>
            <w:r>
              <w:rPr>
                <w:rFonts w:ascii="Arial" w:cs="Arial" w:eastAsia="Arial" w:hAnsi="Arial"/>
                <w:sz w:val="15"/>
                <w:szCs w:val="15"/>
                <w:color w:val="auto"/>
              </w:rPr>
              <w:t>Prima</w:t>
            </w:r>
          </w:p>
        </w:tc>
        <w:tc>
          <w:tcPr>
            <w:tcW w:w="248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0.0</w:t>
            </w:r>
          </w:p>
        </w:tc>
        <w:tc>
          <w:tcPr>
            <w:tcW w:w="138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-3.9</w:t>
            </w:r>
          </w:p>
        </w:tc>
        <w:tc>
          <w:tcPr>
            <w:tcW w:w="1340" w:type="dxa"/>
            <w:vAlign w:val="bottom"/>
          </w:tcPr>
          <w:p>
            <w:pPr>
              <w:jc w:val="right"/>
              <w:ind w:right="226"/>
              <w:spacing w:after="0" w:line="158" w:lineRule="exact"/>
              <w:rPr>
                <w:sz w:val="20"/>
                <w:szCs w:val="20"/>
                <w:color w:val="auto"/>
              </w:rPr>
            </w:pPr>
            <w:r>
              <w:rPr>
                <w:rFonts w:ascii="Arial" w:cs="Arial" w:eastAsia="Arial" w:hAnsi="Arial"/>
                <w:sz w:val="15"/>
                <w:szCs w:val="15"/>
                <w:color w:val="auto"/>
              </w:rPr>
              <w:t>-3.7</w:t>
            </w:r>
          </w:p>
        </w:tc>
        <w:tc>
          <w:tcPr>
            <w:tcW w:w="134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0</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-7.6</w:t>
            </w:r>
          </w:p>
        </w:tc>
      </w:t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income attributable to Credicorp</w:t>
            </w:r>
          </w:p>
        </w:tc>
        <w:tc>
          <w:tcPr>
            <w:tcW w:w="24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34.9</w:t>
            </w:r>
          </w:p>
        </w:tc>
        <w:tc>
          <w:tcPr>
            <w:tcW w:w="13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47.6</w:t>
            </w:r>
          </w:p>
        </w:tc>
        <w:tc>
          <w:tcPr>
            <w:tcW w:w="13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44.3</w:t>
            </w:r>
          </w:p>
        </w:tc>
        <w:tc>
          <w:tcPr>
            <w:tcW w:w="134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130.7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181.9</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Includes Banco de Crédito de Bolivia.</w:t>
      </w:r>
    </w:p>
    <w:p>
      <w:pPr>
        <w:spacing w:after="0" w:line="1" w:lineRule="exact"/>
        <w:rPr>
          <w:rFonts w:ascii="Arial" w:cs="Arial" w:eastAsia="Arial" w:hAnsi="Arial"/>
          <w:sz w:val="15"/>
          <w:szCs w:val="15"/>
          <w:i w:val="1"/>
          <w:iCs w:val="1"/>
          <w:color w:val="auto"/>
        </w:rPr>
      </w:pPr>
    </w:p>
    <w:p>
      <w:pPr>
        <w:ind w:left="220" w:hanging="212"/>
        <w:spacing w:after="0"/>
        <w:tabs>
          <w:tab w:leader="none" w:pos="22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Includes Grupo Crédito, Credicorp Securities and others.</w:t>
      </w: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During the fourth quarter of 2005, the </w:t>
      </w:r>
      <w:r>
        <w:rPr>
          <w:rFonts w:ascii="Arial" w:cs="Arial" w:eastAsia="Arial" w:hAnsi="Arial"/>
          <w:sz w:val="21"/>
          <w:szCs w:val="21"/>
          <w:b w:val="1"/>
          <w:bCs w:val="1"/>
          <w:color w:val="auto"/>
        </w:rPr>
        <w:t>Credicorp and others</w:t>
      </w:r>
      <w:r>
        <w:rPr>
          <w:rFonts w:ascii="Arial" w:cs="Arial" w:eastAsia="Arial" w:hAnsi="Arial"/>
          <w:sz w:val="21"/>
          <w:szCs w:val="21"/>
          <w:color w:val="auto"/>
        </w:rPr>
        <w:t xml:space="preserve"> concept contributed a net loss of US$ 6 million, explained mainly by losses in the Prima AFP, which amounted to US$ 7.6 million for the year. The remaining negative contribution in the Credicorp line, corresponds to the withholding tax on dividends received, among other minor items.</w:t>
      </w:r>
    </w:p>
    <w:p>
      <w:pPr>
        <w:spacing w:after="0" w:line="158"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 xml:space="preserve">The contributions to Credicorp’s net attributable income from </w:t>
      </w:r>
      <w:r>
        <w:rPr>
          <w:rFonts w:ascii="Arial" w:cs="Arial" w:eastAsia="Arial" w:hAnsi="Arial"/>
          <w:sz w:val="21"/>
          <w:szCs w:val="21"/>
          <w:b w:val="1"/>
          <w:bCs w:val="1"/>
          <w:color w:val="auto"/>
        </w:rPr>
        <w:t>Banco de Crédito BCP</w:t>
      </w:r>
      <w:r>
        <w:rPr>
          <w:rFonts w:ascii="Arial" w:cs="Arial" w:eastAsia="Arial" w:hAnsi="Arial"/>
          <w:sz w:val="21"/>
          <w:szCs w:val="21"/>
          <w:color w:val="auto"/>
        </w:rPr>
        <w:t xml:space="preserve"> and </w:t>
      </w:r>
      <w:r>
        <w:rPr>
          <w:rFonts w:ascii="Arial" w:cs="Arial" w:eastAsia="Arial" w:hAnsi="Arial"/>
          <w:sz w:val="21"/>
          <w:szCs w:val="21"/>
          <w:b w:val="1"/>
          <w:bCs w:val="1"/>
          <w:color w:val="auto"/>
        </w:rPr>
        <w:t>Pacífico Peruano Suiza</w:t>
      </w:r>
      <w:r>
        <w:rPr>
          <w:rFonts w:ascii="Arial" w:cs="Arial" w:eastAsia="Arial" w:hAnsi="Arial"/>
          <w:sz w:val="21"/>
          <w:szCs w:val="21"/>
          <w:color w:val="auto"/>
        </w:rPr>
        <w:t xml:space="preserve"> are the results obtained under IFRS rules in U.S. Dollars, net of minority interests and eliminations for consolidation purposes.</w:t>
      </w:r>
    </w:p>
    <w:p>
      <w:pPr>
        <w:spacing w:after="0" w:line="14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Section II of this report, BCP reported a net income of US$ 47.8 million for the fourth quarter, which, net of the US$ 1.8 million in minority interest and consolidation adjustments, results in a contribution of US$ 46 million.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the case of PPS (Section IV), US$ 0.2 million is deducted from and US$ 0.4 million added to its book profit of US$ 0.7 million in 4Q05, both figures referring to minority interests, in order to obtain its contribution of US$ 0.9 million.</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Atlantic Security Holding Corporation</w:t>
      </w:r>
      <w:r>
        <w:rPr>
          <w:rFonts w:ascii="Arial" w:cs="Arial" w:eastAsia="Arial" w:hAnsi="Arial"/>
          <w:sz w:val="22"/>
          <w:szCs w:val="22"/>
          <w:color w:val="auto"/>
        </w:rPr>
        <w:t xml:space="preserve"> contributed US$ 3.5 million to the current quarter, as reported net income in its books. Nevertheless the US$ 13.5 million accumulated contribution as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20"/>
        <w:spacing w:after="0" w:line="251" w:lineRule="auto"/>
        <w:rPr>
          <w:sz w:val="20"/>
          <w:szCs w:val="20"/>
          <w:color w:val="auto"/>
        </w:rPr>
      </w:pPr>
      <w:r>
        <w:rPr>
          <w:rFonts w:ascii="Arial" w:cs="Arial" w:eastAsia="Arial" w:hAnsi="Arial"/>
          <w:sz w:val="22"/>
          <w:szCs w:val="22"/>
          <w:color w:val="auto"/>
        </w:rPr>
        <w:t>December is lower than the result of US$ 25.2 million in its books (see Section III) due to the elimination, for consolidation purposes, of US$11.7 million in dividends received from Credicorp.</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I.2 INTEREST INCOME AND OTHER INCOME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u w:val="single" w:color="auto"/>
          <w:color w:val="auto"/>
        </w:rPr>
        <w:t>Note:</w:t>
      </w:r>
      <w:r>
        <w:rPr>
          <w:rFonts w:ascii="Arial" w:cs="Arial" w:eastAsia="Arial" w:hAnsi="Arial"/>
          <w:sz w:val="21"/>
          <w:szCs w:val="21"/>
          <w:color w:val="auto"/>
        </w:rPr>
        <w:t xml:space="preserve"> For comparison purposes, in periods prior to 2005, income from recoveries of previously charged-off loans, which were reported in the </w:t>
      </w:r>
      <w:r>
        <w:rPr>
          <w:rFonts w:ascii="Arial" w:cs="Arial" w:eastAsia="Arial" w:hAnsi="Arial"/>
          <w:sz w:val="21"/>
          <w:szCs w:val="21"/>
          <w:i w:val="1"/>
          <w:iCs w:val="1"/>
          <w:u w:val="single" w:color="auto"/>
          <w:color w:val="auto"/>
        </w:rPr>
        <w:t>Other non-interest income</w:t>
      </w:r>
      <w:r>
        <w:rPr>
          <w:rFonts w:ascii="Arial" w:cs="Arial" w:eastAsia="Arial" w:hAnsi="Arial"/>
          <w:sz w:val="21"/>
          <w:szCs w:val="21"/>
          <w:color w:val="auto"/>
        </w:rPr>
        <w:t xml:space="preserve"> concept, have been reclassified into the </w:t>
      </w:r>
      <w:r>
        <w:rPr>
          <w:rFonts w:ascii="Arial" w:cs="Arial" w:eastAsia="Arial" w:hAnsi="Arial"/>
          <w:sz w:val="21"/>
          <w:szCs w:val="21"/>
          <w:i w:val="1"/>
          <w:iCs w:val="1"/>
          <w:color w:val="auto"/>
        </w:rPr>
        <w:t>Provision for possible loan losses</w:t>
      </w:r>
      <w:r>
        <w:rPr>
          <w:rFonts w:ascii="Arial" w:cs="Arial" w:eastAsia="Arial" w:hAnsi="Arial"/>
          <w:sz w:val="21"/>
          <w:szCs w:val="21"/>
          <w:color w:val="auto"/>
        </w:rPr>
        <w:t xml:space="preserve"> concept, with no effect on net income. Additional minor reclassifications, also with no effect on net income, have been made affecting the captions of </w:t>
      </w:r>
      <w:r>
        <w:rPr>
          <w:rFonts w:ascii="Arial" w:cs="Arial" w:eastAsia="Arial" w:hAnsi="Arial"/>
          <w:sz w:val="21"/>
          <w:szCs w:val="21"/>
          <w:i w:val="1"/>
          <w:iCs w:val="1"/>
          <w:u w:val="single" w:color="auto"/>
          <w:color w:val="auto"/>
        </w:rPr>
        <w:t>Commissions for banking services</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Net premiums earned</w:t>
      </w:r>
      <w:r>
        <w:rPr>
          <w:rFonts w:ascii="Arial" w:cs="Arial" w:eastAsia="Arial" w:hAnsi="Arial"/>
          <w:sz w:val="21"/>
          <w:szCs w:val="21"/>
          <w:color w:val="auto"/>
        </w:rPr>
        <w:t xml:space="preserve">, and </w:t>
      </w:r>
      <w:r>
        <w:rPr>
          <w:rFonts w:ascii="Arial" w:cs="Arial" w:eastAsia="Arial" w:hAnsi="Arial"/>
          <w:sz w:val="21"/>
          <w:szCs w:val="21"/>
          <w:i w:val="1"/>
          <w:iCs w:val="1"/>
          <w:u w:val="single" w:color="auto"/>
          <w:color w:val="auto"/>
        </w:rPr>
        <w:t>Other expenses</w:t>
      </w:r>
      <w:r>
        <w:rPr>
          <w:rFonts w:ascii="Arial" w:cs="Arial" w:eastAsia="Arial" w:hAnsi="Arial"/>
          <w:sz w:val="21"/>
          <w:szCs w:val="21"/>
          <w:color w:val="auto"/>
        </w:rPr>
        <w:t>.</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interest income during 4Q05 of US$ 117.4 million is evidence of the increasing trend recorded, mainly due to a significant expansion in interest-earning assets. Interest income grew 5.2% compared to the previous quarter and 13.5% for the year 2005, while interest expenses rose at a lower rate, increasing only 10.4% for the year, resulting in an accumulated improvement in the net interest margin (NIM) for the year. Net interest income for the year grew 14.9%, reflecting very good income recovery.</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Solid growth in loans during 4Q05, was mainly due to a reactivation of loan growth rates in the corporate and middle market sectors, which still make up the bulk of the loan portfolio, growing at improved rates and in the case of the middle market sector, at higher rates than those for the most dynamic sector – which is retail banking. This loan growth in the lower-margin segments led to moderate growth in interest income on loans of 2.23% for the quarter. Growth in quarterly income was also driven by an increase in interest income on deposits, which rose 39.4% for the fourth quarter.</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While during 4Q05 we saw a slight reduction in the spread between active and passive rates, resulting in a slight drop in NIM from 5.76% in 3Q05 to 5.44% in 4Q05, for the full year period, this margin has experienced an upwards tendency with an increase of almost 4%, achieving a NIM of 5.59% for 2005, compared to 5.38% for the year 2004, thus contributing to Credicorp’s improved results.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Non-interest income, not including premiums and health fees, was US$ 70 million in 4Q05, slightly lower than the previous quarter and the US$ 71 million posted in the same period last year, mainly due to the absence of gains on sale of securities present in the previous periods. Nevertheless, banking service fees, the most important line item in this area, as well as the gains from exchange operations, did demonstrate dynamic expansion, rising 6.5% and 8.5%, respectively, compared to 3Q05, and at greater rates, comparing accumulated growth for the year. Non-interest income components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4Q05 vs.</w:t>
            </w:r>
          </w:p>
        </w:tc>
        <w:tc>
          <w:tcPr>
            <w:tcW w:w="112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4Q05 vs.</w:t>
            </w:r>
          </w:p>
        </w:tc>
      </w:tr>
      <w:tr>
        <w:trPr>
          <w:trHeight w:val="175"/>
        </w:trPr>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(In US$ millions)</w:t>
            </w:r>
          </w:p>
        </w:tc>
        <w:tc>
          <w:tcPr>
            <w:tcW w:w="262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4Q04</w:t>
            </w:r>
          </w:p>
        </w:tc>
        <w:tc>
          <w:tcPr>
            <w:tcW w:w="138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3Q05</w:t>
            </w:r>
          </w:p>
        </w:tc>
        <w:tc>
          <w:tcPr>
            <w:tcW w:w="130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4Q05</w:t>
            </w:r>
          </w:p>
        </w:tc>
        <w:tc>
          <w:tcPr>
            <w:tcW w:w="136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3Q05</w:t>
            </w: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4Q04</w:t>
            </w:r>
          </w:p>
        </w:tc>
      </w:tr>
      <w:tr>
        <w:trPr>
          <w:trHeight w:val="160"/>
        </w:trPr>
        <w:tc>
          <w:tcPr>
            <w:tcW w:w="3640" w:type="dxa"/>
            <w:vAlign w:val="bottom"/>
          </w:tcPr>
          <w:p>
            <w:pPr>
              <w:spacing w:after="0" w:line="160" w:lineRule="exact"/>
              <w:rPr>
                <w:sz w:val="20"/>
                <w:szCs w:val="20"/>
                <w:color w:val="auto"/>
              </w:rPr>
            </w:pPr>
            <w:r>
              <w:rPr>
                <w:rFonts w:ascii="Arial" w:cs="Arial" w:eastAsia="Arial" w:hAnsi="Arial"/>
                <w:sz w:val="15"/>
                <w:szCs w:val="15"/>
                <w:color w:val="auto"/>
              </w:rPr>
              <w:t>Commissions for banking services</w:t>
            </w:r>
          </w:p>
        </w:tc>
        <w:tc>
          <w:tcPr>
            <w:tcW w:w="262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50.3</w:t>
            </w:r>
          </w:p>
        </w:tc>
        <w:tc>
          <w:tcPr>
            <w:tcW w:w="13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51.2</w:t>
            </w:r>
          </w:p>
        </w:tc>
        <w:tc>
          <w:tcPr>
            <w:tcW w:w="130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54.6</w:t>
            </w:r>
          </w:p>
        </w:tc>
        <w:tc>
          <w:tcPr>
            <w:tcW w:w="136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6.5%</w:t>
            </w:r>
          </w:p>
        </w:tc>
        <w:tc>
          <w:tcPr>
            <w:tcW w:w="1120" w:type="dxa"/>
            <w:vAlign w:val="bottom"/>
          </w:tcPr>
          <w:p>
            <w:pPr>
              <w:jc w:val="right"/>
              <w:spacing w:after="0" w:line="160" w:lineRule="exact"/>
              <w:rPr>
                <w:sz w:val="20"/>
                <w:szCs w:val="20"/>
                <w:color w:val="auto"/>
              </w:rPr>
            </w:pPr>
            <w:r>
              <w:rPr>
                <w:rFonts w:ascii="Arial" w:cs="Arial" w:eastAsia="Arial" w:hAnsi="Arial"/>
                <w:sz w:val="15"/>
                <w:szCs w:val="15"/>
                <w:color w:val="auto"/>
              </w:rPr>
              <w:t>8.5%</w:t>
            </w:r>
          </w:p>
        </w:tc>
      </w:tr>
      <w:tr>
        <w:trPr>
          <w:trHeight w:val="162"/>
        </w:trPr>
        <w:tc>
          <w:tcPr>
            <w:tcW w:w="3640" w:type="dxa"/>
            <w:vAlign w:val="bottom"/>
          </w:tcPr>
          <w:p>
            <w:pPr>
              <w:spacing w:after="0" w:line="162" w:lineRule="exact"/>
              <w:rPr>
                <w:sz w:val="20"/>
                <w:szCs w:val="20"/>
                <w:color w:val="auto"/>
              </w:rPr>
            </w:pPr>
            <w:r>
              <w:rPr>
                <w:rFonts w:ascii="Arial" w:cs="Arial" w:eastAsia="Arial" w:hAnsi="Arial"/>
                <w:sz w:val="15"/>
                <w:szCs w:val="15"/>
                <w:color w:val="auto"/>
              </w:rPr>
              <w:t>Gains from sale of securities</w:t>
            </w:r>
          </w:p>
        </w:tc>
        <w:tc>
          <w:tcPr>
            <w:tcW w:w="2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6.4</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7.2</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0.3</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-96.4%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-95.9%</w:t>
            </w:r>
          </w:p>
        </w:tc>
      </w:tr>
      <w:tr>
        <w:trPr>
          <w:trHeight w:val="162"/>
        </w:trPr>
        <w:tc>
          <w:tcPr>
            <w:tcW w:w="3640" w:type="dxa"/>
            <w:vAlign w:val="bottom"/>
          </w:tcPr>
          <w:p>
            <w:pPr>
              <w:spacing w:after="0" w:line="162" w:lineRule="exact"/>
              <w:rPr>
                <w:sz w:val="20"/>
                <w:szCs w:val="20"/>
                <w:color w:val="auto"/>
              </w:rPr>
            </w:pPr>
            <w:r>
              <w:rPr>
                <w:rFonts w:ascii="Arial" w:cs="Arial" w:eastAsia="Arial" w:hAnsi="Arial"/>
                <w:sz w:val="15"/>
                <w:szCs w:val="15"/>
                <w:color w:val="auto"/>
              </w:rPr>
              <w:t>Gains from foreign exchange</w:t>
            </w:r>
          </w:p>
        </w:tc>
        <w:tc>
          <w:tcPr>
            <w:tcW w:w="2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7.0</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7.6</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8.2</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8.5%</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17.4%</w:t>
            </w:r>
          </w:p>
        </w:tc>
      </w:tr>
      <w:tr>
        <w:trPr>
          <w:trHeight w:val="188"/>
        </w:trPr>
        <w:tc>
          <w:tcPr>
            <w:tcW w:w="3640" w:type="dxa"/>
            <w:vAlign w:val="bottom"/>
          </w:tcPr>
          <w:p>
            <w:pPr>
              <w:spacing w:after="0"/>
              <w:rPr>
                <w:sz w:val="20"/>
                <w:szCs w:val="20"/>
                <w:color w:val="auto"/>
              </w:rPr>
            </w:pPr>
            <w:r>
              <w:rPr>
                <w:rFonts w:ascii="Arial" w:cs="Arial" w:eastAsia="Arial" w:hAnsi="Arial"/>
                <w:sz w:val="15"/>
                <w:szCs w:val="15"/>
                <w:color w:val="auto"/>
              </w:rPr>
              <w:t>Other non-interest income</w:t>
            </w:r>
          </w:p>
        </w:tc>
        <w:tc>
          <w:tcPr>
            <w:tcW w:w="2620" w:type="dxa"/>
            <w:vAlign w:val="bottom"/>
          </w:tcPr>
          <w:p>
            <w:pPr>
              <w:jc w:val="right"/>
              <w:ind w:right="266"/>
              <w:spacing w:after="0"/>
              <w:rPr>
                <w:sz w:val="20"/>
                <w:szCs w:val="20"/>
                <w:color w:val="auto"/>
              </w:rPr>
            </w:pPr>
            <w:r>
              <w:rPr>
                <w:rFonts w:ascii="Arial" w:cs="Arial" w:eastAsia="Arial" w:hAnsi="Arial"/>
                <w:sz w:val="15"/>
                <w:szCs w:val="15"/>
                <w:color w:val="auto"/>
              </w:rPr>
              <w:t>7.3</w:t>
            </w:r>
          </w:p>
        </w:tc>
        <w:tc>
          <w:tcPr>
            <w:tcW w:w="1380" w:type="dxa"/>
            <w:vAlign w:val="bottom"/>
          </w:tcPr>
          <w:p>
            <w:pPr>
              <w:jc w:val="right"/>
              <w:ind w:right="266"/>
              <w:spacing w:after="0"/>
              <w:rPr>
                <w:sz w:val="20"/>
                <w:szCs w:val="20"/>
                <w:color w:val="auto"/>
              </w:rPr>
            </w:pPr>
            <w:r>
              <w:rPr>
                <w:rFonts w:ascii="Arial" w:cs="Arial" w:eastAsia="Arial" w:hAnsi="Arial"/>
                <w:sz w:val="15"/>
                <w:szCs w:val="15"/>
                <w:color w:val="auto"/>
              </w:rPr>
              <w:t>6.5</w:t>
            </w:r>
          </w:p>
        </w:tc>
        <w:tc>
          <w:tcPr>
            <w:tcW w:w="1300" w:type="dxa"/>
            <w:vAlign w:val="bottom"/>
          </w:tcPr>
          <w:p>
            <w:pPr>
              <w:jc w:val="right"/>
              <w:ind w:right="186"/>
              <w:spacing w:after="0"/>
              <w:rPr>
                <w:sz w:val="20"/>
                <w:szCs w:val="20"/>
                <w:color w:val="auto"/>
              </w:rPr>
            </w:pPr>
            <w:r>
              <w:rPr>
                <w:rFonts w:ascii="Arial" w:cs="Arial" w:eastAsia="Arial" w:hAnsi="Arial"/>
                <w:sz w:val="15"/>
                <w:szCs w:val="15"/>
                <w:color w:val="auto"/>
              </w:rPr>
              <w:t>6.9</w:t>
            </w:r>
          </w:p>
        </w:tc>
        <w:tc>
          <w:tcPr>
            <w:tcW w:w="1360" w:type="dxa"/>
            <w:vAlign w:val="bottom"/>
          </w:tcPr>
          <w:p>
            <w:pPr>
              <w:jc w:val="right"/>
              <w:ind w:right="186"/>
              <w:spacing w:after="0"/>
              <w:rPr>
                <w:sz w:val="20"/>
                <w:szCs w:val="20"/>
                <w:color w:val="auto"/>
              </w:rPr>
            </w:pPr>
            <w:r>
              <w:rPr>
                <w:rFonts w:ascii="Arial" w:cs="Arial" w:eastAsia="Arial" w:hAnsi="Arial"/>
                <w:sz w:val="15"/>
                <w:szCs w:val="15"/>
                <w:color w:val="auto"/>
              </w:rPr>
              <w:t>5.7%</w:t>
            </w:r>
          </w:p>
        </w:tc>
        <w:tc>
          <w:tcPr>
            <w:tcW w:w="112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307"/>
        </w:trPr>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Non-Interest Income</w:t>
            </w:r>
          </w:p>
        </w:tc>
        <w:tc>
          <w:tcPr>
            <w:tcW w:w="26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71.0</w:t>
            </w:r>
          </w:p>
        </w:tc>
        <w:tc>
          <w:tcPr>
            <w:tcW w:w="13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72.6</w:t>
            </w:r>
          </w:p>
        </w:tc>
        <w:tc>
          <w:tcPr>
            <w:tcW w:w="13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70.0</w:t>
            </w:r>
          </w:p>
        </w:tc>
        <w:tc>
          <w:tcPr>
            <w:tcW w:w="1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-3.59%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-1.41%</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Net revenue from insurance activity, premiums and health fees net of claims and health costs,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4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5"/>
                <w:szCs w:val="15"/>
                <w:b w:val="1"/>
                <w:bCs w:val="1"/>
                <w:color w:val="auto"/>
                <w:w w:val="90"/>
              </w:rPr>
              <w:t>4Q05 vs</w:t>
            </w:r>
          </w:p>
        </w:tc>
        <w:tc>
          <w:tcPr>
            <w:tcW w:w="112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5"/>
                <w:szCs w:val="15"/>
                <w:b w:val="1"/>
                <w:bCs w:val="1"/>
                <w:color w:val="auto"/>
              </w:rPr>
              <w:t>4Q05 vs</w:t>
            </w:r>
          </w:p>
        </w:tc>
      </w:tr>
      <w:tr>
        <w:trPr>
          <w:trHeight w:val="175"/>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i w:val="1"/>
                <w:iCs w:val="1"/>
                <w:color w:val="auto"/>
              </w:rPr>
              <w:t>(In US$ millions)</w:t>
            </w:r>
          </w:p>
        </w:tc>
        <w:tc>
          <w:tcPr>
            <w:tcW w:w="23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5"/>
                <w:szCs w:val="15"/>
                <w:b w:val="1"/>
                <w:bCs w:val="1"/>
                <w:color w:val="auto"/>
              </w:rPr>
              <w:t>4Q04</w:t>
            </w:r>
          </w:p>
        </w:tc>
        <w:tc>
          <w:tcPr>
            <w:tcW w:w="1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rPr>
              <w:t>3Q05</w:t>
            </w:r>
          </w:p>
        </w:tc>
        <w:tc>
          <w:tcPr>
            <w:tcW w:w="16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5"/>
                <w:szCs w:val="15"/>
                <w:b w:val="1"/>
                <w:bCs w:val="1"/>
                <w:color w:val="auto"/>
              </w:rPr>
              <w:t>4Q05</w:t>
            </w: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5"/>
                <w:szCs w:val="15"/>
                <w:b w:val="1"/>
                <w:bCs w:val="1"/>
                <w:color w:val="auto"/>
                <w:w w:val="92"/>
              </w:rPr>
              <w:t>3Q05</w:t>
            </w:r>
          </w:p>
        </w:tc>
        <w:tc>
          <w:tcPr>
            <w:tcW w:w="11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5"/>
                <w:szCs w:val="15"/>
                <w:b w:val="1"/>
                <w:bCs w:val="1"/>
                <w:color w:val="auto"/>
              </w:rPr>
              <w:t>4Q04</w:t>
            </w:r>
          </w:p>
        </w:tc>
      </w:tr>
      <w:tr>
        <w:trPr>
          <w:trHeight w:val="160"/>
        </w:trPr>
        <w:tc>
          <w:tcPr>
            <w:tcW w:w="3880" w:type="dxa"/>
            <w:vAlign w:val="bottom"/>
            <w:gridSpan w:val="2"/>
          </w:tcPr>
          <w:p>
            <w:pPr>
              <w:spacing w:after="0" w:line="160" w:lineRule="exact"/>
              <w:rPr>
                <w:sz w:val="20"/>
                <w:szCs w:val="20"/>
                <w:color w:val="auto"/>
              </w:rPr>
            </w:pPr>
            <w:r>
              <w:rPr>
                <w:rFonts w:ascii="Arial" w:cs="Arial" w:eastAsia="Arial" w:hAnsi="Arial"/>
                <w:sz w:val="15"/>
                <w:szCs w:val="15"/>
                <w:color w:val="auto"/>
              </w:rPr>
              <w:t>Net premiums earned and health fees Less:</w:t>
            </w:r>
          </w:p>
        </w:tc>
        <w:tc>
          <w:tcPr>
            <w:tcW w:w="2380" w:type="dxa"/>
            <w:vAlign w:val="bottom"/>
            <w:gridSpan w:val="3"/>
          </w:tcPr>
          <w:p>
            <w:pPr>
              <w:jc w:val="right"/>
              <w:ind w:right="340"/>
              <w:spacing w:after="0" w:line="160" w:lineRule="exact"/>
              <w:rPr>
                <w:sz w:val="20"/>
                <w:szCs w:val="20"/>
                <w:color w:val="auto"/>
              </w:rPr>
            </w:pPr>
            <w:r>
              <w:rPr>
                <w:rFonts w:ascii="Arial" w:cs="Arial" w:eastAsia="Arial" w:hAnsi="Arial"/>
                <w:sz w:val="15"/>
                <w:szCs w:val="15"/>
                <w:color w:val="auto"/>
              </w:rPr>
              <w:t>59.9</w:t>
            </w:r>
          </w:p>
        </w:tc>
        <w:tc>
          <w:tcPr>
            <w:tcW w:w="10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57.2</w:t>
            </w:r>
          </w:p>
        </w:tc>
        <w:tc>
          <w:tcPr>
            <w:tcW w:w="1660" w:type="dxa"/>
            <w:vAlign w:val="bottom"/>
            <w:gridSpan w:val="3"/>
          </w:tcPr>
          <w:p>
            <w:pPr>
              <w:jc w:val="right"/>
              <w:ind w:right="280"/>
              <w:spacing w:after="0" w:line="160" w:lineRule="exact"/>
              <w:rPr>
                <w:sz w:val="20"/>
                <w:szCs w:val="20"/>
                <w:color w:val="auto"/>
              </w:rPr>
            </w:pPr>
            <w:r>
              <w:rPr>
                <w:rFonts w:ascii="Arial" w:cs="Arial" w:eastAsia="Arial" w:hAnsi="Arial"/>
                <w:sz w:val="15"/>
                <w:szCs w:val="15"/>
                <w:color w:val="auto"/>
              </w:rPr>
              <w:t>55.3</w:t>
            </w:r>
          </w:p>
        </w:tc>
        <w:tc>
          <w:tcPr>
            <w:tcW w:w="1340" w:type="dxa"/>
            <w:vAlign w:val="bottom"/>
            <w:gridSpan w:val="3"/>
          </w:tcPr>
          <w:p>
            <w:pPr>
              <w:jc w:val="right"/>
              <w:ind w:right="260"/>
              <w:spacing w:after="0" w:line="160" w:lineRule="exact"/>
              <w:rPr>
                <w:sz w:val="20"/>
                <w:szCs w:val="20"/>
                <w:color w:val="auto"/>
              </w:rPr>
            </w:pPr>
            <w:r>
              <w:rPr>
                <w:rFonts w:ascii="Arial" w:cs="Arial" w:eastAsia="Arial" w:hAnsi="Arial"/>
                <w:sz w:val="15"/>
                <w:szCs w:val="15"/>
                <w:color w:val="auto"/>
              </w:rPr>
              <w:t>-3.4%</w:t>
            </w:r>
          </w:p>
        </w:tc>
        <w:tc>
          <w:tcPr>
            <w:tcW w:w="112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-7.7%</w:t>
            </w:r>
          </w:p>
        </w:tc>
      </w:tr>
      <w:tr>
        <w:trPr>
          <w:trHeight w:val="162"/>
        </w:trPr>
        <w:tc>
          <w:tcPr>
            <w:tcW w:w="388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Net claims and health costs incurred</w:t>
            </w:r>
          </w:p>
        </w:tc>
        <w:tc>
          <w:tcPr>
            <w:tcW w:w="238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9.1</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9.0</w:t>
            </w:r>
          </w:p>
        </w:tc>
        <w:tc>
          <w:tcPr>
            <w:tcW w:w="166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11.4</w:t>
            </w:r>
          </w:p>
        </w:tc>
        <w:tc>
          <w:tcPr>
            <w:tcW w:w="134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25.7%</w:t>
            </w:r>
          </w:p>
        </w:tc>
        <w:tc>
          <w:tcPr>
            <w:tcW w:w="11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25.5%</w:t>
            </w:r>
          </w:p>
        </w:tc>
      </w:tr>
      <w:tr>
        <w:trPr>
          <w:trHeight w:val="162"/>
        </w:trPr>
        <w:tc>
          <w:tcPr>
            <w:tcW w:w="388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Increase in costs for future benefits for</w:t>
            </w:r>
          </w:p>
        </w:tc>
        <w:tc>
          <w:tcPr>
            <w:tcW w:w="238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35.0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34.5</w:t>
            </w:r>
          </w:p>
        </w:tc>
        <w:tc>
          <w:tcPr>
            <w:tcW w:w="166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35.2</w:t>
            </w:r>
          </w:p>
        </w:tc>
        <w:tc>
          <w:tcPr>
            <w:tcW w:w="134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1.8%</w:t>
            </w:r>
          </w:p>
        </w:tc>
        <w:tc>
          <w:tcPr>
            <w:tcW w:w="11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0.6%</w:t>
            </w:r>
          </w:p>
        </w:tc>
      </w:tr>
      <w:tr>
        <w:trPr>
          <w:trHeight w:val="162"/>
        </w:trPr>
        <w:tc>
          <w:tcPr>
            <w:tcW w:w="388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life and health policies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1640" w:type="dxa"/>
            <w:vAlign w:val="bottom"/>
          </w:tcPr>
          <w:p>
            <w:pPr>
              <w:spacing w:after="0" w:line="158" w:lineRule="exact"/>
              <w:rPr>
                <w:sz w:val="20"/>
                <w:szCs w:val="20"/>
                <w:color w:val="auto"/>
              </w:rPr>
            </w:pPr>
            <w:r>
              <w:rPr>
                <w:rFonts w:ascii="Arial" w:cs="Arial" w:eastAsia="Arial" w:hAnsi="Arial"/>
                <w:sz w:val="15"/>
                <w:szCs w:val="15"/>
                <w:color w:val="auto"/>
                <w:w w:val="88"/>
              </w:rPr>
              <w:t>Sub-total: Claims and costs</w:t>
            </w:r>
          </w:p>
        </w:tc>
        <w:tc>
          <w:tcPr>
            <w:tcW w:w="2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0" w:type="dxa"/>
            <w:vAlign w:val="bottom"/>
            <w:gridSpan w:val="2"/>
          </w:tcPr>
          <w:p>
            <w:pPr>
              <w:jc w:val="right"/>
              <w:ind w:right="340"/>
              <w:spacing w:after="0" w:line="158" w:lineRule="exact"/>
              <w:rPr>
                <w:sz w:val="20"/>
                <w:szCs w:val="20"/>
                <w:color w:val="auto"/>
              </w:rPr>
            </w:pPr>
            <w:r>
              <w:rPr>
                <w:rFonts w:ascii="Arial" w:cs="Arial" w:eastAsia="Arial" w:hAnsi="Arial"/>
                <w:sz w:val="15"/>
                <w:szCs w:val="15"/>
                <w:color w:val="auto"/>
                <w:w w:val="82"/>
              </w:rPr>
              <w:t>44.</w:t>
            </w:r>
            <w:r>
              <w:rPr>
                <w:rFonts w:ascii="Arial" w:cs="Arial" w:eastAsia="Arial" w:hAnsi="Arial"/>
                <w:sz w:val="15"/>
                <w:szCs w:val="15"/>
                <w:u w:val="single" w:color="auto"/>
                <w:color w:val="auto"/>
                <w:w w:val="82"/>
              </w:rPr>
              <w:t>0</w:t>
            </w:r>
          </w:p>
        </w:tc>
        <w:tc>
          <w:tcPr>
            <w:tcW w:w="10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43.</w:t>
            </w:r>
            <w:r>
              <w:rPr>
                <w:rFonts w:ascii="Arial" w:cs="Arial" w:eastAsia="Arial" w:hAnsi="Arial"/>
                <w:sz w:val="15"/>
                <w:szCs w:val="15"/>
                <w:u w:val="single" w:color="auto"/>
                <w:color w:val="auto"/>
              </w:rPr>
              <w:t>6</w:t>
            </w:r>
          </w:p>
        </w:tc>
        <w:tc>
          <w:tcPr>
            <w:tcW w:w="1660" w:type="dxa"/>
            <w:vAlign w:val="bottom"/>
            <w:gridSpan w:val="3"/>
          </w:tcPr>
          <w:p>
            <w:pPr>
              <w:jc w:val="right"/>
              <w:ind w:right="280"/>
              <w:spacing w:after="0" w:line="158" w:lineRule="exact"/>
              <w:rPr>
                <w:sz w:val="20"/>
                <w:szCs w:val="20"/>
                <w:color w:val="auto"/>
              </w:rPr>
            </w:pPr>
            <w:r>
              <w:rPr>
                <w:rFonts w:ascii="Arial" w:cs="Arial" w:eastAsia="Arial" w:hAnsi="Arial"/>
                <w:sz w:val="15"/>
                <w:szCs w:val="15"/>
                <w:color w:val="auto"/>
              </w:rPr>
              <w:t>46.</w:t>
            </w:r>
            <w:r>
              <w:rPr>
                <w:rFonts w:ascii="Arial" w:cs="Arial" w:eastAsia="Arial" w:hAnsi="Arial"/>
                <w:sz w:val="15"/>
                <w:szCs w:val="15"/>
                <w:u w:val="single" w:color="auto"/>
                <w:color w:val="auto"/>
              </w:rPr>
              <w:t>5</w:t>
            </w:r>
          </w:p>
        </w:tc>
        <w:tc>
          <w:tcPr>
            <w:tcW w:w="1340" w:type="dxa"/>
            <w:vAlign w:val="bottom"/>
            <w:gridSpan w:val="3"/>
          </w:tcPr>
          <w:p>
            <w:pPr>
              <w:jc w:val="right"/>
              <w:ind w:right="260"/>
              <w:spacing w:after="0" w:line="158" w:lineRule="exact"/>
              <w:rPr>
                <w:sz w:val="20"/>
                <w:szCs w:val="20"/>
                <w:color w:val="auto"/>
              </w:rPr>
            </w:pPr>
            <w:r>
              <w:rPr>
                <w:rFonts w:ascii="Arial" w:cs="Arial" w:eastAsia="Arial" w:hAnsi="Arial"/>
                <w:sz w:val="15"/>
                <w:szCs w:val="15"/>
                <w:color w:val="auto"/>
              </w:rPr>
              <w:t>6.</w:t>
            </w:r>
            <w:r>
              <w:rPr>
                <w:rFonts w:ascii="Arial" w:cs="Arial" w:eastAsia="Arial" w:hAnsi="Arial"/>
                <w:sz w:val="15"/>
                <w:szCs w:val="15"/>
                <w:u w:val="single" w:color="auto"/>
                <w:color w:val="auto"/>
              </w:rPr>
              <w:t>8%</w:t>
            </w:r>
          </w:p>
        </w:tc>
        <w:tc>
          <w:tcPr>
            <w:tcW w:w="112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5.</w:t>
            </w:r>
            <w:r>
              <w:rPr>
                <w:rFonts w:ascii="Arial" w:cs="Arial" w:eastAsia="Arial" w:hAnsi="Arial"/>
                <w:sz w:val="15"/>
                <w:szCs w:val="15"/>
                <w:u w:val="single" w:color="auto"/>
                <w:color w:val="auto"/>
              </w:rPr>
              <w:t>7%</w:t>
            </w:r>
          </w:p>
        </w:tc>
      </w:tr>
      <w:tr>
        <w:trPr>
          <w:trHeight w:val="20"/>
        </w:trPr>
        <w:tc>
          <w:tcPr>
            <w:tcW w:w="1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Net revenue from insurance activities</w:t>
            </w:r>
          </w:p>
        </w:tc>
        <w:tc>
          <w:tcPr>
            <w:tcW w:w="23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5"/>
                <w:szCs w:val="15"/>
                <w:b w:val="1"/>
                <w:bCs w:val="1"/>
                <w:color w:val="auto"/>
              </w:rPr>
              <w:t>15.8</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13.6</w:t>
            </w:r>
          </w:p>
        </w:tc>
        <w:tc>
          <w:tcPr>
            <w:tcW w:w="16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5"/>
                <w:szCs w:val="15"/>
                <w:b w:val="1"/>
                <w:bCs w:val="1"/>
                <w:color w:val="auto"/>
              </w:rPr>
              <w:t>8.7</w:t>
            </w:r>
          </w:p>
        </w:tc>
        <w:tc>
          <w:tcPr>
            <w:tcW w:w="13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5"/>
                <w:szCs w:val="15"/>
                <w:b w:val="1"/>
                <w:bCs w:val="1"/>
                <w:color w:val="auto"/>
              </w:rPr>
              <w:t>-35.8%</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-45.0%</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Although total insurance premiums rose by 4%, when comparing the 4Q05 to the 4Q04, net premiums and fees earned, as well as the underwriting results (net of claims and health costs) posted significant declines, reflecting lower competitiveness and profitability in the insurance business. Income from insurance activity therefore, dropped 35.8% compared to 3Q05, which is due mainly to an increase in claims in general and medical insurance.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I.3 OTHER NON-INTEREST EXPENSES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have been reclassified into a separate line item, with no effect on net income.</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Other non-interest expenses amounted to US$ 113.7 million for 4Q05, 45% lower than expenses for the same period of the previous year, and 11% lower with respect to expenses during 3Q05. This reduction resulted from reversing the provisions related to the value of the Credicorp stock which is the base for the stock appreciation rights that form part of management’s incentive plan, included under the heading ‘Other Expenses’. Excluding the effects resulting from the recent volatility of Peruvian stock prices caused by political events, expenses did increase, namely higher personnel expenses, due to the greater expansion of the business. However, as a whole, the strict cost-controls in the general and administrative expenses resulted in total expense reductions and the consequent improvement in Credicorp’s efficiency ratios.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Credicorp’s other expense components had the following variations: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4Q05 vs.</w:t>
            </w:r>
          </w:p>
        </w:tc>
        <w:tc>
          <w:tcPr>
            <w:tcW w:w="112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4Q05 vs.</w:t>
            </w:r>
          </w:p>
        </w:tc>
      </w:tr>
      <w:tr>
        <w:trPr>
          <w:trHeight w:val="175"/>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 change and US$ millions)</w:t>
            </w:r>
          </w:p>
        </w:tc>
        <w:tc>
          <w:tcPr>
            <w:tcW w:w="264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4Q04</w:t>
            </w:r>
          </w:p>
        </w:tc>
        <w:tc>
          <w:tcPr>
            <w:tcW w:w="138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3Q05</w:t>
            </w:r>
          </w:p>
        </w:tc>
        <w:tc>
          <w:tcPr>
            <w:tcW w:w="130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4Q05</w:t>
            </w:r>
          </w:p>
        </w:tc>
        <w:tc>
          <w:tcPr>
            <w:tcW w:w="136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3Q05</w:t>
            </w: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4Q04</w:t>
            </w:r>
          </w:p>
        </w:tc>
      </w:tr>
      <w:tr>
        <w:trPr>
          <w:trHeight w:val="160"/>
        </w:trPr>
        <w:tc>
          <w:tcPr>
            <w:tcW w:w="3620" w:type="dxa"/>
            <w:vAlign w:val="bottom"/>
          </w:tcPr>
          <w:p>
            <w:pPr>
              <w:spacing w:after="0" w:line="160" w:lineRule="exact"/>
              <w:rPr>
                <w:sz w:val="20"/>
                <w:szCs w:val="20"/>
                <w:color w:val="auto"/>
              </w:rPr>
            </w:pPr>
            <w:r>
              <w:rPr>
                <w:rFonts w:ascii="Arial" w:cs="Arial" w:eastAsia="Arial" w:hAnsi="Arial"/>
                <w:sz w:val="15"/>
                <w:szCs w:val="15"/>
                <w:color w:val="auto"/>
              </w:rPr>
              <w:t>Salaries and employee benefits</w:t>
            </w:r>
          </w:p>
        </w:tc>
        <w:tc>
          <w:tcPr>
            <w:tcW w:w="264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52.1</w:t>
            </w:r>
          </w:p>
        </w:tc>
        <w:tc>
          <w:tcPr>
            <w:tcW w:w="13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49.6</w:t>
            </w:r>
          </w:p>
        </w:tc>
        <w:tc>
          <w:tcPr>
            <w:tcW w:w="130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59.8</w:t>
            </w:r>
          </w:p>
        </w:tc>
        <w:tc>
          <w:tcPr>
            <w:tcW w:w="136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20.6%</w:t>
            </w:r>
          </w:p>
        </w:tc>
        <w:tc>
          <w:tcPr>
            <w:tcW w:w="1120" w:type="dxa"/>
            <w:vAlign w:val="bottom"/>
          </w:tcPr>
          <w:p>
            <w:pPr>
              <w:jc w:val="right"/>
              <w:spacing w:after="0" w:line="160" w:lineRule="exact"/>
              <w:rPr>
                <w:sz w:val="20"/>
                <w:szCs w:val="20"/>
                <w:color w:val="auto"/>
              </w:rPr>
            </w:pPr>
            <w:r>
              <w:rPr>
                <w:rFonts w:ascii="Arial" w:cs="Arial" w:eastAsia="Arial" w:hAnsi="Arial"/>
                <w:sz w:val="15"/>
                <w:szCs w:val="15"/>
                <w:color w:val="auto"/>
              </w:rPr>
              <w:t>14.7%</w:t>
            </w: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General, administrative, and taxes</w:t>
            </w:r>
          </w:p>
        </w:tc>
        <w:tc>
          <w:tcPr>
            <w:tcW w:w="26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44.2</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36.5</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35.6</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-2.6%</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-19.4%</w:t>
            </w: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26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11.6</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9.7</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9.5</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-2.9%</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-18.2%</w:t>
            </w: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Other</w:t>
            </w:r>
          </w:p>
        </w:tc>
        <w:tc>
          <w:tcPr>
            <w:tcW w:w="26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31.7</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32.4</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8.8</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-72.7%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-72.1%</w:t>
            </w:r>
          </w:p>
        </w:tc>
      </w:tr>
      <w:tr>
        <w:trPr>
          <w:trHeight w:val="188"/>
        </w:trPr>
        <w:tc>
          <w:tcPr>
            <w:tcW w:w="3620" w:type="dxa"/>
            <w:vAlign w:val="bottom"/>
          </w:tcPr>
          <w:p>
            <w:pPr>
              <w:spacing w:after="0"/>
              <w:rPr>
                <w:sz w:val="20"/>
                <w:szCs w:val="20"/>
                <w:color w:val="auto"/>
              </w:rPr>
            </w:pPr>
            <w:r>
              <w:rPr>
                <w:rFonts w:ascii="Arial" w:cs="Arial" w:eastAsia="Arial" w:hAnsi="Arial"/>
                <w:sz w:val="15"/>
                <w:szCs w:val="15"/>
                <w:color w:val="auto"/>
              </w:rPr>
              <w:t>Merger costs</w:t>
            </w:r>
          </w:p>
        </w:tc>
        <w:tc>
          <w:tcPr>
            <w:tcW w:w="2640" w:type="dxa"/>
            <w:vAlign w:val="bottom"/>
          </w:tcPr>
          <w:p>
            <w:pPr>
              <w:jc w:val="right"/>
              <w:ind w:right="266"/>
              <w:spacing w:after="0"/>
              <w:rPr>
                <w:sz w:val="20"/>
                <w:szCs w:val="20"/>
                <w:color w:val="auto"/>
              </w:rPr>
            </w:pPr>
            <w:r>
              <w:rPr>
                <w:rFonts w:ascii="Arial" w:cs="Arial" w:eastAsia="Arial" w:hAnsi="Arial"/>
                <w:sz w:val="15"/>
                <w:szCs w:val="15"/>
                <w:color w:val="auto"/>
              </w:rPr>
              <w:t>0.0</w:t>
            </w:r>
          </w:p>
        </w:tc>
        <w:tc>
          <w:tcPr>
            <w:tcW w:w="1380" w:type="dxa"/>
            <w:vAlign w:val="bottom"/>
          </w:tcPr>
          <w:p>
            <w:pPr>
              <w:jc w:val="right"/>
              <w:ind w:right="266"/>
              <w:spacing w:after="0"/>
              <w:rPr>
                <w:sz w:val="20"/>
                <w:szCs w:val="20"/>
                <w:color w:val="auto"/>
              </w:rPr>
            </w:pPr>
            <w:r>
              <w:rPr>
                <w:rFonts w:ascii="Arial" w:cs="Arial" w:eastAsia="Arial" w:hAnsi="Arial"/>
                <w:sz w:val="15"/>
                <w:szCs w:val="15"/>
                <w:color w:val="auto"/>
              </w:rPr>
              <w:t>0.0</w:t>
            </w:r>
          </w:p>
        </w:tc>
        <w:tc>
          <w:tcPr>
            <w:tcW w:w="1300" w:type="dxa"/>
            <w:vAlign w:val="bottom"/>
          </w:tcPr>
          <w:p>
            <w:pPr>
              <w:jc w:val="right"/>
              <w:ind w:right="186"/>
              <w:spacing w:after="0"/>
              <w:rPr>
                <w:sz w:val="20"/>
                <w:szCs w:val="20"/>
                <w:color w:val="auto"/>
              </w:rPr>
            </w:pPr>
            <w:r>
              <w:rPr>
                <w:rFonts w:ascii="Arial" w:cs="Arial" w:eastAsia="Arial" w:hAnsi="Arial"/>
                <w:sz w:val="15"/>
                <w:szCs w:val="15"/>
                <w:color w:val="auto"/>
              </w:rPr>
              <w:t>0.0</w:t>
            </w:r>
          </w:p>
        </w:tc>
        <w:tc>
          <w:tcPr>
            <w:tcW w:w="1360" w:type="dxa"/>
            <w:vAlign w:val="bottom"/>
          </w:tcPr>
          <w:p>
            <w:pPr>
              <w:jc w:val="right"/>
              <w:ind w:right="186"/>
              <w:spacing w:after="0"/>
              <w:rPr>
                <w:sz w:val="20"/>
                <w:szCs w:val="20"/>
                <w:color w:val="auto"/>
              </w:rPr>
            </w:pPr>
            <w:r>
              <w:rPr>
                <w:rFonts w:ascii="Arial" w:cs="Arial" w:eastAsia="Arial" w:hAnsi="Arial"/>
                <w:sz w:val="15"/>
                <w:szCs w:val="15"/>
                <w:color w:val="auto"/>
              </w:rPr>
              <w:t>N/A</w:t>
            </w:r>
          </w:p>
        </w:tc>
        <w:tc>
          <w:tcPr>
            <w:tcW w:w="112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307"/>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Other Expenses</w:t>
            </w:r>
          </w:p>
        </w:tc>
        <w:tc>
          <w:tcPr>
            <w:tcW w:w="26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139.5</w:t>
            </w:r>
          </w:p>
        </w:tc>
        <w:tc>
          <w:tcPr>
            <w:tcW w:w="13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128.2</w:t>
            </w:r>
          </w:p>
        </w:tc>
        <w:tc>
          <w:tcPr>
            <w:tcW w:w="13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113.7</w:t>
            </w:r>
          </w:p>
        </w:tc>
        <w:tc>
          <w:tcPr>
            <w:tcW w:w="1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-18.5%</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Note</w:t>
      </w:r>
      <w:r>
        <w:rPr>
          <w:rFonts w:ascii="Arial" w:cs="Arial" w:eastAsia="Arial" w:hAnsi="Arial"/>
          <w:sz w:val="22"/>
          <w:szCs w:val="22"/>
          <w:color w:val="auto"/>
        </w:rPr>
        <w:t xml:space="preserve"> : Starting with 2005 reports, the determination of the </w:t>
      </w:r>
      <w:r>
        <w:rPr>
          <w:rFonts w:ascii="Arial" w:cs="Arial" w:eastAsia="Arial" w:hAnsi="Arial"/>
          <w:sz w:val="22"/>
          <w:szCs w:val="22"/>
          <w:b w:val="1"/>
          <w:bCs w:val="1"/>
          <w:color w:val="auto"/>
        </w:rPr>
        <w:t>efficiency ratio</w:t>
      </w:r>
      <w:r>
        <w:rPr>
          <w:rFonts w:ascii="Arial" w:cs="Arial" w:eastAsia="Arial" w:hAnsi="Arial"/>
          <w:sz w:val="22"/>
          <w:szCs w:val="22"/>
          <w:color w:val="auto"/>
        </w:rPr>
        <w:t xml:space="preserve"> has been simplified by using only specific line items that are shown in the income statement (see Table No. 2). Additionally, the reclassifications noted at the beginning of this section affected the ratio. The efficiency ratio will be determined based on the following concepts:</w:t>
      </w:r>
    </w:p>
    <w:p>
      <w:pPr>
        <w:spacing w:after="0" w:line="1" w:lineRule="exact"/>
        <w:rPr>
          <w:sz w:val="20"/>
          <w:szCs w:val="20"/>
          <w:color w:val="auto"/>
        </w:rPr>
      </w:pPr>
    </w:p>
    <w:p>
      <w:pPr>
        <w:ind w:right="20" w:firstLine="8"/>
        <w:spacing w:after="0" w:line="230" w:lineRule="auto"/>
        <w:tabs>
          <w:tab w:leader="none" w:pos="152" w:val="left"/>
        </w:tabs>
        <w:numPr>
          <w:ilvl w:val="0"/>
          <w:numId w:val="3"/>
        </w:numPr>
        <w:rPr>
          <w:rFonts w:ascii="Arial" w:cs="Arial" w:eastAsia="Arial" w:hAnsi="Arial"/>
          <w:sz w:val="22"/>
          <w:szCs w:val="22"/>
          <w:color w:val="auto"/>
        </w:rPr>
      </w:pPr>
      <w:r>
        <w:rPr>
          <w:rFonts w:ascii="Arial" w:cs="Arial" w:eastAsia="Arial" w:hAnsi="Arial"/>
          <w:sz w:val="22"/>
          <w:szCs w:val="22"/>
          <w:color w:val="auto"/>
        </w:rPr>
        <w:t>- In the numerator or “operating expenses”: i) salaries and personnel expenses, ii) general expenses, and iii) depreciation and amortization.</w:t>
      </w:r>
    </w:p>
    <w:p>
      <w:pPr>
        <w:spacing w:after="0" w:line="1" w:lineRule="exact"/>
        <w:rPr>
          <w:rFonts w:ascii="Arial" w:cs="Arial" w:eastAsia="Arial" w:hAnsi="Arial"/>
          <w:sz w:val="22"/>
          <w:szCs w:val="22"/>
          <w:color w:val="auto"/>
        </w:rPr>
      </w:pPr>
    </w:p>
    <w:p>
      <w:pPr>
        <w:ind w:right="20" w:firstLine="8"/>
        <w:spacing w:after="0" w:line="237" w:lineRule="auto"/>
        <w:tabs>
          <w:tab w:leader="none" w:pos="169" w:val="left"/>
        </w:tabs>
        <w:numPr>
          <w:ilvl w:val="0"/>
          <w:numId w:val="3"/>
        </w:numPr>
        <w:rPr>
          <w:rFonts w:ascii="Arial" w:cs="Arial" w:eastAsia="Arial" w:hAnsi="Arial"/>
          <w:sz w:val="22"/>
          <w:szCs w:val="22"/>
          <w:color w:val="auto"/>
        </w:rPr>
      </w:pPr>
      <w:r>
        <w:rPr>
          <w:rFonts w:ascii="Arial" w:cs="Arial" w:eastAsia="Arial" w:hAnsi="Arial"/>
          <w:sz w:val="22"/>
          <w:szCs w:val="22"/>
          <w:color w:val="auto"/>
        </w:rPr>
        <w:t>- In the denominator: i) net interest income, ii) fees and commissions on banking services, iii) gains on foreign exchange transactions, and iv) net premiums earned.</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Thus </w:t>
      </w:r>
      <w:r>
        <w:rPr>
          <w:rFonts w:ascii="Arial" w:cs="Arial" w:eastAsia="Arial" w:hAnsi="Arial"/>
          <w:sz w:val="22"/>
          <w:szCs w:val="22"/>
          <w:b w:val="1"/>
          <w:bCs w:val="1"/>
          <w:color w:val="auto"/>
        </w:rPr>
        <w:t>the efficiency ratio</w:t>
      </w:r>
      <w:r>
        <w:rPr>
          <w:rFonts w:ascii="Arial" w:cs="Arial" w:eastAsia="Arial" w:hAnsi="Arial"/>
          <w:sz w:val="22"/>
          <w:szCs w:val="22"/>
          <w:color w:val="auto"/>
        </w:rPr>
        <w:t xml:space="preserve"> improves from 48.6% to 42.9%, comparing results for the years 2004 and 2005, respectively; while operating expenses, as a percentage of average total assets, improved from 4.5% in 2004 to 4.0% in 2005. These numbers surpass the Company’s internal targets for the year.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I.4 ASSETS AND LIABILITIES</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 xml:space="preserve">Credicorp’s </w:t>
      </w:r>
      <w:r>
        <w:rPr>
          <w:rFonts w:ascii="Arial" w:cs="Arial" w:eastAsia="Arial" w:hAnsi="Arial"/>
          <w:sz w:val="19"/>
          <w:szCs w:val="19"/>
          <w:b w:val="1"/>
          <w:bCs w:val="1"/>
          <w:color w:val="auto"/>
        </w:rPr>
        <w:t>total assets</w:t>
      </w:r>
      <w:r>
        <w:rPr>
          <w:rFonts w:ascii="Arial" w:cs="Arial" w:eastAsia="Arial" w:hAnsi="Arial"/>
          <w:sz w:val="19"/>
          <w:szCs w:val="19"/>
          <w:color w:val="auto"/>
        </w:rPr>
        <w:t xml:space="preserve"> indicate the strong expansion of the businesses. Total assets reached US$ 11.050 billion as of December 31, 2005, increasing 21.1% compared with the same period of 2004, and 12.7% with respect to the period ended September 30, 2005. As noted in interest income, the strongest growth in the year’s fourth quarter is reported mainly in the investment portfolio, growing 32.5%, and its deposits&amp;cash position, up 45% during 2005. This unusual growth in deposits&amp;cash is the result of a heavy position in US dollars acquired to cover the exposure related to the sale of dollars "forward" due to demand from corporate customers in the face of the exchange-rate volatility during December, as a result of political events.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Although the investment portfolio posted the highest growth rate and, during 4Q05, the corporate portfolio indicated a reactivation in the growth rate, for the twelve month period, it was BCP’s strategy of focusing on the retail segments that led to solid results and loan growth.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22"/>
          <w:szCs w:val="22"/>
          <w:b w:val="1"/>
          <w:bCs w:val="1"/>
          <w:color w:val="auto"/>
        </w:rPr>
        <w:t xml:space="preserve">Total loans </w:t>
      </w:r>
      <w:r>
        <w:rPr>
          <w:rFonts w:ascii="Arial" w:cs="Arial" w:eastAsia="Arial" w:hAnsi="Arial"/>
          <w:sz w:val="22"/>
          <w:szCs w:val="22"/>
          <w:color w:val="auto"/>
        </w:rPr>
        <w:t>at the end of December 2005 were US$ 5.014 billion, 9.3% greater that the balance at December 2004, and 7.8%</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greater that at the end of the previous quarter. Interestingly however, </w:t>
      </w:r>
      <w:r>
        <w:rPr>
          <w:rFonts w:ascii="Arial" w:cs="Arial" w:eastAsia="Arial" w:hAnsi="Arial"/>
          <w:sz w:val="22"/>
          <w:szCs w:val="22"/>
          <w:b w:val="1"/>
          <w:bCs w:val="1"/>
          <w:u w:val="single" w:color="auto"/>
          <w:color w:val="auto"/>
        </w:rPr>
        <w:t>net</w:t>
      </w:r>
      <w:r>
        <w:rPr>
          <w:rFonts w:ascii="Arial" w:cs="Arial" w:eastAsia="Arial" w:hAnsi="Arial"/>
          <w:sz w:val="22"/>
          <w:szCs w:val="22"/>
          <w:color w:val="auto"/>
        </w:rPr>
        <w:t xml:space="preserve"> loans rose at a better rate of 11.12%, thanks to a significant improvement in portfolio quality following the reactivation and continuous growth in the Peruvian economy, as well as the credit policies put into practice. This led to a reduction in past due loans and the reserves for bad loans in portfolio, with a consequent improvement in the portfolio quality ratios.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portfolio quality indicators show the following trend: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(In US$ millions)</w:t>
            </w:r>
          </w:p>
        </w:tc>
        <w:tc>
          <w:tcPr>
            <w:tcW w:w="420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31.12.04</w:t>
            </w:r>
          </w:p>
        </w:tc>
        <w:tc>
          <w:tcPr>
            <w:tcW w:w="172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30.09.05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31.12.05</w:t>
            </w: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4200" w:type="dxa"/>
            <w:vAlign w:val="bottom"/>
          </w:tcPr>
          <w:p>
            <w:pPr>
              <w:jc w:val="right"/>
              <w:ind w:right="526"/>
              <w:spacing w:after="0" w:line="160" w:lineRule="exact"/>
              <w:rPr>
                <w:sz w:val="20"/>
                <w:szCs w:val="20"/>
                <w:color w:val="auto"/>
              </w:rPr>
            </w:pPr>
            <w:r>
              <w:rPr>
                <w:rFonts w:ascii="Arial" w:cs="Arial" w:eastAsia="Arial" w:hAnsi="Arial"/>
                <w:sz w:val="15"/>
                <w:szCs w:val="15"/>
                <w:color w:val="auto"/>
              </w:rPr>
              <w:t>4,588.0</w:t>
            </w:r>
          </w:p>
        </w:tc>
        <w:tc>
          <w:tcPr>
            <w:tcW w:w="1720" w:type="dxa"/>
            <w:vAlign w:val="bottom"/>
          </w:tcPr>
          <w:p>
            <w:pPr>
              <w:jc w:val="right"/>
              <w:ind w:right="526"/>
              <w:spacing w:after="0" w:line="160" w:lineRule="exact"/>
              <w:rPr>
                <w:sz w:val="20"/>
                <w:szCs w:val="20"/>
                <w:color w:val="auto"/>
              </w:rPr>
            </w:pPr>
            <w:r>
              <w:rPr>
                <w:rFonts w:ascii="Arial" w:cs="Arial" w:eastAsia="Arial" w:hAnsi="Arial"/>
                <w:sz w:val="15"/>
                <w:szCs w:val="15"/>
                <w:color w:val="auto"/>
              </w:rPr>
              <w:t>4,651.3</w:t>
            </w: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5,014.3</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Past due loans</w:t>
            </w:r>
          </w:p>
        </w:tc>
        <w:tc>
          <w:tcPr>
            <w:tcW w:w="420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160.4</w:t>
            </w:r>
          </w:p>
        </w:tc>
        <w:tc>
          <w:tcPr>
            <w:tcW w:w="17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117.7</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97.4</w:t>
            </w:r>
          </w:p>
        </w:tc>
      </w:tr>
      <w:tr>
        <w:trPr>
          <w:trHeight w:val="188"/>
        </w:trPr>
        <w:tc>
          <w:tcPr>
            <w:tcW w:w="4360" w:type="dxa"/>
            <w:vAlign w:val="bottom"/>
          </w:tcPr>
          <w:p>
            <w:pPr>
              <w:spacing w:after="0"/>
              <w:rPr>
                <w:sz w:val="20"/>
                <w:szCs w:val="20"/>
                <w:color w:val="auto"/>
              </w:rPr>
            </w:pPr>
            <w:r>
              <w:rPr>
                <w:rFonts w:ascii="Arial" w:cs="Arial" w:eastAsia="Arial" w:hAnsi="Arial"/>
                <w:sz w:val="15"/>
                <w:szCs w:val="15"/>
                <w:color w:val="auto"/>
              </w:rPr>
              <w:t>Loan loss reserves(1)</w:t>
            </w:r>
          </w:p>
        </w:tc>
        <w:tc>
          <w:tcPr>
            <w:tcW w:w="4200" w:type="dxa"/>
            <w:vAlign w:val="bottom"/>
          </w:tcPr>
          <w:p>
            <w:pPr>
              <w:jc w:val="right"/>
              <w:ind w:right="526"/>
              <w:spacing w:after="0"/>
              <w:rPr>
                <w:sz w:val="20"/>
                <w:szCs w:val="20"/>
                <w:color w:val="auto"/>
              </w:rPr>
            </w:pPr>
            <w:r>
              <w:rPr>
                <w:rFonts w:ascii="Arial" w:cs="Arial" w:eastAsia="Arial" w:hAnsi="Arial"/>
                <w:sz w:val="15"/>
                <w:szCs w:val="15"/>
                <w:color w:val="auto"/>
              </w:rPr>
              <w:t>253.4</w:t>
            </w:r>
          </w:p>
        </w:tc>
        <w:tc>
          <w:tcPr>
            <w:tcW w:w="1720" w:type="dxa"/>
            <w:vAlign w:val="bottom"/>
          </w:tcPr>
          <w:p>
            <w:pPr>
              <w:jc w:val="right"/>
              <w:ind w:right="526"/>
              <w:spacing w:after="0"/>
              <w:rPr>
                <w:sz w:val="20"/>
                <w:szCs w:val="20"/>
                <w:color w:val="auto"/>
              </w:rPr>
            </w:pPr>
            <w:r>
              <w:rPr>
                <w:rFonts w:ascii="Arial" w:cs="Arial" w:eastAsia="Arial" w:hAnsi="Arial"/>
                <w:sz w:val="15"/>
                <w:szCs w:val="15"/>
                <w:color w:val="auto"/>
              </w:rPr>
              <w:t>203.0</w:t>
            </w:r>
          </w:p>
        </w:tc>
        <w:tc>
          <w:tcPr>
            <w:tcW w:w="1140" w:type="dxa"/>
            <w:vAlign w:val="bottom"/>
          </w:tcPr>
          <w:p>
            <w:pPr>
              <w:jc w:val="right"/>
              <w:spacing w:after="0"/>
              <w:rPr>
                <w:sz w:val="20"/>
                <w:szCs w:val="20"/>
                <w:color w:val="auto"/>
              </w:rPr>
            </w:pPr>
            <w:r>
              <w:rPr>
                <w:rFonts w:ascii="Arial" w:cs="Arial" w:eastAsia="Arial" w:hAnsi="Arial"/>
                <w:sz w:val="15"/>
                <w:szCs w:val="15"/>
                <w:color w:val="auto"/>
              </w:rPr>
              <w:t>197.5</w:t>
            </w:r>
          </w:p>
        </w:tc>
      </w:tr>
      <w:tr>
        <w:trPr>
          <w:trHeight w:val="298"/>
        </w:trPr>
        <w:tc>
          <w:tcPr>
            <w:tcW w:w="4360" w:type="dxa"/>
            <w:vAlign w:val="bottom"/>
          </w:tcPr>
          <w:p>
            <w:pPr>
              <w:spacing w:after="0"/>
              <w:rPr>
                <w:sz w:val="20"/>
                <w:szCs w:val="20"/>
                <w:color w:val="auto"/>
              </w:rPr>
            </w:pPr>
            <w:r>
              <w:rPr>
                <w:rFonts w:ascii="Arial" w:cs="Arial" w:eastAsia="Arial" w:hAnsi="Arial"/>
                <w:sz w:val="15"/>
                <w:szCs w:val="15"/>
                <w:color w:val="auto"/>
              </w:rPr>
              <w:t>Past due / Total loans</w:t>
            </w:r>
          </w:p>
        </w:tc>
        <w:tc>
          <w:tcPr>
            <w:tcW w:w="4200" w:type="dxa"/>
            <w:vAlign w:val="bottom"/>
          </w:tcPr>
          <w:p>
            <w:pPr>
              <w:jc w:val="right"/>
              <w:ind w:right="526"/>
              <w:spacing w:after="0"/>
              <w:rPr>
                <w:sz w:val="20"/>
                <w:szCs w:val="20"/>
                <w:color w:val="auto"/>
              </w:rPr>
            </w:pPr>
            <w:r>
              <w:rPr>
                <w:rFonts w:ascii="Arial" w:cs="Arial" w:eastAsia="Arial" w:hAnsi="Arial"/>
                <w:sz w:val="15"/>
                <w:szCs w:val="15"/>
                <w:color w:val="auto"/>
              </w:rPr>
              <w:t>3.5%</w:t>
            </w:r>
          </w:p>
        </w:tc>
        <w:tc>
          <w:tcPr>
            <w:tcW w:w="1720" w:type="dxa"/>
            <w:vAlign w:val="bottom"/>
          </w:tcPr>
          <w:p>
            <w:pPr>
              <w:jc w:val="right"/>
              <w:ind w:right="526"/>
              <w:spacing w:after="0"/>
              <w:rPr>
                <w:sz w:val="20"/>
                <w:szCs w:val="20"/>
                <w:color w:val="auto"/>
              </w:rPr>
            </w:pPr>
            <w:r>
              <w:rPr>
                <w:rFonts w:ascii="Arial" w:cs="Arial" w:eastAsia="Arial" w:hAnsi="Arial"/>
                <w:sz w:val="15"/>
                <w:szCs w:val="15"/>
                <w:color w:val="auto"/>
              </w:rPr>
              <w:t>2.5%</w:t>
            </w:r>
          </w:p>
        </w:tc>
        <w:tc>
          <w:tcPr>
            <w:tcW w:w="11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71"/>
        </w:trPr>
        <w:tc>
          <w:tcPr>
            <w:tcW w:w="43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Reserves / Past due</w:t>
            </w:r>
          </w:p>
        </w:tc>
        <w:tc>
          <w:tcPr>
            <w:tcW w:w="4200" w:type="dxa"/>
            <w:vAlign w:val="bottom"/>
            <w:tcBorders>
              <w:bottom w:val="single" w:sz="8" w:color="auto"/>
            </w:tcBorders>
          </w:tcPr>
          <w:p>
            <w:pPr>
              <w:jc w:val="right"/>
              <w:ind w:right="526"/>
              <w:spacing w:after="0" w:line="172" w:lineRule="exact"/>
              <w:rPr>
                <w:sz w:val="20"/>
                <w:szCs w:val="20"/>
                <w:color w:val="auto"/>
              </w:rPr>
            </w:pPr>
            <w:r>
              <w:rPr>
                <w:rFonts w:ascii="Arial" w:cs="Arial" w:eastAsia="Arial" w:hAnsi="Arial"/>
                <w:sz w:val="15"/>
                <w:szCs w:val="15"/>
                <w:color w:val="auto"/>
              </w:rPr>
              <w:t>158.0%</w:t>
            </w:r>
          </w:p>
        </w:tc>
        <w:tc>
          <w:tcPr>
            <w:tcW w:w="1720" w:type="dxa"/>
            <w:vAlign w:val="bottom"/>
            <w:tcBorders>
              <w:bottom w:val="single" w:sz="8" w:color="auto"/>
            </w:tcBorders>
          </w:tcPr>
          <w:p>
            <w:pPr>
              <w:jc w:val="right"/>
              <w:ind w:right="526"/>
              <w:spacing w:after="0" w:line="172" w:lineRule="exact"/>
              <w:rPr>
                <w:sz w:val="20"/>
                <w:szCs w:val="20"/>
                <w:color w:val="auto"/>
              </w:rPr>
            </w:pPr>
            <w:r>
              <w:rPr>
                <w:rFonts w:ascii="Arial" w:cs="Arial" w:eastAsia="Arial" w:hAnsi="Arial"/>
                <w:sz w:val="15"/>
                <w:szCs w:val="15"/>
                <w:color w:val="auto"/>
              </w:rPr>
              <w:t>172.4%</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202.8%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Past due loans </w:t>
      </w:r>
      <w:r>
        <w:rPr>
          <w:rFonts w:ascii="Arial" w:cs="Arial" w:eastAsia="Arial" w:hAnsi="Arial"/>
          <w:sz w:val="21"/>
          <w:szCs w:val="21"/>
          <w:color w:val="auto"/>
        </w:rPr>
        <w:t>were reduced by 39.2% and provisions by 22% during the present year, reaching very satisfactory levels.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This growth in the Credicorp asset portfolio is accompanied by an also sound growth in liabilities, since the least expensive liabilities, </w:t>
      </w:r>
      <w:r>
        <w:rPr>
          <w:rFonts w:ascii="Arial" w:cs="Arial" w:eastAsia="Arial" w:hAnsi="Arial"/>
          <w:sz w:val="21"/>
          <w:szCs w:val="21"/>
          <w:b w:val="1"/>
          <w:bCs w:val="1"/>
          <w:color w:val="auto"/>
        </w:rPr>
        <w:t>deposits</w:t>
      </w:r>
      <w:r>
        <w:rPr>
          <w:rFonts w:ascii="Arial" w:cs="Arial" w:eastAsia="Arial" w:hAnsi="Arial"/>
          <w:sz w:val="21"/>
          <w:szCs w:val="21"/>
          <w:color w:val="auto"/>
        </w:rPr>
        <w:t>, support the expansion in loans, growing on par with loans at a rate of 11.9% . Customer deposits as of December 2005, therefore show a balance of US$ 7.093 billion, also rising 5.5% with respect to the previous quarter. The amounts owed to banks and correspondent banks show a jump that almost triples the balance as of December 2004, since they include US$ 510 million in “repos” (repurchase contracts) with the Central Bank arranged to finance the coverage of US Dollar forward-sale operations, which is also reflected in Credicorp’s assets.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Credicorp’s net equity amounted to US$ 1.190 billion at the close of December 2005, increasing 11.8% compared to equity at December 2004. This equity level indicates a high capitalization, reaching a regulatory capital / risk-weighted asset ratio of 13.2%, well above the minimums recommended by the Superintendent of Banking and Insurance (9.1%) and those recommended internationally by the Basel I Standards (8%).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II. BANCO DE CREDITO DEL PERU and SUBSIDIARIES (BCP)</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II.1 NET INCOME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the financial statements prepared according to IFRS rules and in U.S. Dollars, consolidated net income for 2005 reflects a significant recovery in BCP’s capacity to generate income. Net income for the year was US$ 184.2 million, 58.7% greater than the US$ 116.1 million obtained in the 2004 period. 4Q05 net income confirms the sustained improvement, reaching US$ 47.8 million, 74.3% greater that the US$ 27.4 million obtained in the same quarter of 2004, and 2.5% higher than the US$ 46.6 million in 3Q05.</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unprecedented growth in accumulated earnings and for the fourth quarter of 2005, with respect to earnings for the respective 2004 periods, is the result of a well-focused business strategy that led to significant improvement both in generating interest income (22% annual and 17% 4Q05/4Q04 growth) and in non-interest income (18% annual and 23.5% 4Q05/4Q04 growth) including exchange operations as well as gains obtained from the sale of securities.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Although 4Q05 saw absolute growth in loans driven by the corporate and middle market segments, those that have the greatest weight in the portfolio’s composition and which showed a significant reactivation during the latest quarter, in general terms, the engine powering this growth in financial income throughout the year, was the rise in loan volume, led by the most profitable segments, such as retail banking and SME, which grew at a rate of 27% for the year, and the income growth generated by fees for BCP’s transactional services. Overall, throughout the year there was a total growth of 17.8% in loans and approximately 11% in fee income. Net loans (i.e. performing loans), however, show an even better growth rate of 20% for the year.</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fourth quarter was affected by higher exchange rates, leading to a conversion loss of US$ 5.4 million compared with the loss of US$ 0.6 million in the fourth quarter of 2004. For the same reason, the result for conversion for the year was a loss of US$ 9.8 million, compared with the gain of US$ 0.7 million in 2004.</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major increase in income generation throughout BCP’s business lines was achieved without increasing operating expenses, as a result of strict internal cost controls, which posted a decrease in the quarterly comparison and remained stable in the accumulated figures for 2005.</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strong loans growth achieved during the year was accompanied by an improvement in portfolio quality, with the past due ratio declining to 1.9% in December 2005, and past due coverage increasing to 208%, reflecting sound growth. This significant improvement in portfolio quality allows not only the reduction of the expense of loan loss provisions, which decreased by 21% for the year (from US$ 36.1 million in 2004 to US$ 28.6 million in 2005), but along with good loan recovery it also led to a reversal of prior provisions and recoveries in the charge-off portfolio, generating significant extraordinary income of approximately US$ 28.5 million.</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above contributed to BCP’s excellent results in both 4Q05 and for the full year 2005. This is clearly reflected in the profitability ratios reached - an outstanding return on equity of 22.9%, much higher than the 17.1% obtained in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RESULTS (1)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U.S.$ millions, except net income per share)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0"/>
              </w:rPr>
              <w:t>Three months ended</w:t>
            </w:r>
          </w:p>
        </w:tc>
        <w:tc>
          <w:tcPr>
            <w:tcW w:w="10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80" w:type="dxa"/>
            <w:vAlign w:val="bottom"/>
            <w:tcBorders>
              <w:top w:val="single" w:sz="8" w:color="auto"/>
              <w:bottom w:val="single" w:sz="8" w:color="auto"/>
            </w:tcBorders>
            <w:gridSpan w:val="2"/>
          </w:tcPr>
          <w:p>
            <w:pPr>
              <w:jc w:val="right"/>
              <w:ind w:right="506"/>
              <w:spacing w:after="0"/>
              <w:rPr>
                <w:sz w:val="20"/>
                <w:szCs w:val="20"/>
                <w:color w:val="auto"/>
              </w:rPr>
            </w:pPr>
            <w:r>
              <w:rPr>
                <w:rFonts w:ascii="Arial" w:cs="Arial" w:eastAsia="Arial" w:hAnsi="Arial"/>
                <w:sz w:val="15"/>
                <w:szCs w:val="15"/>
                <w:b w:val="1"/>
                <w:bCs w:val="1"/>
                <w:color w:val="auto"/>
              </w:rPr>
              <w:t>Twelve months ended</w:t>
            </w:r>
          </w:p>
        </w:tc>
      </w:tr>
      <w:tr>
        <w:trPr>
          <w:trHeight w:val="169"/>
        </w:trPr>
        <w:tc>
          <w:tcPr>
            <w:tcW w:w="4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26"/>
              <w:spacing w:after="0" w:line="169" w:lineRule="exact"/>
              <w:rPr>
                <w:sz w:val="20"/>
                <w:szCs w:val="20"/>
                <w:color w:val="auto"/>
              </w:rPr>
            </w:pPr>
            <w:r>
              <w:rPr>
                <w:rFonts w:ascii="Arial" w:cs="Arial" w:eastAsia="Arial" w:hAnsi="Arial"/>
                <w:sz w:val="15"/>
                <w:szCs w:val="15"/>
                <w:b w:val="1"/>
                <w:bCs w:val="1"/>
                <w:color w:val="auto"/>
              </w:rPr>
              <w:t>31.12.04</w:t>
            </w:r>
          </w:p>
        </w:tc>
        <w:tc>
          <w:tcPr>
            <w:tcW w:w="1600" w:type="dxa"/>
            <w:vAlign w:val="bottom"/>
            <w:tcBorders>
              <w:bottom w:val="single" w:sz="8" w:color="auto"/>
            </w:tcBorders>
          </w:tcPr>
          <w:p>
            <w:pPr>
              <w:jc w:val="right"/>
              <w:ind w:right="566"/>
              <w:spacing w:after="0" w:line="169" w:lineRule="exact"/>
              <w:rPr>
                <w:sz w:val="20"/>
                <w:szCs w:val="20"/>
                <w:color w:val="auto"/>
              </w:rPr>
            </w:pPr>
            <w:r>
              <w:rPr>
                <w:rFonts w:ascii="Arial" w:cs="Arial" w:eastAsia="Arial" w:hAnsi="Arial"/>
                <w:sz w:val="15"/>
                <w:szCs w:val="15"/>
                <w:b w:val="1"/>
                <w:bCs w:val="1"/>
                <w:color w:val="auto"/>
              </w:rPr>
              <w:t>30.09.05</w:t>
            </w:r>
          </w:p>
        </w:tc>
        <w:tc>
          <w:tcPr>
            <w:tcW w:w="108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31.12.05</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86"/>
              <w:spacing w:after="0" w:line="169" w:lineRule="exact"/>
              <w:rPr>
                <w:sz w:val="20"/>
                <w:szCs w:val="20"/>
                <w:color w:val="auto"/>
              </w:rPr>
            </w:pPr>
            <w:r>
              <w:rPr>
                <w:rFonts w:ascii="Arial" w:cs="Arial" w:eastAsia="Arial" w:hAnsi="Arial"/>
                <w:sz w:val="15"/>
                <w:szCs w:val="15"/>
                <w:b w:val="1"/>
                <w:bCs w:val="1"/>
                <w:color w:val="auto"/>
              </w:rPr>
              <w:t>31.12.04</w:t>
            </w: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31.12.05</w:t>
            </w:r>
          </w:p>
        </w:tc>
      </w:tr>
      <w:tr>
        <w:trPr>
          <w:trHeight w:val="322"/>
        </w:trPr>
        <w:tc>
          <w:tcPr>
            <w:tcW w:w="4820" w:type="dxa"/>
            <w:vAlign w:val="bottom"/>
          </w:tcPr>
          <w:p>
            <w:pPr>
              <w:spacing w:after="0"/>
              <w:rPr>
                <w:sz w:val="20"/>
                <w:szCs w:val="20"/>
                <w:color w:val="auto"/>
              </w:rPr>
            </w:pPr>
            <w:r>
              <w:rPr>
                <w:rFonts w:ascii="Arial" w:cs="Arial" w:eastAsia="Arial" w:hAnsi="Arial"/>
                <w:sz w:val="15"/>
                <w:szCs w:val="15"/>
                <w:color w:val="auto"/>
              </w:rPr>
              <w:t>Net interest income</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87.1</w:t>
            </w:r>
          </w:p>
        </w:tc>
        <w:tc>
          <w:tcPr>
            <w:tcW w:w="1600" w:type="dxa"/>
            <w:vAlign w:val="bottom"/>
          </w:tcPr>
          <w:p>
            <w:pPr>
              <w:jc w:val="right"/>
              <w:ind w:right="266"/>
              <w:spacing w:after="0"/>
              <w:rPr>
                <w:sz w:val="20"/>
                <w:szCs w:val="20"/>
                <w:color w:val="auto"/>
              </w:rPr>
            </w:pPr>
            <w:r>
              <w:rPr>
                <w:rFonts w:ascii="Arial" w:cs="Arial" w:eastAsia="Arial" w:hAnsi="Arial"/>
                <w:sz w:val="15"/>
                <w:szCs w:val="15"/>
                <w:color w:val="auto"/>
              </w:rPr>
              <w:t>100.1</w:t>
            </w:r>
          </w:p>
        </w:tc>
        <w:tc>
          <w:tcPr>
            <w:tcW w:w="1080" w:type="dxa"/>
            <w:vAlign w:val="bottom"/>
          </w:tcPr>
          <w:p>
            <w:pPr>
              <w:jc w:val="right"/>
              <w:spacing w:after="0"/>
              <w:rPr>
                <w:sz w:val="20"/>
                <w:szCs w:val="20"/>
                <w:color w:val="auto"/>
              </w:rPr>
            </w:pPr>
            <w:r>
              <w:rPr>
                <w:rFonts w:ascii="Arial" w:cs="Arial" w:eastAsia="Arial" w:hAnsi="Arial"/>
                <w:sz w:val="15"/>
                <w:szCs w:val="15"/>
                <w:color w:val="auto"/>
              </w:rPr>
              <w:t>102.3</w:t>
            </w:r>
          </w:p>
        </w:tc>
        <w:tc>
          <w:tcPr>
            <w:tcW w:w="220" w:type="dxa"/>
            <w:vAlign w:val="bottom"/>
          </w:tcPr>
          <w:p>
            <w:pPr>
              <w:spacing w:after="0"/>
              <w:rPr>
                <w:sz w:val="24"/>
                <w:szCs w:val="24"/>
                <w:color w:val="auto"/>
              </w:rPr>
            </w:pPr>
          </w:p>
        </w:tc>
        <w:tc>
          <w:tcPr>
            <w:tcW w:w="1360" w:type="dxa"/>
            <w:vAlign w:val="bottom"/>
          </w:tcPr>
          <w:p>
            <w:pPr>
              <w:jc w:val="right"/>
              <w:ind w:right="186"/>
              <w:spacing w:after="0"/>
              <w:rPr>
                <w:sz w:val="20"/>
                <w:szCs w:val="20"/>
                <w:color w:val="auto"/>
              </w:rPr>
            </w:pPr>
            <w:r>
              <w:rPr>
                <w:rFonts w:ascii="Arial" w:cs="Arial" w:eastAsia="Arial" w:hAnsi="Arial"/>
                <w:sz w:val="15"/>
                <w:szCs w:val="15"/>
                <w:color w:val="auto"/>
              </w:rPr>
              <w:t>315.1</w:t>
            </w:r>
          </w:p>
        </w:tc>
        <w:tc>
          <w:tcPr>
            <w:tcW w:w="1120" w:type="dxa"/>
            <w:vAlign w:val="bottom"/>
          </w:tcPr>
          <w:p>
            <w:pPr>
              <w:jc w:val="right"/>
              <w:spacing w:after="0"/>
              <w:rPr>
                <w:sz w:val="20"/>
                <w:szCs w:val="20"/>
                <w:color w:val="auto"/>
              </w:rPr>
            </w:pPr>
            <w:r>
              <w:rPr>
                <w:rFonts w:ascii="Arial" w:cs="Arial" w:eastAsia="Arial" w:hAnsi="Arial"/>
                <w:sz w:val="15"/>
                <w:szCs w:val="15"/>
                <w:color w:val="auto"/>
              </w:rPr>
              <w:t>385.5</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Provisions for loan losses, net</w:t>
            </w:r>
          </w:p>
        </w:tc>
        <w:tc>
          <w:tcPr>
            <w:tcW w:w="1220" w:type="dxa"/>
            <w:vAlign w:val="bottom"/>
          </w:tcPr>
          <w:p>
            <w:pPr>
              <w:jc w:val="right"/>
              <w:ind w:right="6"/>
              <w:spacing w:after="0" w:line="162" w:lineRule="exact"/>
              <w:rPr>
                <w:sz w:val="20"/>
                <w:szCs w:val="20"/>
                <w:color w:val="auto"/>
              </w:rPr>
            </w:pPr>
            <w:r>
              <w:rPr>
                <w:rFonts w:ascii="Arial" w:cs="Arial" w:eastAsia="Arial" w:hAnsi="Arial"/>
                <w:sz w:val="15"/>
                <w:szCs w:val="15"/>
                <w:color w:val="auto"/>
              </w:rPr>
              <w:t>(0.7)</w:t>
            </w:r>
          </w:p>
        </w:tc>
        <w:tc>
          <w:tcPr>
            <w:tcW w:w="160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(3.0)</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5.3</w:t>
            </w:r>
          </w:p>
        </w:tc>
        <w:tc>
          <w:tcPr>
            <w:tcW w:w="220" w:type="dxa"/>
            <w:vAlign w:val="bottom"/>
          </w:tcPr>
          <w:p>
            <w:pPr>
              <w:spacing w:after="0"/>
              <w:rPr>
                <w:sz w:val="14"/>
                <w:szCs w:val="14"/>
                <w:color w:val="auto"/>
              </w:rPr>
            </w:pP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8.1</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0.1</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income</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55.4</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70.6</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68.4</w:t>
            </w:r>
          </w:p>
        </w:tc>
        <w:tc>
          <w:tcPr>
            <w:tcW w:w="220" w:type="dxa"/>
            <w:vAlign w:val="bottom"/>
          </w:tcPr>
          <w:p>
            <w:pPr>
              <w:spacing w:after="0"/>
              <w:rPr>
                <w:sz w:val="14"/>
                <w:szCs w:val="14"/>
                <w:color w:val="auto"/>
              </w:rPr>
            </w:pP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219.3</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259.6</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expenses</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100.8</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99.2</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87.7</w:t>
            </w:r>
          </w:p>
        </w:tc>
        <w:tc>
          <w:tcPr>
            <w:tcW w:w="220" w:type="dxa"/>
            <w:vAlign w:val="bottom"/>
          </w:tcPr>
          <w:p>
            <w:pPr>
              <w:spacing w:after="0"/>
              <w:rPr>
                <w:sz w:val="14"/>
                <w:szCs w:val="14"/>
                <w:color w:val="auto"/>
              </w:rPr>
            </w:pP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361.7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369.7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Merger costs</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0.0</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0.0</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220" w:type="dxa"/>
            <w:vAlign w:val="bottom"/>
          </w:tcPr>
          <w:p>
            <w:pPr>
              <w:spacing w:after="0"/>
              <w:rPr>
                <w:sz w:val="14"/>
                <w:szCs w:val="14"/>
                <w:color w:val="auto"/>
              </w:rPr>
            </w:pP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Translation result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(0.6)</w:t>
            </w:r>
          </w:p>
        </w:tc>
        <w:tc>
          <w:tcPr>
            <w:tcW w:w="1600" w:type="dxa"/>
            <w:vAlign w:val="bottom"/>
          </w:tcPr>
          <w:p>
            <w:pPr>
              <w:jc w:val="right"/>
              <w:ind w:right="226"/>
              <w:spacing w:after="0"/>
              <w:rPr>
                <w:sz w:val="20"/>
                <w:szCs w:val="20"/>
                <w:color w:val="auto"/>
              </w:rPr>
            </w:pPr>
            <w:r>
              <w:rPr>
                <w:rFonts w:ascii="Arial" w:cs="Arial" w:eastAsia="Arial" w:hAnsi="Arial"/>
                <w:sz w:val="15"/>
                <w:szCs w:val="15"/>
                <w:color w:val="auto"/>
              </w:rPr>
              <w:t>(5.2)</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(5.3)</w:t>
            </w:r>
          </w:p>
        </w:tc>
        <w:tc>
          <w:tcPr>
            <w:tcW w:w="1360" w:type="dxa"/>
            <w:vAlign w:val="bottom"/>
          </w:tcPr>
          <w:p>
            <w:pPr>
              <w:jc w:val="right"/>
              <w:ind w:right="186"/>
              <w:spacing w:after="0"/>
              <w:rPr>
                <w:sz w:val="20"/>
                <w:szCs w:val="20"/>
                <w:color w:val="auto"/>
              </w:rPr>
            </w:pPr>
            <w:r>
              <w:rPr>
                <w:rFonts w:ascii="Arial" w:cs="Arial" w:eastAsia="Arial" w:hAnsi="Arial"/>
                <w:sz w:val="15"/>
                <w:szCs w:val="15"/>
                <w:color w:val="auto"/>
              </w:rPr>
              <w:t>0.7</w:t>
            </w:r>
          </w:p>
        </w:tc>
        <w:tc>
          <w:tcPr>
            <w:tcW w:w="11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98"/>
        </w:trPr>
        <w:tc>
          <w:tcPr>
            <w:tcW w:w="4820" w:type="dxa"/>
            <w:vAlign w:val="bottom"/>
          </w:tcPr>
          <w:p>
            <w:pPr>
              <w:ind w:left="300"/>
              <w:spacing w:after="0"/>
              <w:rPr>
                <w:sz w:val="20"/>
                <w:szCs w:val="20"/>
                <w:color w:val="auto"/>
              </w:rPr>
            </w:pPr>
            <w:r>
              <w:rPr>
                <w:rFonts w:ascii="Arial" w:cs="Arial" w:eastAsia="Arial" w:hAnsi="Arial"/>
                <w:sz w:val="15"/>
                <w:szCs w:val="15"/>
                <w:color w:val="auto"/>
              </w:rPr>
              <w:t>Income before income tax</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41.8</w:t>
            </w:r>
          </w:p>
        </w:tc>
        <w:tc>
          <w:tcPr>
            <w:tcW w:w="1600" w:type="dxa"/>
            <w:vAlign w:val="bottom"/>
          </w:tcPr>
          <w:p>
            <w:pPr>
              <w:jc w:val="right"/>
              <w:ind w:right="266"/>
              <w:spacing w:after="0"/>
              <w:rPr>
                <w:sz w:val="20"/>
                <w:szCs w:val="20"/>
                <w:color w:val="auto"/>
              </w:rPr>
            </w:pPr>
            <w:r>
              <w:rPr>
                <w:rFonts w:ascii="Arial" w:cs="Arial" w:eastAsia="Arial" w:hAnsi="Arial"/>
                <w:sz w:val="15"/>
                <w:szCs w:val="15"/>
                <w:color w:val="auto"/>
              </w:rPr>
              <w:t>69.3</w:t>
            </w:r>
          </w:p>
        </w:tc>
        <w:tc>
          <w:tcPr>
            <w:tcW w:w="1080" w:type="dxa"/>
            <w:vAlign w:val="bottom"/>
          </w:tcPr>
          <w:p>
            <w:pPr>
              <w:jc w:val="right"/>
              <w:spacing w:after="0"/>
              <w:rPr>
                <w:sz w:val="20"/>
                <w:szCs w:val="20"/>
                <w:color w:val="auto"/>
              </w:rPr>
            </w:pPr>
            <w:r>
              <w:rPr>
                <w:rFonts w:ascii="Arial" w:cs="Arial" w:eastAsia="Arial" w:hAnsi="Arial"/>
                <w:sz w:val="15"/>
                <w:szCs w:val="15"/>
                <w:color w:val="auto"/>
              </w:rPr>
              <w:t>72.4</w:t>
            </w:r>
          </w:p>
        </w:tc>
        <w:tc>
          <w:tcPr>
            <w:tcW w:w="220" w:type="dxa"/>
            <w:vAlign w:val="bottom"/>
          </w:tcPr>
          <w:p>
            <w:pPr>
              <w:spacing w:after="0"/>
              <w:rPr>
                <w:sz w:val="24"/>
                <w:szCs w:val="24"/>
                <w:color w:val="auto"/>
              </w:rPr>
            </w:pPr>
          </w:p>
        </w:tc>
        <w:tc>
          <w:tcPr>
            <w:tcW w:w="1360" w:type="dxa"/>
            <w:vAlign w:val="bottom"/>
          </w:tcPr>
          <w:p>
            <w:pPr>
              <w:jc w:val="right"/>
              <w:ind w:right="186"/>
              <w:spacing w:after="0"/>
              <w:rPr>
                <w:sz w:val="20"/>
                <w:szCs w:val="20"/>
                <w:color w:val="auto"/>
              </w:rPr>
            </w:pPr>
            <w:r>
              <w:rPr>
                <w:rFonts w:ascii="Arial" w:cs="Arial" w:eastAsia="Arial" w:hAnsi="Arial"/>
                <w:sz w:val="15"/>
                <w:szCs w:val="15"/>
                <w:color w:val="auto"/>
              </w:rPr>
              <w:t>161.7</w:t>
            </w:r>
          </w:p>
        </w:tc>
        <w:tc>
          <w:tcPr>
            <w:tcW w:w="1120" w:type="dxa"/>
            <w:vAlign w:val="bottom"/>
          </w:tcPr>
          <w:p>
            <w:pPr>
              <w:jc w:val="right"/>
              <w:spacing w:after="0"/>
              <w:rPr>
                <w:sz w:val="20"/>
                <w:szCs w:val="20"/>
                <w:color w:val="auto"/>
              </w:rPr>
            </w:pPr>
            <w:r>
              <w:rPr>
                <w:rFonts w:ascii="Arial" w:cs="Arial" w:eastAsia="Arial" w:hAnsi="Arial"/>
                <w:sz w:val="15"/>
                <w:szCs w:val="15"/>
                <w:color w:val="auto"/>
              </w:rPr>
              <w:t>265.6</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Employee profit sharing(2)</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2.4</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3.6</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3.1</w:t>
            </w:r>
          </w:p>
        </w:tc>
        <w:tc>
          <w:tcPr>
            <w:tcW w:w="220" w:type="dxa"/>
            <w:vAlign w:val="bottom"/>
          </w:tcPr>
          <w:p>
            <w:pPr>
              <w:spacing w:after="0"/>
              <w:rPr>
                <w:sz w:val="14"/>
                <w:szCs w:val="14"/>
                <w:color w:val="auto"/>
              </w:rPr>
            </w:pP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6.6</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11.3</w:t>
            </w: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Income Tax</w:t>
            </w:r>
          </w:p>
        </w:tc>
        <w:tc>
          <w:tcPr>
            <w:tcW w:w="1220" w:type="dxa"/>
            <w:vAlign w:val="bottom"/>
          </w:tcPr>
          <w:p>
            <w:pPr>
              <w:jc w:val="right"/>
              <w:ind w:right="46"/>
              <w:spacing w:after="0" w:line="158" w:lineRule="exact"/>
              <w:rPr>
                <w:sz w:val="20"/>
                <w:szCs w:val="20"/>
                <w:color w:val="auto"/>
              </w:rPr>
            </w:pPr>
            <w:r>
              <w:rPr>
                <w:rFonts w:ascii="Arial" w:cs="Arial" w:eastAsia="Arial" w:hAnsi="Arial"/>
                <w:sz w:val="15"/>
                <w:szCs w:val="15"/>
                <w:color w:val="auto"/>
              </w:rPr>
              <w:t>12.0</w:t>
            </w:r>
          </w:p>
        </w:tc>
        <w:tc>
          <w:tcPr>
            <w:tcW w:w="160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19.1</w:t>
            </w:r>
          </w:p>
        </w:tc>
        <w:tc>
          <w:tcPr>
            <w:tcW w:w="1080" w:type="dxa"/>
            <w:vAlign w:val="bottom"/>
          </w:tcPr>
          <w:p>
            <w:pPr>
              <w:jc w:val="right"/>
              <w:spacing w:after="0" w:line="158" w:lineRule="exact"/>
              <w:rPr>
                <w:sz w:val="20"/>
                <w:szCs w:val="20"/>
                <w:color w:val="auto"/>
              </w:rPr>
            </w:pPr>
            <w:r>
              <w:rPr>
                <w:rFonts w:ascii="Arial" w:cs="Arial" w:eastAsia="Arial" w:hAnsi="Arial"/>
                <w:sz w:val="15"/>
                <w:szCs w:val="15"/>
                <w:color w:val="auto"/>
              </w:rPr>
              <w:t>21.5</w:t>
            </w:r>
          </w:p>
        </w:tc>
        <w:tc>
          <w:tcPr>
            <w:tcW w:w="220" w:type="dxa"/>
            <w:vAlign w:val="bottom"/>
          </w:tcPr>
          <w:p>
            <w:pPr>
              <w:spacing w:after="0"/>
              <w:rPr>
                <w:sz w:val="13"/>
                <w:szCs w:val="13"/>
                <w:color w:val="auto"/>
              </w:rPr>
            </w:pPr>
          </w:p>
        </w:tc>
        <w:tc>
          <w:tcPr>
            <w:tcW w:w="136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38.9</w:t>
            </w:r>
          </w:p>
        </w:tc>
        <w:tc>
          <w:tcPr>
            <w:tcW w:w="1120" w:type="dxa"/>
            <w:vAlign w:val="bottom"/>
          </w:tcPr>
          <w:p>
            <w:pPr>
              <w:jc w:val="right"/>
              <w:spacing w:after="0" w:line="158" w:lineRule="exact"/>
              <w:rPr>
                <w:sz w:val="20"/>
                <w:szCs w:val="20"/>
                <w:color w:val="auto"/>
              </w:rPr>
            </w:pPr>
            <w:r>
              <w:rPr>
                <w:rFonts w:ascii="Arial" w:cs="Arial" w:eastAsia="Arial" w:hAnsi="Arial"/>
                <w:sz w:val="15"/>
                <w:szCs w:val="15"/>
                <w:color w:val="auto"/>
              </w:rPr>
              <w:t>70.1</w:t>
            </w:r>
          </w:p>
        </w:tc>
      </w:tr>
      <w:tr>
        <w:trPr>
          <w:trHeight w:val="166"/>
        </w:trPr>
        <w:tc>
          <w:tcPr>
            <w:tcW w:w="4820" w:type="dxa"/>
            <w:vAlign w:val="bottom"/>
          </w:tcPr>
          <w:p>
            <w:pPr>
              <w:ind w:left="1920"/>
              <w:spacing w:after="0" w:line="167" w:lineRule="exact"/>
              <w:rPr>
                <w:sz w:val="20"/>
                <w:szCs w:val="20"/>
                <w:color w:val="auto"/>
              </w:rPr>
            </w:pPr>
            <w:r>
              <w:rPr>
                <w:rFonts w:ascii="Arial" w:cs="Arial" w:eastAsia="Arial" w:hAnsi="Arial"/>
                <w:sz w:val="15"/>
                <w:szCs w:val="15"/>
                <w:b w:val="1"/>
                <w:bCs w:val="1"/>
                <w:color w:val="auto"/>
              </w:rPr>
              <w:t>Net Income</w:t>
            </w:r>
          </w:p>
        </w:tc>
        <w:tc>
          <w:tcPr>
            <w:tcW w:w="122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rPr>
              <w:t>27.4</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46.6</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47.8</w:t>
            </w:r>
          </w:p>
        </w:tc>
        <w:tc>
          <w:tcPr>
            <w:tcW w:w="220" w:type="dxa"/>
            <w:vAlign w:val="bottom"/>
          </w:tcPr>
          <w:p>
            <w:pPr>
              <w:spacing w:after="0"/>
              <w:rPr>
                <w:sz w:val="14"/>
                <w:szCs w:val="14"/>
                <w:color w:val="auto"/>
              </w:rPr>
            </w:pPr>
          </w:p>
        </w:tc>
        <w:tc>
          <w:tcPr>
            <w:tcW w:w="1360" w:type="dxa"/>
            <w:vAlign w:val="bottom"/>
          </w:tcPr>
          <w:p>
            <w:pPr>
              <w:jc w:val="right"/>
              <w:ind w:right="186"/>
              <w:spacing w:after="0" w:line="167" w:lineRule="exact"/>
              <w:rPr>
                <w:sz w:val="20"/>
                <w:szCs w:val="20"/>
                <w:color w:val="auto"/>
              </w:rPr>
            </w:pPr>
            <w:r>
              <w:rPr>
                <w:rFonts w:ascii="Arial" w:cs="Arial" w:eastAsia="Arial" w:hAnsi="Arial"/>
                <w:sz w:val="15"/>
                <w:szCs w:val="15"/>
                <w:b w:val="1"/>
                <w:bCs w:val="1"/>
                <w:color w:val="auto"/>
              </w:rPr>
              <w:t>116.1</w:t>
            </w:r>
          </w:p>
        </w:tc>
        <w:tc>
          <w:tcPr>
            <w:tcW w:w="112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184.2</w:t>
            </w:r>
          </w:p>
        </w:tc>
      </w:tr>
      <w:tr>
        <w:trPr>
          <w:trHeight w:val="171"/>
        </w:trPr>
        <w:tc>
          <w:tcPr>
            <w:tcW w:w="48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Net Income per share (3)</w:t>
            </w:r>
          </w:p>
        </w:tc>
        <w:tc>
          <w:tcPr>
            <w:tcW w:w="122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0.02</w:t>
            </w:r>
          </w:p>
        </w:tc>
        <w:tc>
          <w:tcPr>
            <w:tcW w:w="1600" w:type="dxa"/>
            <w:vAlign w:val="bottom"/>
            <w:tcBorders>
              <w:bottom w:val="single" w:sz="8" w:color="auto"/>
            </w:tcBorders>
          </w:tcPr>
          <w:p>
            <w:pPr>
              <w:jc w:val="right"/>
              <w:ind w:right="266"/>
              <w:spacing w:after="0" w:line="172" w:lineRule="exact"/>
              <w:rPr>
                <w:sz w:val="20"/>
                <w:szCs w:val="20"/>
                <w:color w:val="auto"/>
              </w:rPr>
            </w:pPr>
            <w:r>
              <w:rPr>
                <w:rFonts w:ascii="Arial" w:cs="Arial" w:eastAsia="Arial" w:hAnsi="Arial"/>
                <w:sz w:val="15"/>
                <w:szCs w:val="15"/>
                <w:color w:val="auto"/>
              </w:rPr>
              <w:t>0.04</w:t>
            </w: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0.04</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86"/>
              <w:spacing w:after="0" w:line="172" w:lineRule="exact"/>
              <w:rPr>
                <w:sz w:val="20"/>
                <w:szCs w:val="20"/>
                <w:color w:val="auto"/>
              </w:rPr>
            </w:pPr>
            <w:r>
              <w:rPr>
                <w:rFonts w:ascii="Arial" w:cs="Arial" w:eastAsia="Arial" w:hAnsi="Arial"/>
                <w:sz w:val="15"/>
                <w:szCs w:val="15"/>
                <w:color w:val="auto"/>
              </w:rPr>
              <w:t>0.09</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0.14</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Financial statements prepared according to IFRS, in U.S. Dollars.</w:t>
      </w:r>
    </w:p>
    <w:p>
      <w:pPr>
        <w:spacing w:after="0" w:line="1" w:lineRule="exact"/>
        <w:rPr>
          <w:rFonts w:ascii="Arial" w:cs="Arial" w:eastAsia="Arial" w:hAnsi="Arial"/>
          <w:sz w:val="15"/>
          <w:szCs w:val="15"/>
          <w:i w:val="1"/>
          <w:iCs w:val="1"/>
          <w:color w:val="auto"/>
        </w:rPr>
      </w:pPr>
    </w:p>
    <w:p>
      <w:pPr>
        <w:spacing w:after="0" w:line="225" w:lineRule="auto"/>
        <w:rPr>
          <w:rFonts w:ascii="Arial" w:cs="Arial" w:eastAsia="Arial" w:hAnsi="Arial"/>
          <w:sz w:val="15"/>
          <w:szCs w:val="15"/>
          <w:i w:val="1"/>
          <w:iCs w:val="1"/>
          <w:color w:val="auto"/>
        </w:rPr>
      </w:pPr>
      <w:r>
        <w:rPr>
          <w:rFonts w:ascii="Arial" w:cs="Arial" w:eastAsia="Arial" w:hAnsi="Arial"/>
          <w:sz w:val="15"/>
          <w:szCs w:val="15"/>
          <w:i w:val="1"/>
          <w:iCs w:val="1"/>
          <w:color w:val="auto"/>
        </w:rPr>
        <w:t>(2)Previously reported as part of personnel expenses.</w:t>
      </w:r>
    </w:p>
    <w:p>
      <w:pPr>
        <w:ind w:left="220" w:hanging="212"/>
        <w:spacing w:after="0"/>
        <w:tabs>
          <w:tab w:leader="none" w:pos="22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Based on 1,287 million outstanding shares in all periods.</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u w:val="single" w:color="auto"/>
          <w:color w:val="auto"/>
        </w:rPr>
        <w:t xml:space="preserve">NOTE </w:t>
      </w:r>
      <w:r>
        <w:rPr>
          <w:rFonts w:ascii="Arial" w:cs="Arial" w:eastAsia="Arial" w:hAnsi="Arial"/>
          <w:sz w:val="22"/>
          <w:szCs w:val="22"/>
          <w:u w:val="single" w:color="auto"/>
          <w:color w:val="auto"/>
        </w:rPr>
        <w:t>to explain the differences in reported results for BCP according to local accounting in Soles and to IFRS accounting</w:t>
      </w:r>
      <w:r>
        <w:rPr>
          <w:rFonts w:ascii="Arial" w:cs="Arial" w:eastAsia="Arial" w:hAnsi="Arial"/>
          <w:sz w:val="22"/>
          <w:szCs w:val="22"/>
          <w:b w:val="1"/>
          <w:bCs w:val="1"/>
          <w:u w:val="single" w:color="auto"/>
          <w:color w:val="auto"/>
        </w:rPr>
        <w:t xml:space="preserve"> </w:t>
      </w:r>
      <w:r>
        <w:rPr>
          <w:rFonts w:ascii="Arial" w:cs="Arial" w:eastAsia="Arial" w:hAnsi="Arial"/>
          <w:sz w:val="22"/>
          <w:szCs w:val="22"/>
          <w:u w:val="single" w:color="auto"/>
          <w:color w:val="auto"/>
        </w:rPr>
        <w:t>standards in US Dollars: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BCP’s local reporting under Peruvian GAAP is done in Peruvian Soles, whereas reporting under IFRS is done in US Dollars. When converting local Soles results to US Dollars at the exchange rate of the closing date, important differences can be determined. These can be explained by:</w:t>
      </w:r>
    </w:p>
    <w:p>
      <w:pPr>
        <w:spacing w:after="0" w:line="186" w:lineRule="exact"/>
        <w:rPr>
          <w:sz w:val="20"/>
          <w:szCs w:val="20"/>
          <w:color w:val="auto"/>
        </w:rPr>
      </w:pPr>
    </w:p>
    <w:p>
      <w:pPr>
        <w:ind w:left="540" w:hanging="208"/>
        <w:spacing w:after="0"/>
        <w:tabs>
          <w:tab w:leader="none" w:pos="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differences in reporting of some items between the two accounting standards.</w:t>
      </w:r>
    </w:p>
    <w:p>
      <w:pPr>
        <w:spacing w:after="0" w:line="8" w:lineRule="exact"/>
        <w:rPr>
          <w:rFonts w:ascii="Arial" w:cs="Arial" w:eastAsia="Arial" w:hAnsi="Arial"/>
          <w:sz w:val="22"/>
          <w:szCs w:val="22"/>
          <w:color w:val="auto"/>
        </w:rPr>
      </w:pPr>
    </w:p>
    <w:p>
      <w:pPr>
        <w:ind w:left="540" w:hanging="208"/>
        <w:spacing w:after="0" w:line="237" w:lineRule="auto"/>
        <w:tabs>
          <w:tab w:leader="none" w:pos="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fact that BCP holds uncovered positions on the assets side in both US Dollars and Soles, generating gains/losses with exchange rate movements in both accounting books held in Dollars and in Soles.</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means, that besides the variations generated by the different accounting norms, changes in exchange rates have a notorious effect on BCP’s accounting given the exposed positions in both currencies. Furthermore, the differential generated by such exchange rate movements is exacerbated by the contrary effect such exchange rate variation has in US Dollar vs. its Soles accounting, thus, “doubling” its effect.</w:t>
      </w:r>
    </w:p>
    <w:p>
      <w:pPr>
        <w:spacing w:after="0" w:line="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Given a Soles devaluation, for example, BCP would register a gain in its local Soles books due to its exposed US Dollar position, whereas in BCP’s international US Dollar books, a loss is generated due to its exposed Soles position. Thus, a double effect of the same foreign exchange movement is registered.</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For this reason, we would like to caution investors when analyzing BCP’s local accounting results, which are then converted to US Dollars at the exchange rate of the closing date, since these can vary significantly from BCP’s IFRS reported results within the Credicorp earnings reports.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II.2 NET INTEREST INCOME</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Interest income, net of interest expense, reached US$ 102.3 million in the fourth quarter of 2005, an increase of 17.4% with respect to the US$ 87 million in the same quarter of last year, and 2.2% compared with the US$ 100.1 million in 2005’s third quarter.</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Increased net interest income for 4Q05, compared to the 2004 fourth quarter, is mostly due to higher average interest earning assets, which rose from US$ 6.2 billion in 4Q04 to US$ 7.6 billion on average in 4Q05, even though there is also a decrease in the net interest margin from one quarter to another. Average interest earning assets rose 22.3% with respect to the fourth quarter of last year and 9.1% with respect to the average for the third quarter of 2005. This growth in assets occurs mainly under the investments line item, which grew 49.5% with respect to the fourth quarter of 2004, since the disintermediation of the banking system by the growing capital market continues, and does not allow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jc w:val="both"/>
        <w:spacing w:after="0" w:line="238" w:lineRule="auto"/>
        <w:rPr>
          <w:sz w:val="20"/>
          <w:szCs w:val="20"/>
          <w:color w:val="auto"/>
        </w:rPr>
      </w:pPr>
      <w:r>
        <w:rPr>
          <w:rFonts w:ascii="Arial" w:cs="Arial" w:eastAsia="Arial" w:hAnsi="Arial"/>
          <w:sz w:val="22"/>
          <w:szCs w:val="22"/>
          <w:color w:val="auto"/>
        </w:rPr>
        <w:t>more aggressive increase in the loan growth rate in the corporate/ middle markets segments. Even so, the refocusing of our portfolio, increasing the percentage of loans in the retail banking and SME segments, contributes to achieving a growth rate of 7.8% in total loans with respect to the previous quarter, and 17.8% compared with the balance at December 2004, which is quite satisfactory given the current financial environment.</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accumulated net interest margin to December 2005 rose 7.1%, reaching 5.45%, compared to the 5.1% posted in the same period of the previous year. The margin rose mainly due to rises in the loan rates of foreign currency following international trends, while deposit rates rose to a lesser extent. The active and passive rates in local currency decreased during the present quarter, maintaining the margin in this currency unchanged, which is also a reflection of lower inflation rates.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II.3 NON-INTEREST INCOME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Note:</w:t>
      </w:r>
      <w:r>
        <w:rPr>
          <w:rFonts w:ascii="Arial" w:cs="Arial" w:eastAsia="Arial" w:hAnsi="Arial"/>
          <w:sz w:val="22"/>
          <w:szCs w:val="22"/>
          <w:color w:val="auto"/>
        </w:rPr>
        <w:t xml:space="preserve"> For comparison purposes, in periods prior to 2005, income from recoveries of previously charged-off loans, which were reported in the </w:t>
      </w:r>
      <w:r>
        <w:rPr>
          <w:rFonts w:ascii="Arial" w:cs="Arial" w:eastAsia="Arial" w:hAnsi="Arial"/>
          <w:sz w:val="22"/>
          <w:szCs w:val="22"/>
          <w:i w:val="1"/>
          <w:iCs w:val="1"/>
          <w:u w:val="single" w:color="auto"/>
          <w:color w:val="auto"/>
        </w:rPr>
        <w:t>Other non-interest income</w:t>
      </w:r>
      <w:r>
        <w:rPr>
          <w:rFonts w:ascii="Arial" w:cs="Arial" w:eastAsia="Arial" w:hAnsi="Arial"/>
          <w:sz w:val="22"/>
          <w:szCs w:val="22"/>
          <w:color w:val="auto"/>
        </w:rPr>
        <w:t xml:space="preserve"> concept, have been reclassified into the </w:t>
      </w:r>
      <w:r>
        <w:rPr>
          <w:rFonts w:ascii="Arial" w:cs="Arial" w:eastAsia="Arial" w:hAnsi="Arial"/>
          <w:sz w:val="22"/>
          <w:szCs w:val="22"/>
          <w:i w:val="1"/>
          <w:iCs w:val="1"/>
          <w:color w:val="auto"/>
        </w:rPr>
        <w:t>Provision for possible loan losses</w:t>
      </w:r>
      <w:r>
        <w:rPr>
          <w:rFonts w:ascii="Arial" w:cs="Arial" w:eastAsia="Arial" w:hAnsi="Arial"/>
          <w:sz w:val="22"/>
          <w:szCs w:val="22"/>
          <w:color w:val="auto"/>
        </w:rPr>
        <w:t xml:space="preserve"> concept, with no effect on net income.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4Q05, in addition to the previous quarters and the accumulated 2005 period, reflected very low levels of net provisions. This has been not only from a lower need for provisions due to the significant recovery in portfolio quality, but also given the strong income generated from the recovery of previously written-off loans. These recoveries almost completely offset the provisions for 2005, which are already significantly lower than in 2004, showing net provisions for loans of only US$ 0.1 million for 2005.</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equally-important growth in non-financial income corresponds to the development of BCP’s transactional services. Non-interest income, which includes fee revenue and other non-interest items, was US$ 68.4 million in 2005’s fourth quarter, 24% higher than the US$ 55.4 million obtained during the same quarter of 2004, due mainly to increased income from foreign exchange operations, which rose 37%, and the 18% increase in fees for banking services.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Banking service fees for 4Q05 rose 18% compared to 4Q05, reaching US$ 56 million, mainly due to growth in debit cards, administration and securities brokerage, mortgage loans, consulting in corporative finance and fees for loan disbursements and commitments. During the quarter, the most important banking services experienced the following changes: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398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4Q04</w:t>
            </w:r>
          </w:p>
        </w:tc>
        <w:tc>
          <w:tcPr>
            <w:tcW w:w="162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4Q05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Growth</w:t>
            </w:r>
          </w:p>
        </w:tc>
      </w:tr>
      <w:tr>
        <w:trPr>
          <w:trHeight w:val="160"/>
        </w:trPr>
        <w:tc>
          <w:tcPr>
            <w:tcW w:w="4680" w:type="dxa"/>
            <w:vAlign w:val="bottom"/>
          </w:tcPr>
          <w:p>
            <w:pPr>
              <w:spacing w:after="0" w:line="160" w:lineRule="exact"/>
              <w:rPr>
                <w:sz w:val="20"/>
                <w:szCs w:val="20"/>
                <w:color w:val="auto"/>
              </w:rPr>
            </w:pPr>
            <w:r>
              <w:rPr>
                <w:rFonts w:ascii="Arial" w:cs="Arial" w:eastAsia="Arial" w:hAnsi="Arial"/>
                <w:sz w:val="15"/>
                <w:szCs w:val="15"/>
                <w:color w:val="auto"/>
              </w:rPr>
              <w:t>Savings accounts</w:t>
            </w:r>
          </w:p>
        </w:tc>
        <w:tc>
          <w:tcPr>
            <w:tcW w:w="3980" w:type="dxa"/>
            <w:vAlign w:val="bottom"/>
          </w:tcPr>
          <w:p>
            <w:pPr>
              <w:jc w:val="right"/>
              <w:ind w:right="626"/>
              <w:spacing w:after="0" w:line="160" w:lineRule="exact"/>
              <w:rPr>
                <w:sz w:val="20"/>
                <w:szCs w:val="20"/>
                <w:color w:val="auto"/>
              </w:rPr>
            </w:pPr>
            <w:r>
              <w:rPr>
                <w:rFonts w:ascii="Arial" w:cs="Arial" w:eastAsia="Arial" w:hAnsi="Arial"/>
                <w:sz w:val="15"/>
                <w:szCs w:val="15"/>
                <w:color w:val="auto"/>
              </w:rPr>
              <w:t>5.9</w:t>
            </w:r>
          </w:p>
        </w:tc>
        <w:tc>
          <w:tcPr>
            <w:tcW w:w="1620" w:type="dxa"/>
            <w:vAlign w:val="bottom"/>
          </w:tcPr>
          <w:p>
            <w:pPr>
              <w:jc w:val="right"/>
              <w:ind w:right="526"/>
              <w:spacing w:after="0" w:line="160" w:lineRule="exact"/>
              <w:rPr>
                <w:sz w:val="20"/>
                <w:szCs w:val="20"/>
                <w:color w:val="auto"/>
              </w:rPr>
            </w:pPr>
            <w:r>
              <w:rPr>
                <w:rFonts w:ascii="Arial" w:cs="Arial" w:eastAsia="Arial" w:hAnsi="Arial"/>
                <w:sz w:val="15"/>
                <w:szCs w:val="15"/>
                <w:color w:val="auto"/>
              </w:rPr>
              <w:t>6.3</w:t>
            </w: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7.7%</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6.4</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6.6</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3.1%</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Credit cards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6.5</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6.5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Fund transfer services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4.8</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5.2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8.7%</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Collections fees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3.7</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4.0</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6.9%</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Billings and payments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3.9</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4.4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11.6%</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Contingent and foreign trade</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2.5</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2.3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-6.1%</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Contingent credits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2.1</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2.5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20.5%</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Debit cards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1.6</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2.8</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72.9%</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Corporate Finance</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1.3</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2.0</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55.3%</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Brokerage</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2.6</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4.3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68.4%</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Commercial loans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1.3</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1.9</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52.2%</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1.4</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1.6</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9.6%</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0.6</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1.0</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74.6%</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Channels and services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0.5</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0.6</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7.2%</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Master account</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0.4</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0.4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-6.5%</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Personal loans</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0.2</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0.4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52.6%</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Micro-business credit</w:t>
            </w:r>
          </w:p>
        </w:tc>
        <w:tc>
          <w:tcPr>
            <w:tcW w:w="39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0.5</w:t>
            </w:r>
          </w:p>
        </w:tc>
        <w:tc>
          <w:tcPr>
            <w:tcW w:w="16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0.6</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8.1%</w:t>
            </w:r>
          </w:p>
        </w:tc>
      </w:tr>
      <w:tr>
        <w:trPr>
          <w:trHeight w:val="158"/>
        </w:trPr>
        <w:tc>
          <w:tcPr>
            <w:tcW w:w="4680" w:type="dxa"/>
            <w:vAlign w:val="bottom"/>
          </w:tcPr>
          <w:p>
            <w:pPr>
              <w:spacing w:after="0" w:line="158" w:lineRule="exact"/>
              <w:rPr>
                <w:sz w:val="20"/>
                <w:szCs w:val="20"/>
                <w:color w:val="auto"/>
              </w:rPr>
            </w:pPr>
            <w:r>
              <w:rPr>
                <w:rFonts w:ascii="Arial" w:cs="Arial" w:eastAsia="Arial" w:hAnsi="Arial"/>
                <w:sz w:val="15"/>
                <w:szCs w:val="15"/>
                <w:color w:val="auto"/>
              </w:rPr>
              <w:t>Other</w:t>
            </w:r>
          </w:p>
        </w:tc>
        <w:tc>
          <w:tcPr>
            <w:tcW w:w="3980" w:type="dxa"/>
            <w:vAlign w:val="bottom"/>
          </w:tcPr>
          <w:p>
            <w:pPr>
              <w:jc w:val="right"/>
              <w:ind w:right="626"/>
              <w:spacing w:after="0" w:line="158" w:lineRule="exact"/>
              <w:rPr>
                <w:sz w:val="20"/>
                <w:szCs w:val="20"/>
                <w:color w:val="auto"/>
              </w:rPr>
            </w:pPr>
            <w:r>
              <w:rPr>
                <w:rFonts w:ascii="Arial" w:cs="Arial" w:eastAsia="Arial" w:hAnsi="Arial"/>
                <w:sz w:val="15"/>
                <w:szCs w:val="15"/>
                <w:color w:val="auto"/>
              </w:rPr>
              <w:t>1.2</w:t>
            </w:r>
          </w:p>
        </w:tc>
        <w:tc>
          <w:tcPr>
            <w:tcW w:w="1620" w:type="dxa"/>
            <w:vAlign w:val="bottom"/>
          </w:tcPr>
          <w:p>
            <w:pPr>
              <w:jc w:val="right"/>
              <w:ind w:right="526"/>
              <w:spacing w:after="0" w:line="158" w:lineRule="exact"/>
              <w:rPr>
                <w:sz w:val="20"/>
                <w:szCs w:val="20"/>
                <w:color w:val="auto"/>
              </w:rPr>
            </w:pPr>
            <w:r>
              <w:rPr>
                <w:rFonts w:ascii="Arial" w:cs="Arial" w:eastAsia="Arial" w:hAnsi="Arial"/>
                <w:sz w:val="15"/>
                <w:szCs w:val="15"/>
                <w:color w:val="auto"/>
              </w:rPr>
              <w:t>2.6</w:t>
            </w: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114.8%</w:t>
            </w:r>
          </w:p>
        </w:tc>
      </w:tr>
      <w:tr>
        <w:trPr>
          <w:trHeight w:val="175"/>
        </w:trPr>
        <w:tc>
          <w:tcPr>
            <w:tcW w:w="46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Total</w:t>
            </w:r>
          </w:p>
        </w:tc>
        <w:tc>
          <w:tcPr>
            <w:tcW w:w="39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47.4</w:t>
            </w:r>
          </w:p>
        </w:tc>
        <w:tc>
          <w:tcPr>
            <w:tcW w:w="162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56.0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both"/>
        <w:spacing w:after="0" w:line="238" w:lineRule="auto"/>
        <w:rPr>
          <w:sz w:val="20"/>
          <w:szCs w:val="20"/>
          <w:color w:val="auto"/>
        </w:rPr>
      </w:pPr>
      <w:r>
        <w:rPr>
          <w:rFonts w:ascii="Arial" w:cs="Arial" w:eastAsia="Arial" w:hAnsi="Arial"/>
          <w:sz w:val="22"/>
          <w:szCs w:val="22"/>
          <w:color w:val="auto"/>
        </w:rPr>
        <w:t>In the 4Q05, securities transactions resulted in a small gain of US$ 0.1 million, compared with the gain of US$ 4.8 million for the 3Q05 as well as the 4Q04 gain of US$ 2.2 million. The Lima Stock Exchange General Index, after rising 25.6% in the third quarter of 2005, fell 5.3% in the fourth quarter due to factors related to country risk and political uncertainty, but which have been stabilizing in recent months.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The net gain in exchange operations</w:t>
      </w:r>
      <w:r>
        <w:rPr>
          <w:rFonts w:ascii="Arial" w:cs="Arial" w:eastAsia="Arial" w:hAnsi="Arial"/>
          <w:sz w:val="22"/>
          <w:szCs w:val="22"/>
          <w:color w:val="auto"/>
        </w:rPr>
        <w:t>, which are the result of the foreign exchange buy-sell margin, were US$ 9.2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present quarter, 37.1% higher than revenue in the same quarter of 2004, mainly due to increased transactions volume in the quarter, given the exchange volatility generated by the political environment, as well as a preference for the banking system versus the parallel market, and an increase in buy-sell margins.</w:t>
      </w:r>
    </w:p>
    <w:p>
      <w:pPr>
        <w:spacing w:after="0" w:line="181"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 xml:space="preserve">In </w:t>
      </w:r>
      <w:r>
        <w:rPr>
          <w:rFonts w:ascii="Arial" w:cs="Arial" w:eastAsia="Arial" w:hAnsi="Arial"/>
          <w:sz w:val="19"/>
          <w:szCs w:val="19"/>
          <w:b w:val="1"/>
          <w:bCs w:val="1"/>
          <w:color w:val="auto"/>
        </w:rPr>
        <w:t>Other Income</w:t>
      </w:r>
      <w:r>
        <w:rPr>
          <w:rFonts w:ascii="Arial" w:cs="Arial" w:eastAsia="Arial" w:hAnsi="Arial"/>
          <w:sz w:val="19"/>
          <w:szCs w:val="19"/>
          <w:color w:val="auto"/>
        </w:rPr>
        <w:t>, mainly income from the sale of goods, rental income and reversals of previous period provisions, rose from a US$ 1 million expense, as a result of reversals in the fourth quarter of 2004, to US$ 3.1 million in the fourth quarter of 2005.</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II.4 OTHER NON-INTEREST EXPENSE</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has been reclassified into a separate line item, with no effect on net income.</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trend in non-interest expense reflects the strict internal cost controls implemented this year, allowing growth obtained in the banking business without increases in total operating expenses.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Non-interest expenses during 4Q05 were US$ 87.7 million, 13.1% less than the US$ 100.8 million reported in the same period of 2004, mainly due to a significant decrease in the Other Expense line item, related to market volatility explained below. Even excluding the effects of this market volatility, BCP’s total expenses reflected the result of an austerity policy that was effectively implemented.</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quarter, approximately 51% of non-interest expenses was attributable to employee salaries and other expenses related to personnel, which increased 14.0%, to US$ 44.8 million, compared with the same period of the previous year. As of December 31, 2005 the number of employees stood at 7,596, an increase from the 7,494 employees in September, but a decrease with respect to the 7,694 employees in December 2004.</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personnel expenses rose, General and Administrative expenses, which represented 35% of non-interest expenses, reached US$ 30.6 million in 4Q05, a decrease of 9.0% compared with expenses reported in 4Q04, and 2.5% comparing expenses year to year, compensating, in part, for the increase in personnel costs. In the fourth quarter, lower expenses occured mainly in systems and maintenance, operating supplies and charges and communications. The following table shows the most significant general and administrative expense headings: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378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4Q04</w:t>
            </w:r>
          </w:p>
        </w:tc>
        <w:tc>
          <w:tcPr>
            <w:tcW w:w="156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4Q05</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60"/>
        </w:trPr>
        <w:tc>
          <w:tcPr>
            <w:tcW w:w="4880" w:type="dxa"/>
            <w:vAlign w:val="bottom"/>
          </w:tcPr>
          <w:p>
            <w:pPr>
              <w:spacing w:after="0" w:line="160" w:lineRule="exact"/>
              <w:rPr>
                <w:sz w:val="20"/>
                <w:szCs w:val="20"/>
                <w:color w:val="auto"/>
              </w:rPr>
            </w:pPr>
            <w:r>
              <w:rPr>
                <w:rFonts w:ascii="Arial" w:cs="Arial" w:eastAsia="Arial" w:hAnsi="Arial"/>
                <w:sz w:val="15"/>
                <w:szCs w:val="15"/>
                <w:color w:val="auto"/>
              </w:rPr>
              <w:t>Office supplies and operating costs</w:t>
            </w:r>
          </w:p>
        </w:tc>
        <w:tc>
          <w:tcPr>
            <w:tcW w:w="3780" w:type="dxa"/>
            <w:vAlign w:val="bottom"/>
          </w:tcPr>
          <w:p>
            <w:pPr>
              <w:jc w:val="right"/>
              <w:ind w:right="626"/>
              <w:spacing w:after="0" w:line="160" w:lineRule="exact"/>
              <w:rPr>
                <w:sz w:val="20"/>
                <w:szCs w:val="20"/>
                <w:color w:val="auto"/>
              </w:rPr>
            </w:pPr>
            <w:r>
              <w:rPr>
                <w:rFonts w:ascii="Arial" w:cs="Arial" w:eastAsia="Arial" w:hAnsi="Arial"/>
                <w:sz w:val="15"/>
                <w:szCs w:val="15"/>
                <w:color w:val="auto"/>
              </w:rPr>
              <w:t>5.4</w:t>
            </w:r>
          </w:p>
        </w:tc>
        <w:tc>
          <w:tcPr>
            <w:tcW w:w="1560" w:type="dxa"/>
            <w:vAlign w:val="bottom"/>
          </w:tcPr>
          <w:p>
            <w:pPr>
              <w:jc w:val="right"/>
              <w:ind w:right="466"/>
              <w:spacing w:after="0" w:line="160" w:lineRule="exact"/>
              <w:rPr>
                <w:sz w:val="20"/>
                <w:szCs w:val="20"/>
                <w:color w:val="auto"/>
              </w:rPr>
            </w:pPr>
            <w:r>
              <w:rPr>
                <w:rFonts w:ascii="Arial" w:cs="Arial" w:eastAsia="Arial" w:hAnsi="Arial"/>
                <w:sz w:val="15"/>
                <w:szCs w:val="15"/>
                <w:color w:val="auto"/>
              </w:rPr>
              <w:t>3.8</w:t>
            </w:r>
          </w:p>
        </w:tc>
        <w:tc>
          <w:tcPr>
            <w:tcW w:w="1200" w:type="dxa"/>
            <w:vAlign w:val="bottom"/>
          </w:tcPr>
          <w:p>
            <w:pPr>
              <w:jc w:val="right"/>
              <w:spacing w:after="0" w:line="160" w:lineRule="exact"/>
              <w:rPr>
                <w:sz w:val="20"/>
                <w:szCs w:val="20"/>
                <w:color w:val="auto"/>
              </w:rPr>
            </w:pPr>
            <w:r>
              <w:rPr>
                <w:rFonts w:ascii="Arial" w:cs="Arial" w:eastAsia="Arial" w:hAnsi="Arial"/>
                <w:sz w:val="15"/>
                <w:szCs w:val="15"/>
                <w:color w:val="auto"/>
              </w:rPr>
              <w:t>-30.1%</w:t>
            </w: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5"/>
                <w:szCs w:val="15"/>
                <w:color w:val="auto"/>
              </w:rPr>
              <w:t>Communications</w:t>
            </w:r>
          </w:p>
        </w:tc>
        <w:tc>
          <w:tcPr>
            <w:tcW w:w="37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2.4</w:t>
            </w:r>
          </w:p>
        </w:tc>
        <w:tc>
          <w:tcPr>
            <w:tcW w:w="1560" w:type="dxa"/>
            <w:vAlign w:val="bottom"/>
          </w:tcPr>
          <w:p>
            <w:pPr>
              <w:jc w:val="right"/>
              <w:ind w:right="466"/>
              <w:spacing w:after="0" w:line="162" w:lineRule="exact"/>
              <w:rPr>
                <w:sz w:val="20"/>
                <w:szCs w:val="20"/>
                <w:color w:val="auto"/>
              </w:rPr>
            </w:pPr>
            <w:r>
              <w:rPr>
                <w:rFonts w:ascii="Arial" w:cs="Arial" w:eastAsia="Arial" w:hAnsi="Arial"/>
                <w:sz w:val="15"/>
                <w:szCs w:val="15"/>
                <w:color w:val="auto"/>
              </w:rPr>
              <w:t>2.1</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-13.0%</w:t>
            </w: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5"/>
                <w:szCs w:val="15"/>
                <w:color w:val="auto"/>
              </w:rPr>
              <w:t>Third party fees</w:t>
            </w:r>
          </w:p>
        </w:tc>
        <w:tc>
          <w:tcPr>
            <w:tcW w:w="37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5.0</w:t>
            </w:r>
          </w:p>
        </w:tc>
        <w:tc>
          <w:tcPr>
            <w:tcW w:w="1560" w:type="dxa"/>
            <w:vAlign w:val="bottom"/>
          </w:tcPr>
          <w:p>
            <w:pPr>
              <w:jc w:val="right"/>
              <w:ind w:right="466"/>
              <w:spacing w:after="0" w:line="162" w:lineRule="exact"/>
              <w:rPr>
                <w:sz w:val="20"/>
                <w:szCs w:val="20"/>
                <w:color w:val="auto"/>
              </w:rPr>
            </w:pPr>
            <w:r>
              <w:rPr>
                <w:rFonts w:ascii="Arial" w:cs="Arial" w:eastAsia="Arial" w:hAnsi="Arial"/>
                <w:sz w:val="15"/>
                <w:szCs w:val="15"/>
                <w:color w:val="auto"/>
              </w:rPr>
              <w:t>5.1</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5"/>
                <w:szCs w:val="15"/>
                <w:color w:val="auto"/>
              </w:rPr>
              <w:t>Insurance and security</w:t>
            </w:r>
          </w:p>
        </w:tc>
        <w:tc>
          <w:tcPr>
            <w:tcW w:w="37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2.2</w:t>
            </w:r>
          </w:p>
        </w:tc>
        <w:tc>
          <w:tcPr>
            <w:tcW w:w="1560" w:type="dxa"/>
            <w:vAlign w:val="bottom"/>
          </w:tcPr>
          <w:p>
            <w:pPr>
              <w:jc w:val="right"/>
              <w:ind w:right="466"/>
              <w:spacing w:after="0" w:line="162" w:lineRule="exact"/>
              <w:rPr>
                <w:sz w:val="20"/>
                <w:szCs w:val="20"/>
                <w:color w:val="auto"/>
              </w:rPr>
            </w:pPr>
            <w:r>
              <w:rPr>
                <w:rFonts w:ascii="Arial" w:cs="Arial" w:eastAsia="Arial" w:hAnsi="Arial"/>
                <w:sz w:val="15"/>
                <w:szCs w:val="15"/>
                <w:color w:val="auto"/>
              </w:rPr>
              <w:t>2.1</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-0.9%</w:t>
            </w: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5"/>
                <w:szCs w:val="15"/>
                <w:color w:val="auto"/>
              </w:rPr>
              <w:t>Transport of currency and securities</w:t>
            </w:r>
          </w:p>
        </w:tc>
        <w:tc>
          <w:tcPr>
            <w:tcW w:w="37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3.9</w:t>
            </w:r>
          </w:p>
        </w:tc>
        <w:tc>
          <w:tcPr>
            <w:tcW w:w="1560" w:type="dxa"/>
            <w:vAlign w:val="bottom"/>
          </w:tcPr>
          <w:p>
            <w:pPr>
              <w:jc w:val="right"/>
              <w:ind w:right="466"/>
              <w:spacing w:after="0" w:line="162" w:lineRule="exact"/>
              <w:rPr>
                <w:sz w:val="20"/>
                <w:szCs w:val="20"/>
                <w:color w:val="auto"/>
              </w:rPr>
            </w:pPr>
            <w:r>
              <w:rPr>
                <w:rFonts w:ascii="Arial" w:cs="Arial" w:eastAsia="Arial" w:hAnsi="Arial"/>
                <w:sz w:val="15"/>
                <w:szCs w:val="15"/>
                <w:color w:val="auto"/>
              </w:rPr>
              <w:t>3.7</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-6.2%</w:t>
            </w: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5"/>
                <w:szCs w:val="15"/>
                <w:color w:val="auto"/>
              </w:rPr>
              <w:t>Systems and maintenance</w:t>
            </w:r>
          </w:p>
        </w:tc>
        <w:tc>
          <w:tcPr>
            <w:tcW w:w="37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6.0</w:t>
            </w:r>
          </w:p>
        </w:tc>
        <w:tc>
          <w:tcPr>
            <w:tcW w:w="1560" w:type="dxa"/>
            <w:vAlign w:val="bottom"/>
          </w:tcPr>
          <w:p>
            <w:pPr>
              <w:jc w:val="right"/>
              <w:ind w:right="466"/>
              <w:spacing w:after="0" w:line="162" w:lineRule="exact"/>
              <w:rPr>
                <w:sz w:val="20"/>
                <w:szCs w:val="20"/>
                <w:color w:val="auto"/>
              </w:rPr>
            </w:pPr>
            <w:r>
              <w:rPr>
                <w:rFonts w:ascii="Arial" w:cs="Arial" w:eastAsia="Arial" w:hAnsi="Arial"/>
                <w:sz w:val="15"/>
                <w:szCs w:val="15"/>
                <w:color w:val="auto"/>
              </w:rPr>
              <w:t>4.3</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-28.7%</w:t>
            </w: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5"/>
                <w:szCs w:val="15"/>
                <w:color w:val="auto"/>
              </w:rPr>
              <w:t>Advertising and marketing</w:t>
            </w:r>
          </w:p>
        </w:tc>
        <w:tc>
          <w:tcPr>
            <w:tcW w:w="378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6.2</w:t>
            </w:r>
          </w:p>
        </w:tc>
        <w:tc>
          <w:tcPr>
            <w:tcW w:w="1560" w:type="dxa"/>
            <w:vAlign w:val="bottom"/>
          </w:tcPr>
          <w:p>
            <w:pPr>
              <w:jc w:val="right"/>
              <w:ind w:right="466"/>
              <w:spacing w:after="0" w:line="162" w:lineRule="exact"/>
              <w:rPr>
                <w:sz w:val="20"/>
                <w:szCs w:val="20"/>
                <w:color w:val="auto"/>
              </w:rPr>
            </w:pPr>
            <w:r>
              <w:rPr>
                <w:rFonts w:ascii="Arial" w:cs="Arial" w:eastAsia="Arial" w:hAnsi="Arial"/>
                <w:sz w:val="15"/>
                <w:szCs w:val="15"/>
                <w:color w:val="auto"/>
              </w:rPr>
              <w:t>6.3</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r>
      <w:tr>
        <w:trPr>
          <w:trHeight w:val="158"/>
        </w:trPr>
        <w:tc>
          <w:tcPr>
            <w:tcW w:w="4880" w:type="dxa"/>
            <w:vAlign w:val="bottom"/>
          </w:tcPr>
          <w:p>
            <w:pPr>
              <w:spacing w:after="0" w:line="158" w:lineRule="exact"/>
              <w:rPr>
                <w:sz w:val="20"/>
                <w:szCs w:val="20"/>
                <w:color w:val="auto"/>
              </w:rPr>
            </w:pPr>
            <w:r>
              <w:rPr>
                <w:rFonts w:ascii="Arial" w:cs="Arial" w:eastAsia="Arial" w:hAnsi="Arial"/>
                <w:sz w:val="15"/>
                <w:szCs w:val="15"/>
                <w:color w:val="auto"/>
              </w:rPr>
              <w:t>Other G&amp;A</w:t>
            </w:r>
          </w:p>
        </w:tc>
        <w:tc>
          <w:tcPr>
            <w:tcW w:w="3780" w:type="dxa"/>
            <w:vAlign w:val="bottom"/>
          </w:tcPr>
          <w:p>
            <w:pPr>
              <w:jc w:val="right"/>
              <w:ind w:right="626"/>
              <w:spacing w:after="0" w:line="158" w:lineRule="exact"/>
              <w:rPr>
                <w:sz w:val="20"/>
                <w:szCs w:val="20"/>
                <w:color w:val="auto"/>
              </w:rPr>
            </w:pPr>
            <w:r>
              <w:rPr>
                <w:rFonts w:ascii="Arial" w:cs="Arial" w:eastAsia="Arial" w:hAnsi="Arial"/>
                <w:sz w:val="15"/>
                <w:szCs w:val="15"/>
                <w:color w:val="auto"/>
              </w:rPr>
              <w:t>2.5</w:t>
            </w:r>
          </w:p>
        </w:tc>
        <w:tc>
          <w:tcPr>
            <w:tcW w:w="1560" w:type="dxa"/>
            <w:vAlign w:val="bottom"/>
          </w:tcPr>
          <w:p>
            <w:pPr>
              <w:jc w:val="right"/>
              <w:ind w:right="466"/>
              <w:spacing w:after="0" w:line="158" w:lineRule="exact"/>
              <w:rPr>
                <w:sz w:val="20"/>
                <w:szCs w:val="20"/>
                <w:color w:val="auto"/>
              </w:rPr>
            </w:pPr>
            <w:r>
              <w:rPr>
                <w:rFonts w:ascii="Arial" w:cs="Arial" w:eastAsia="Arial" w:hAnsi="Arial"/>
                <w:sz w:val="15"/>
                <w:szCs w:val="15"/>
                <w:color w:val="auto"/>
              </w:rPr>
              <w:t>3.2</w:t>
            </w:r>
          </w:p>
        </w:tc>
        <w:tc>
          <w:tcPr>
            <w:tcW w:w="1200" w:type="dxa"/>
            <w:vAlign w:val="bottom"/>
          </w:tcPr>
          <w:p>
            <w:pPr>
              <w:jc w:val="right"/>
              <w:spacing w:after="0" w:line="158" w:lineRule="exact"/>
              <w:rPr>
                <w:sz w:val="20"/>
                <w:szCs w:val="20"/>
                <w:color w:val="auto"/>
              </w:rPr>
            </w:pPr>
            <w:r>
              <w:rPr>
                <w:rFonts w:ascii="Arial" w:cs="Arial" w:eastAsia="Arial" w:hAnsi="Arial"/>
                <w:sz w:val="15"/>
                <w:szCs w:val="15"/>
                <w:color w:val="auto"/>
              </w:rPr>
              <w:t>29.9%</w:t>
            </w:r>
          </w:p>
        </w:tc>
      </w:tr>
      <w:tr>
        <w:trPr>
          <w:trHeight w:val="175"/>
        </w:trPr>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Total G&amp;A</w:t>
            </w:r>
          </w:p>
        </w:tc>
        <w:tc>
          <w:tcPr>
            <w:tcW w:w="37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33.6</w:t>
            </w:r>
          </w:p>
        </w:tc>
        <w:tc>
          <w:tcPr>
            <w:tcW w:w="15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30.6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Other Expense heading within Other Non-Interest Expenses, decreased from US$ 16.2 million in the 4Q04, to US$ 1 million in 4Q05, mainly due to the reversal of provisions related to the price of Credicorp’s stock, based on which the stock appreciation rights awarded under the management incentive program are determined. Credicorp’s share price closed at US$ 22.79 in December 2005, having reached a high of US$ 28.57 in September of 2005.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both"/>
        <w:spacing w:after="0" w:line="241" w:lineRule="auto"/>
        <w:rPr>
          <w:sz w:val="20"/>
          <w:szCs w:val="20"/>
          <w:color w:val="auto"/>
        </w:rPr>
      </w:pPr>
      <w:r>
        <w:rPr>
          <w:rFonts w:ascii="Arial" w:cs="Arial" w:eastAsia="Arial" w:hAnsi="Arial"/>
          <w:sz w:val="22"/>
          <w:szCs w:val="22"/>
          <w:color w:val="auto"/>
        </w:rPr>
        <w:t>As a result of this trend, total expenses fell 11% 4Q05/3Q05, and rose only 1.2% for the year 2005, from US$ 365 million to US$ 370 million. One positive result of these expense controls and the improved generation of income were the significant improvements in BCP’s efficiency ratios.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:Starting with 2005 reports, the determination of the </w:t>
      </w:r>
      <w:r>
        <w:rPr>
          <w:rFonts w:ascii="Arial" w:cs="Arial" w:eastAsia="Arial" w:hAnsi="Arial"/>
          <w:sz w:val="19"/>
          <w:szCs w:val="19"/>
          <w:b w:val="1"/>
          <w:bCs w:val="1"/>
          <w:color w:val="auto"/>
        </w:rPr>
        <w:t>efficiency ratio</w:t>
      </w:r>
      <w:r>
        <w:rPr>
          <w:rFonts w:ascii="Arial" w:cs="Arial" w:eastAsia="Arial" w:hAnsi="Arial"/>
          <w:sz w:val="19"/>
          <w:szCs w:val="19"/>
          <w:color w:val="auto"/>
        </w:rPr>
        <w:t xml:space="preserve"> has been simplified by using only specific line items that are shown in the income statement (see Table No. 5). The efficiency ratio will be determined from the following concepts:</w:t>
      </w:r>
    </w:p>
    <w:p>
      <w:pPr>
        <w:ind w:right="20" w:firstLine="8"/>
        <w:spacing w:after="0" w:line="230"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22"/>
          <w:szCs w:val="22"/>
          <w:color w:val="auto"/>
        </w:rPr>
        <w:t>- In the numerator or “operating expenses”: i) salaries and personnel expenses, ii) general expenses, iii) depreciation and amortization, and iv) taxes other than income taxes.</w:t>
      </w:r>
    </w:p>
    <w:p>
      <w:pPr>
        <w:spacing w:after="0" w:line="1" w:lineRule="exact"/>
        <w:rPr>
          <w:rFonts w:ascii="Arial" w:cs="Arial" w:eastAsia="Arial" w:hAnsi="Arial"/>
          <w:sz w:val="22"/>
          <w:szCs w:val="22"/>
          <w:color w:val="auto"/>
        </w:rPr>
      </w:pPr>
    </w:p>
    <w:p>
      <w:pPr>
        <w:ind w:right="20" w:firstLine="8"/>
        <w:spacing w:after="0" w:line="237" w:lineRule="auto"/>
        <w:tabs>
          <w:tab w:leader="none" w:pos="149" w:val="left"/>
        </w:tabs>
        <w:numPr>
          <w:ilvl w:val="0"/>
          <w:numId w:val="7"/>
        </w:numPr>
        <w:rPr>
          <w:rFonts w:ascii="Arial" w:cs="Arial" w:eastAsia="Arial" w:hAnsi="Arial"/>
          <w:sz w:val="22"/>
          <w:szCs w:val="22"/>
          <w:color w:val="auto"/>
        </w:rPr>
      </w:pPr>
      <w:r>
        <w:rPr>
          <w:rFonts w:ascii="Arial" w:cs="Arial" w:eastAsia="Arial" w:hAnsi="Arial"/>
          <w:sz w:val="22"/>
          <w:szCs w:val="22"/>
          <w:color w:val="auto"/>
        </w:rPr>
        <w:t>- In the denominator: i) net interest income, ii) fees and commissions on banking services, and iii) gains on foreign exchange transactions.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Thus </w:t>
      </w:r>
      <w:r>
        <w:rPr>
          <w:rFonts w:ascii="Arial" w:cs="Arial" w:eastAsia="Arial" w:hAnsi="Arial"/>
          <w:sz w:val="22"/>
          <w:szCs w:val="22"/>
          <w:b w:val="1"/>
          <w:bCs w:val="1"/>
          <w:color w:val="auto"/>
        </w:rPr>
        <w:t>the efficiency ratio</w:t>
      </w:r>
      <w:r>
        <w:rPr>
          <w:rFonts w:ascii="Arial" w:cs="Arial" w:eastAsia="Arial" w:hAnsi="Arial"/>
          <w:sz w:val="22"/>
          <w:szCs w:val="22"/>
          <w:color w:val="auto"/>
        </w:rPr>
        <w:t xml:space="preserve"> improved from 59.9% to 51.7%, comparing the fourth quarters of 2004 and 2005, respectively, reflecting the same behavior on an accumulated basis for the year, as also did the ratio of operating expenses as a percentage of average total assets, which declined from 4.7% in the 4Q04 to 4.0% in 4Q05.</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II.5 ASSETS AND LIABILITIES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BCP’s </w:t>
      </w:r>
      <w:r>
        <w:rPr>
          <w:rFonts w:ascii="Arial" w:cs="Arial" w:eastAsia="Arial" w:hAnsi="Arial"/>
          <w:sz w:val="22"/>
          <w:szCs w:val="22"/>
          <w:b w:val="1"/>
          <w:bCs w:val="1"/>
          <w:color w:val="auto"/>
        </w:rPr>
        <w:t>total assets</w:t>
      </w:r>
      <w:r>
        <w:rPr>
          <w:rFonts w:ascii="Arial" w:cs="Arial" w:eastAsia="Arial" w:hAnsi="Arial"/>
          <w:sz w:val="22"/>
          <w:szCs w:val="22"/>
          <w:color w:val="auto"/>
        </w:rPr>
        <w:t xml:space="preserve"> reached US$ 9.317 billion as of December 31, 2005, rising 13.8% compared with the balance in September, and 27.4% with respect to the balance as of December 31, 2004, mainly due to growth in total loans, up 17.8%, and an increase in the investment portfolio, which grew 49.5% due to excess liquidity in the bank. There was also a 45.0% growth in deposits at the Central Bank, which contain a heavy position in US Dollars (greater than US$ 500 million) as coverage for US Dollar forward sales due to demand by corporate customers in the face of volatility in the exchange rate observed in December as a result of political events.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Consolidated total loans </w:t>
      </w:r>
      <w:r>
        <w:rPr>
          <w:rFonts w:ascii="Arial" w:cs="Arial" w:eastAsia="Arial" w:hAnsi="Arial"/>
          <w:sz w:val="22"/>
          <w:szCs w:val="22"/>
          <w:color w:val="auto"/>
        </w:rPr>
        <w:t>reached US$ 4.830 billion at the close of December 2005, increasing 7.8% with respect to the previous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quarter, and 17.8% compared with the December 2004 balance. Nevertheless, a better indicator of loan growth trends is the evolution of </w:t>
      </w:r>
      <w:r>
        <w:rPr>
          <w:rFonts w:ascii="Arial" w:cs="Arial" w:eastAsia="Arial" w:hAnsi="Arial"/>
          <w:sz w:val="22"/>
          <w:szCs w:val="22"/>
          <w:b w:val="1"/>
          <w:bCs w:val="1"/>
          <w:color w:val="auto"/>
        </w:rPr>
        <w:t>net</w:t>
      </w:r>
      <w:r>
        <w:rPr>
          <w:rFonts w:ascii="Arial" w:cs="Arial" w:eastAsia="Arial" w:hAnsi="Arial"/>
          <w:sz w:val="22"/>
          <w:szCs w:val="22"/>
          <w:color w:val="auto"/>
        </w:rPr>
        <w:t xml:space="preserve"> loans</w:t>
      </w:r>
      <w:r>
        <w:rPr>
          <w:rFonts w:ascii="Arial" w:cs="Arial" w:eastAsia="Arial" w:hAnsi="Arial"/>
          <w:sz w:val="22"/>
          <w:szCs w:val="22"/>
          <w:b w:val="1"/>
          <w:bCs w:val="1"/>
          <w:color w:val="auto"/>
        </w:rPr>
        <w:t>,</w:t>
      </w:r>
      <w:r>
        <w:rPr>
          <w:rFonts w:ascii="Arial" w:cs="Arial" w:eastAsia="Arial" w:hAnsi="Arial"/>
          <w:sz w:val="22"/>
          <w:szCs w:val="22"/>
          <w:color w:val="auto"/>
        </w:rPr>
        <w:t xml:space="preserve"> which grew 20.2% with respect to December of 2004, due to less non-performing loans and the lower requirements for provisions, whose 19.3% decline reflects reduced portfolio risk.</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greater growth of investments with respect to loans led to the loan portfolio, as of December 31, 2005, net of provisions, representing 49.7% of total assets, less than the 52.3% for the preceding quarter. Progress was also noted in the process of de-dollarizing BCP’s assets. At the end of the fourth quarter, the portions of total loans in local currency and Dollars were 23% and 77%, respectively, compared with a composition of 17% and 83%, respectively, in 2004.</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With respect to BCP’s </w:t>
      </w:r>
      <w:r>
        <w:rPr>
          <w:rFonts w:ascii="Arial" w:cs="Arial" w:eastAsia="Arial" w:hAnsi="Arial"/>
          <w:sz w:val="22"/>
          <w:szCs w:val="22"/>
          <w:b w:val="1"/>
          <w:bCs w:val="1"/>
          <w:color w:val="auto"/>
        </w:rPr>
        <w:t>deposits and obligations</w:t>
      </w:r>
      <w:r>
        <w:rPr>
          <w:rFonts w:ascii="Arial" w:cs="Arial" w:eastAsia="Arial" w:hAnsi="Arial"/>
          <w:sz w:val="22"/>
          <w:szCs w:val="22"/>
          <w:color w:val="auto"/>
        </w:rPr>
        <w:t>, these also grow in proportion to loan growth. As of December 31, 2005, they reached the total of US$ 6.653 billion. This is 7.8% over the balance for the previous quarter and 19.8% higher than the balance as of December of last year. This growth guarantees certain stability in the cost of funds since comparing the present quarter with respect to the preceding one, sight deposits rose by 8.7% and savings deposits by 4.4%, while time deposits rose 9.4% . Deposits in local currency were 27.7% of total deposits.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balance of </w:t>
      </w:r>
      <w:r>
        <w:rPr>
          <w:rFonts w:ascii="Arial" w:cs="Arial" w:eastAsia="Arial" w:hAnsi="Arial"/>
          <w:sz w:val="22"/>
          <w:szCs w:val="22"/>
          <w:b w:val="1"/>
          <w:bCs w:val="1"/>
          <w:color w:val="auto"/>
        </w:rPr>
        <w:t>owed to banks and correspondents</w:t>
      </w:r>
      <w:r>
        <w:rPr>
          <w:rFonts w:ascii="Arial" w:cs="Arial" w:eastAsia="Arial" w:hAnsi="Arial"/>
          <w:sz w:val="22"/>
          <w:szCs w:val="22"/>
          <w:color w:val="auto"/>
        </w:rPr>
        <w:t xml:space="preserve"> as of December 2005 reached US$ 995.1 million, 162% higher with respect to the previous quarter and 361% higher with respect to the previous year. This jump in the present quarter was due mainly to a funding operation through securities’ repurchase contracts with the Central Bank for more than US$ 500 million to cover the above-mentioned US Dollar forwards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BCP's subsidiaries had the following loan, net of provisions, and deposit contributions: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600" w:type="dxa"/>
            <w:vAlign w:val="bottom"/>
            <w:tcBorders>
              <w:top w:val="single" w:sz="8" w:color="auto"/>
              <w:bottom w:val="single" w:sz="8" w:color="auto"/>
            </w:tcBorders>
          </w:tcPr>
          <w:p>
            <w:pPr>
              <w:spacing w:after="0"/>
              <w:rPr>
                <w:sz w:val="16"/>
                <w:szCs w:val="16"/>
                <w:color w:val="auto"/>
              </w:rPr>
            </w:pPr>
          </w:p>
        </w:tc>
        <w:tc>
          <w:tcPr>
            <w:tcW w:w="280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5"/>
                <w:szCs w:val="15"/>
                <w:b w:val="1"/>
                <w:bCs w:val="1"/>
                <w:color w:val="auto"/>
              </w:rPr>
              <w:t>Loans, net</w:t>
            </w:r>
          </w:p>
        </w:tc>
        <w:tc>
          <w:tcPr>
            <w:tcW w:w="1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Total Deposits</w:t>
            </w:r>
          </w:p>
        </w:tc>
        <w:tc>
          <w:tcPr>
            <w:tcW w:w="1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i w:val="1"/>
                <w:iCs w:val="1"/>
                <w:color w:val="auto"/>
              </w:rPr>
              <w:t>(In % and US$ millions)</w:t>
            </w:r>
          </w:p>
        </w:tc>
        <w:tc>
          <w:tcPr>
            <w:tcW w:w="2480" w:type="dxa"/>
            <w:vAlign w:val="bottom"/>
            <w:tcBorders>
              <w:bottom w:val="single" w:sz="8" w:color="auto"/>
            </w:tcBorders>
            <w:gridSpan w:val="3"/>
          </w:tcPr>
          <w:p>
            <w:pPr>
              <w:jc w:val="right"/>
              <w:ind w:right="180"/>
              <w:spacing w:after="0" w:line="169" w:lineRule="exact"/>
              <w:rPr>
                <w:sz w:val="20"/>
                <w:szCs w:val="20"/>
                <w:color w:val="auto"/>
              </w:rPr>
            </w:pPr>
            <w:r>
              <w:rPr>
                <w:rFonts w:ascii="Arial" w:cs="Arial" w:eastAsia="Arial" w:hAnsi="Arial"/>
                <w:sz w:val="15"/>
                <w:szCs w:val="15"/>
                <w:b w:val="1"/>
                <w:bCs w:val="1"/>
                <w:color w:val="auto"/>
              </w:rPr>
              <w:t>31.12.04</w:t>
            </w:r>
          </w:p>
        </w:tc>
        <w:tc>
          <w:tcPr>
            <w:tcW w:w="960" w:type="dxa"/>
            <w:vAlign w:val="bottom"/>
            <w:tcBorders>
              <w:bottom w:val="single" w:sz="8" w:color="auto"/>
            </w:tcBorders>
            <w:gridSpan w:val="2"/>
          </w:tcPr>
          <w:p>
            <w:pPr>
              <w:ind w:left="200"/>
              <w:spacing w:after="0" w:line="169" w:lineRule="exact"/>
              <w:rPr>
                <w:sz w:val="20"/>
                <w:szCs w:val="20"/>
                <w:color w:val="auto"/>
              </w:rPr>
            </w:pPr>
            <w:r>
              <w:rPr>
                <w:rFonts w:ascii="Arial" w:cs="Arial" w:eastAsia="Arial" w:hAnsi="Arial"/>
                <w:sz w:val="15"/>
                <w:szCs w:val="15"/>
                <w:b w:val="1"/>
                <w:bCs w:val="1"/>
                <w:color w:val="auto"/>
              </w:rPr>
              <w:t>30.09.05</w:t>
            </w: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w w:val="99"/>
              </w:rPr>
              <w:t>31.12.05</w:t>
            </w: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120"/>
              <w:spacing w:after="0" w:line="169" w:lineRule="exact"/>
              <w:rPr>
                <w:sz w:val="20"/>
                <w:szCs w:val="20"/>
                <w:color w:val="auto"/>
              </w:rPr>
            </w:pPr>
            <w:r>
              <w:rPr>
                <w:rFonts w:ascii="Arial" w:cs="Arial" w:eastAsia="Arial" w:hAnsi="Arial"/>
                <w:sz w:val="15"/>
                <w:szCs w:val="15"/>
                <w:b w:val="1"/>
                <w:bCs w:val="1"/>
                <w:color w:val="auto"/>
                <w:w w:val="99"/>
              </w:rPr>
              <w:t>31.12.04</w:t>
            </w:r>
          </w:p>
        </w:tc>
        <w:tc>
          <w:tcPr>
            <w:tcW w:w="1000" w:type="dxa"/>
            <w:vAlign w:val="bottom"/>
            <w:tcBorders>
              <w:bottom w:val="single" w:sz="8" w:color="auto"/>
            </w:tcBorders>
            <w:gridSpan w:val="2"/>
          </w:tcPr>
          <w:p>
            <w:pPr>
              <w:ind w:left="140"/>
              <w:spacing w:after="0" w:line="169" w:lineRule="exact"/>
              <w:rPr>
                <w:sz w:val="20"/>
                <w:szCs w:val="20"/>
                <w:color w:val="auto"/>
              </w:rPr>
            </w:pPr>
            <w:r>
              <w:rPr>
                <w:rFonts w:ascii="Arial" w:cs="Arial" w:eastAsia="Arial" w:hAnsi="Arial"/>
                <w:sz w:val="15"/>
                <w:szCs w:val="15"/>
                <w:b w:val="1"/>
                <w:bCs w:val="1"/>
                <w:color w:val="auto"/>
              </w:rPr>
              <w:t>30.09.05</w:t>
            </w: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w w:val="99"/>
              </w:rPr>
              <w:t>31.12.05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00" w:type="dxa"/>
            <w:vAlign w:val="bottom"/>
            <w:gridSpan w:val="2"/>
          </w:tcPr>
          <w:p>
            <w:pPr>
              <w:spacing w:after="0" w:line="160" w:lineRule="exact"/>
              <w:rPr>
                <w:sz w:val="20"/>
                <w:szCs w:val="20"/>
                <w:color w:val="auto"/>
              </w:rPr>
            </w:pPr>
            <w:r>
              <w:rPr>
                <w:rFonts w:ascii="Arial" w:cs="Arial" w:eastAsia="Arial" w:hAnsi="Arial"/>
                <w:sz w:val="15"/>
                <w:szCs w:val="15"/>
                <w:color w:val="auto"/>
              </w:rPr>
              <w:t>Banco de Crédito del Perú</w:t>
            </w:r>
          </w:p>
        </w:tc>
        <w:tc>
          <w:tcPr>
            <w:tcW w:w="2480" w:type="dxa"/>
            <w:vAlign w:val="bottom"/>
            <w:gridSpan w:val="3"/>
          </w:tcPr>
          <w:p>
            <w:pPr>
              <w:jc w:val="right"/>
              <w:ind w:right="180"/>
              <w:spacing w:after="0" w:line="160" w:lineRule="exact"/>
              <w:rPr>
                <w:sz w:val="20"/>
                <w:szCs w:val="20"/>
                <w:color w:val="auto"/>
              </w:rPr>
            </w:pPr>
            <w:r>
              <w:rPr>
                <w:rFonts w:ascii="Arial" w:cs="Arial" w:eastAsia="Arial" w:hAnsi="Arial"/>
                <w:sz w:val="15"/>
                <w:szCs w:val="15"/>
                <w:color w:val="auto"/>
              </w:rPr>
              <w:t>87.7%</w:t>
            </w:r>
          </w:p>
        </w:tc>
        <w:tc>
          <w:tcPr>
            <w:tcW w:w="1520" w:type="dxa"/>
            <w:vAlign w:val="bottom"/>
            <w:gridSpan w:val="3"/>
          </w:tcPr>
          <w:p>
            <w:pPr>
              <w:jc w:val="right"/>
              <w:ind w:right="560"/>
              <w:spacing w:after="0" w:line="160" w:lineRule="exact"/>
              <w:rPr>
                <w:sz w:val="20"/>
                <w:szCs w:val="20"/>
                <w:color w:val="auto"/>
              </w:rPr>
            </w:pPr>
            <w:r>
              <w:rPr>
                <w:rFonts w:ascii="Arial" w:cs="Arial" w:eastAsia="Arial" w:hAnsi="Arial"/>
                <w:sz w:val="15"/>
                <w:szCs w:val="15"/>
                <w:color w:val="auto"/>
              </w:rPr>
              <w:t>88.5%</w:t>
            </w:r>
          </w:p>
        </w:tc>
        <w:tc>
          <w:tcPr>
            <w:tcW w:w="6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89.7%</w:t>
            </w:r>
          </w:p>
        </w:tc>
        <w:tc>
          <w:tcPr>
            <w:tcW w:w="540" w:type="dxa"/>
            <w:vAlign w:val="bottom"/>
          </w:tcPr>
          <w:p>
            <w:pPr>
              <w:spacing w:after="0"/>
              <w:rPr>
                <w:sz w:val="13"/>
                <w:szCs w:val="13"/>
                <w:color w:val="auto"/>
              </w:rPr>
            </w:pPr>
          </w:p>
        </w:tc>
        <w:tc>
          <w:tcPr>
            <w:tcW w:w="720" w:type="dxa"/>
            <w:vAlign w:val="bottom"/>
            <w:gridSpan w:val="3"/>
          </w:tcPr>
          <w:p>
            <w:pPr>
              <w:jc w:val="right"/>
              <w:ind w:right="120"/>
              <w:spacing w:after="0" w:line="160" w:lineRule="exact"/>
              <w:rPr>
                <w:sz w:val="20"/>
                <w:szCs w:val="20"/>
                <w:color w:val="auto"/>
              </w:rPr>
            </w:pPr>
            <w:r>
              <w:rPr>
                <w:rFonts w:ascii="Arial" w:cs="Arial" w:eastAsia="Arial" w:hAnsi="Arial"/>
                <w:sz w:val="15"/>
                <w:szCs w:val="15"/>
                <w:color w:val="auto"/>
              </w:rPr>
              <w:t>91.4%</w:t>
            </w:r>
          </w:p>
        </w:tc>
        <w:tc>
          <w:tcPr>
            <w:tcW w:w="1520" w:type="dxa"/>
            <w:vAlign w:val="bottom"/>
            <w:gridSpan w:val="3"/>
          </w:tcPr>
          <w:p>
            <w:pPr>
              <w:jc w:val="right"/>
              <w:ind w:right="520"/>
              <w:spacing w:after="0" w:line="160" w:lineRule="exact"/>
              <w:rPr>
                <w:sz w:val="20"/>
                <w:szCs w:val="20"/>
                <w:color w:val="auto"/>
              </w:rPr>
            </w:pPr>
            <w:r>
              <w:rPr>
                <w:rFonts w:ascii="Arial" w:cs="Arial" w:eastAsia="Arial" w:hAnsi="Arial"/>
                <w:sz w:val="15"/>
                <w:szCs w:val="15"/>
                <w:color w:val="auto"/>
              </w:rPr>
              <w:t>91.9%</w:t>
            </w:r>
          </w:p>
        </w:tc>
        <w:tc>
          <w:tcPr>
            <w:tcW w:w="64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Arial" w:cs="Arial" w:eastAsia="Arial" w:hAnsi="Arial"/>
                <w:sz w:val="15"/>
                <w:szCs w:val="15"/>
                <w:color w:val="auto"/>
              </w:rPr>
              <w:t>Banco de Crédito de Bolivia</w:t>
            </w:r>
          </w:p>
        </w:tc>
        <w:tc>
          <w:tcPr>
            <w:tcW w:w="248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7.4%</w:t>
            </w:r>
          </w:p>
        </w:tc>
        <w:tc>
          <w:tcPr>
            <w:tcW w:w="1520" w:type="dxa"/>
            <w:vAlign w:val="bottom"/>
            <w:gridSpan w:val="3"/>
          </w:tcPr>
          <w:p>
            <w:pPr>
              <w:jc w:val="right"/>
              <w:ind w:right="560"/>
              <w:spacing w:after="0" w:line="162" w:lineRule="exact"/>
              <w:rPr>
                <w:sz w:val="20"/>
                <w:szCs w:val="20"/>
                <w:color w:val="auto"/>
              </w:rPr>
            </w:pPr>
            <w:r>
              <w:rPr>
                <w:rFonts w:ascii="Arial" w:cs="Arial" w:eastAsia="Arial" w:hAnsi="Arial"/>
                <w:sz w:val="15"/>
                <w:szCs w:val="15"/>
                <w:color w:val="auto"/>
              </w:rPr>
              <w:t>7.2%</w:t>
            </w: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w:t>
            </w:r>
          </w:p>
        </w:tc>
        <w:tc>
          <w:tcPr>
            <w:tcW w:w="540" w:type="dxa"/>
            <w:vAlign w:val="bottom"/>
          </w:tcPr>
          <w:p>
            <w:pPr>
              <w:spacing w:after="0"/>
              <w:rPr>
                <w:sz w:val="14"/>
                <w:szCs w:val="14"/>
                <w:color w:val="auto"/>
              </w:rPr>
            </w:pPr>
          </w:p>
        </w:tc>
        <w:tc>
          <w:tcPr>
            <w:tcW w:w="72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6.0%</w:t>
            </w:r>
          </w:p>
        </w:tc>
        <w:tc>
          <w:tcPr>
            <w:tcW w:w="1520" w:type="dxa"/>
            <w:vAlign w:val="bottom"/>
            <w:gridSpan w:val="3"/>
          </w:tcPr>
          <w:p>
            <w:pPr>
              <w:jc w:val="right"/>
              <w:ind w:right="520"/>
              <w:spacing w:after="0" w:line="162" w:lineRule="exact"/>
              <w:rPr>
                <w:sz w:val="20"/>
                <w:szCs w:val="20"/>
                <w:color w:val="auto"/>
              </w:rPr>
            </w:pPr>
            <w:r>
              <w:rPr>
                <w:rFonts w:ascii="Arial" w:cs="Arial" w:eastAsia="Arial" w:hAnsi="Arial"/>
                <w:sz w:val="15"/>
                <w:szCs w:val="15"/>
                <w:color w:val="auto"/>
              </w:rPr>
              <w:t>5.7%</w:t>
            </w:r>
          </w:p>
        </w:tc>
        <w:tc>
          <w:tcPr>
            <w:tcW w:w="6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Arial" w:cs="Arial" w:eastAsia="Arial" w:hAnsi="Arial"/>
                <w:sz w:val="15"/>
                <w:szCs w:val="15"/>
                <w:color w:val="auto"/>
              </w:rPr>
              <w:t>Crédito Leasing</w:t>
            </w:r>
          </w:p>
        </w:tc>
        <w:tc>
          <w:tcPr>
            <w:tcW w:w="248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5.0%</w:t>
            </w:r>
          </w:p>
        </w:tc>
        <w:tc>
          <w:tcPr>
            <w:tcW w:w="1520" w:type="dxa"/>
            <w:vAlign w:val="bottom"/>
            <w:gridSpan w:val="3"/>
          </w:tcPr>
          <w:p>
            <w:pPr>
              <w:jc w:val="right"/>
              <w:ind w:right="560"/>
              <w:spacing w:after="0" w:line="162" w:lineRule="exact"/>
              <w:rPr>
                <w:sz w:val="20"/>
                <w:szCs w:val="20"/>
                <w:color w:val="auto"/>
              </w:rPr>
            </w:pPr>
            <w:r>
              <w:rPr>
                <w:rFonts w:ascii="Arial" w:cs="Arial" w:eastAsia="Arial" w:hAnsi="Arial"/>
                <w:sz w:val="15"/>
                <w:szCs w:val="15"/>
                <w:color w:val="auto"/>
              </w:rPr>
              <w:t>4.3%</w:t>
            </w: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w:t>
            </w:r>
          </w:p>
        </w:tc>
        <w:tc>
          <w:tcPr>
            <w:tcW w:w="540" w:type="dxa"/>
            <w:vAlign w:val="bottom"/>
          </w:tcPr>
          <w:p>
            <w:pPr>
              <w:spacing w:after="0"/>
              <w:rPr>
                <w:sz w:val="14"/>
                <w:szCs w:val="14"/>
                <w:color w:val="auto"/>
              </w:rPr>
            </w:pPr>
          </w:p>
        </w:tc>
        <w:tc>
          <w:tcPr>
            <w:tcW w:w="72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2.6%</w:t>
            </w:r>
          </w:p>
        </w:tc>
        <w:tc>
          <w:tcPr>
            <w:tcW w:w="1520" w:type="dxa"/>
            <w:vAlign w:val="bottom"/>
            <w:gridSpan w:val="3"/>
          </w:tcPr>
          <w:p>
            <w:pPr>
              <w:jc w:val="right"/>
              <w:ind w:right="520"/>
              <w:spacing w:after="0" w:line="162" w:lineRule="exact"/>
              <w:rPr>
                <w:sz w:val="20"/>
                <w:szCs w:val="20"/>
                <w:color w:val="auto"/>
              </w:rPr>
            </w:pPr>
            <w:r>
              <w:rPr>
                <w:rFonts w:ascii="Arial" w:cs="Arial" w:eastAsia="Arial" w:hAnsi="Arial"/>
                <w:sz w:val="15"/>
                <w:szCs w:val="15"/>
                <w:color w:val="auto"/>
              </w:rPr>
              <w:t>2.4%</w:t>
            </w:r>
          </w:p>
        </w:tc>
        <w:tc>
          <w:tcPr>
            <w:tcW w:w="6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58"/>
        </w:trPr>
        <w:tc>
          <w:tcPr>
            <w:tcW w:w="3400" w:type="dxa"/>
            <w:vAlign w:val="bottom"/>
            <w:gridSpan w:val="2"/>
          </w:tcPr>
          <w:p>
            <w:pPr>
              <w:spacing w:after="0" w:line="158" w:lineRule="exact"/>
              <w:rPr>
                <w:sz w:val="20"/>
                <w:szCs w:val="20"/>
                <w:color w:val="auto"/>
              </w:rPr>
            </w:pPr>
            <w:r>
              <w:rPr>
                <w:rFonts w:ascii="Arial" w:cs="Arial" w:eastAsia="Arial" w:hAnsi="Arial"/>
                <w:sz w:val="15"/>
                <w:szCs w:val="15"/>
                <w:color w:val="auto"/>
              </w:rPr>
              <w:t>TOTAL%</w:t>
            </w:r>
          </w:p>
        </w:tc>
        <w:tc>
          <w:tcPr>
            <w:tcW w:w="2480" w:type="dxa"/>
            <w:vAlign w:val="bottom"/>
            <w:gridSpan w:val="3"/>
          </w:tcPr>
          <w:p>
            <w:pPr>
              <w:jc w:val="right"/>
              <w:ind w:right="18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520" w:type="dxa"/>
            <w:vAlign w:val="bottom"/>
            <w:gridSpan w:val="3"/>
          </w:tcPr>
          <w:p>
            <w:pPr>
              <w:jc w:val="right"/>
              <w:ind w:right="56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6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540" w:type="dxa"/>
            <w:vAlign w:val="bottom"/>
          </w:tcPr>
          <w:p>
            <w:pPr>
              <w:spacing w:after="0"/>
              <w:rPr>
                <w:sz w:val="13"/>
                <w:szCs w:val="13"/>
                <w:color w:val="auto"/>
              </w:rPr>
            </w:pPr>
          </w:p>
        </w:tc>
        <w:tc>
          <w:tcPr>
            <w:tcW w:w="720" w:type="dxa"/>
            <w:vAlign w:val="bottom"/>
            <w:gridSpan w:val="3"/>
          </w:tcPr>
          <w:p>
            <w:pPr>
              <w:jc w:val="right"/>
              <w:ind w:right="12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520" w:type="dxa"/>
            <w:vAlign w:val="bottom"/>
            <w:gridSpan w:val="3"/>
          </w:tcPr>
          <w:p>
            <w:pPr>
              <w:jc w:val="right"/>
              <w:ind w:right="52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64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80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5"/>
                <w:szCs w:val="15"/>
                <w:b w:val="1"/>
                <w:bCs w:val="1"/>
                <w:color w:val="auto"/>
                <w:w w:val="80"/>
              </w:rPr>
              <w:t>Total BCP</w:t>
            </w:r>
          </w:p>
        </w:tc>
        <w:tc>
          <w:tcPr>
            <w:tcW w:w="2800" w:type="dxa"/>
            <w:vAlign w:val="bottom"/>
            <w:tcBorders>
              <w:bottom w:val="single" w:sz="8" w:color="auto"/>
            </w:tcBorders>
            <w:vMerge w:val="continue"/>
          </w:tcPr>
          <w:p>
            <w:pPr>
              <w:spacing w:after="0"/>
              <w:rPr>
                <w:sz w:val="12"/>
                <w:szCs w:val="12"/>
                <w:color w:val="auto"/>
              </w:rPr>
            </w:pPr>
          </w:p>
        </w:tc>
        <w:tc>
          <w:tcPr>
            <w:tcW w:w="2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3,857</w:t>
            </w: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560"/>
              <w:spacing w:after="0" w:line="142" w:lineRule="exact"/>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4,278</w:t>
            </w:r>
          </w:p>
        </w:tc>
        <w:tc>
          <w:tcPr>
            <w:tcW w:w="11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4,635</w:t>
            </w:r>
          </w:p>
        </w:tc>
        <w:tc>
          <w:tcPr>
            <w:tcW w:w="7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5"/>
                <w:szCs w:val="15"/>
                <w:b w:val="1"/>
                <w:bCs w:val="1"/>
                <w:u w:val="single" w:color="auto"/>
                <w:color w:val="auto"/>
                <w:w w:val="86"/>
              </w:rPr>
              <w:t>US$</w:t>
            </w:r>
            <w:r>
              <w:rPr>
                <w:rFonts w:ascii="Arial" w:cs="Arial" w:eastAsia="Arial" w:hAnsi="Arial"/>
                <w:sz w:val="15"/>
                <w:szCs w:val="15"/>
                <w:b w:val="1"/>
                <w:bCs w:val="1"/>
                <w:color w:val="auto"/>
                <w:w w:val="86"/>
              </w:rPr>
              <w:t>5,553</w:t>
            </w:r>
          </w:p>
        </w:tc>
        <w:tc>
          <w:tcPr>
            <w:tcW w:w="1520" w:type="dxa"/>
            <w:vAlign w:val="bottom"/>
            <w:tcBorders>
              <w:bottom w:val="single" w:sz="8" w:color="auto"/>
            </w:tcBorders>
            <w:gridSpan w:val="3"/>
          </w:tcPr>
          <w:p>
            <w:pPr>
              <w:jc w:val="right"/>
              <w:ind w:right="520"/>
              <w:spacing w:after="0" w:line="142" w:lineRule="exact"/>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6,169</w:t>
            </w:r>
          </w:p>
        </w:tc>
        <w:tc>
          <w:tcPr>
            <w:tcW w:w="6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5"/>
                <w:szCs w:val="15"/>
                <w:b w:val="1"/>
                <w:bCs w:val="1"/>
                <w:u w:val="single" w:color="auto"/>
                <w:color w:val="auto"/>
                <w:w w:val="86"/>
              </w:rPr>
              <w:t>US$</w:t>
            </w:r>
            <w:r>
              <w:rPr>
                <w:rFonts w:ascii="Arial" w:cs="Arial" w:eastAsia="Arial" w:hAnsi="Arial"/>
                <w:sz w:val="15"/>
                <w:szCs w:val="15"/>
                <w:b w:val="1"/>
                <w:bCs w:val="1"/>
                <w:color w:val="auto"/>
                <w:w w:val="86"/>
              </w:rPr>
              <w:t>6,653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Loan portfolio composition by business segment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Borders>
              <w:top w:val="single" w:sz="8" w:color="auto"/>
            </w:tcBorders>
            <w:vMerge w:val="restart"/>
          </w:tcPr>
          <w:p>
            <w:pPr>
              <w:spacing w:after="0"/>
              <w:rPr>
                <w:sz w:val="20"/>
                <w:szCs w:val="20"/>
                <w:color w:val="auto"/>
              </w:rPr>
            </w:pPr>
            <w:r>
              <w:rPr>
                <w:rFonts w:ascii="Arial" w:cs="Arial" w:eastAsia="Arial" w:hAnsi="Arial"/>
                <w:sz w:val="15"/>
                <w:szCs w:val="15"/>
                <w:i w:val="1"/>
                <w:iCs w:val="1"/>
                <w:color w:val="auto"/>
              </w:rPr>
              <w:t>(In % of total and US$ millions)</w:t>
            </w:r>
          </w:p>
        </w:tc>
        <w:tc>
          <w:tcPr>
            <w:tcW w:w="2540" w:type="dxa"/>
            <w:vAlign w:val="bottom"/>
            <w:tcBorders>
              <w:top w:val="single" w:sz="8" w:color="auto"/>
            </w:tcBorders>
            <w:vMerge w:val="restart"/>
          </w:tcPr>
          <w:p>
            <w:pPr>
              <w:jc w:val="center"/>
              <w:ind w:left="1106"/>
              <w:spacing w:after="0"/>
              <w:rPr>
                <w:sz w:val="20"/>
                <w:szCs w:val="20"/>
                <w:color w:val="auto"/>
              </w:rPr>
            </w:pPr>
            <w:r>
              <w:rPr>
                <w:rFonts w:ascii="Arial" w:cs="Arial" w:eastAsia="Arial" w:hAnsi="Arial"/>
                <w:sz w:val="15"/>
                <w:szCs w:val="15"/>
                <w:b w:val="1"/>
                <w:bCs w:val="1"/>
                <w:color w:val="auto"/>
                <w:w w:val="88"/>
              </w:rPr>
              <w:t>31.12.04</w:t>
            </w: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8"/>
              </w:rPr>
              <w:t>30.09.05</w:t>
            </w:r>
          </w:p>
        </w:tc>
        <w:tc>
          <w:tcPr>
            <w:tcW w:w="1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8"/>
              </w:rPr>
              <w:t>31.12.05</w:t>
            </w:r>
          </w:p>
        </w:tc>
        <w:tc>
          <w:tcPr>
            <w:tcW w:w="150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 Growth</w:t>
            </w:r>
          </w:p>
        </w:tc>
        <w:tc>
          <w:tcPr>
            <w:tcW w:w="116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 Growth</w:t>
            </w:r>
          </w:p>
        </w:tc>
        <w:tc>
          <w:tcPr>
            <w:tcW w:w="0" w:type="dxa"/>
            <w:vAlign w:val="bottom"/>
          </w:tcPr>
          <w:p>
            <w:pPr>
              <w:spacing w:after="0"/>
              <w:rPr>
                <w:sz w:val="1"/>
                <w:szCs w:val="1"/>
                <w:color w:val="auto"/>
              </w:rPr>
            </w:pPr>
          </w:p>
        </w:tc>
      </w:tr>
      <w:tr>
        <w:trPr>
          <w:trHeight w:val="111"/>
        </w:trPr>
        <w:tc>
          <w:tcPr>
            <w:tcW w:w="352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500" w:type="dxa"/>
            <w:vAlign w:val="bottom"/>
            <w:vMerge w:val="restart"/>
          </w:tcPr>
          <w:p>
            <w:pPr>
              <w:jc w:val="right"/>
              <w:ind w:right="506"/>
              <w:spacing w:after="0"/>
              <w:rPr>
                <w:sz w:val="20"/>
                <w:szCs w:val="20"/>
                <w:color w:val="auto"/>
              </w:rPr>
            </w:pPr>
            <w:r>
              <w:rPr>
                <w:rFonts w:ascii="Arial" w:cs="Arial" w:eastAsia="Arial" w:hAnsi="Arial"/>
                <w:sz w:val="15"/>
                <w:szCs w:val="15"/>
                <w:b w:val="1"/>
                <w:bCs w:val="1"/>
                <w:color w:val="auto"/>
              </w:rPr>
              <w:t>Anual</w:t>
            </w:r>
          </w:p>
        </w:tc>
        <w:tc>
          <w:tcPr>
            <w:tcW w:w="1160" w:type="dxa"/>
            <w:vAlign w:val="bottom"/>
            <w:vMerge w:val="restart"/>
          </w:tcPr>
          <w:p>
            <w:pPr>
              <w:jc w:val="right"/>
              <w:ind w:right="166"/>
              <w:spacing w:after="0"/>
              <w:rPr>
                <w:sz w:val="20"/>
                <w:szCs w:val="20"/>
                <w:color w:val="auto"/>
              </w:rPr>
            </w:pPr>
            <w:r>
              <w:rPr>
                <w:rFonts w:ascii="Arial" w:cs="Arial" w:eastAsia="Arial" w:hAnsi="Arial"/>
                <w:sz w:val="15"/>
                <w:szCs w:val="15"/>
                <w:b w:val="1"/>
                <w:bCs w:val="1"/>
                <w:color w:val="auto"/>
              </w:rPr>
              <w:t>4T05/3T05</w:t>
            </w:r>
          </w:p>
        </w:tc>
        <w:tc>
          <w:tcPr>
            <w:tcW w:w="0" w:type="dxa"/>
            <w:vAlign w:val="bottom"/>
          </w:tcPr>
          <w:p>
            <w:pPr>
              <w:spacing w:after="0"/>
              <w:rPr>
                <w:sz w:val="1"/>
                <w:szCs w:val="1"/>
                <w:color w:val="auto"/>
              </w:rPr>
            </w:pPr>
          </w:p>
        </w:tc>
      </w:tr>
      <w:tr>
        <w:trPr>
          <w:trHeight w:val="64"/>
        </w:trPr>
        <w:tc>
          <w:tcPr>
            <w:tcW w:w="352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line="160" w:lineRule="exact"/>
              <w:rPr>
                <w:sz w:val="20"/>
                <w:szCs w:val="20"/>
                <w:color w:val="auto"/>
              </w:rPr>
            </w:pPr>
            <w:r>
              <w:rPr>
                <w:rFonts w:ascii="Arial" w:cs="Arial" w:eastAsia="Arial" w:hAnsi="Arial"/>
                <w:sz w:val="15"/>
                <w:szCs w:val="15"/>
                <w:color w:val="auto"/>
              </w:rPr>
              <w:t>Corporate</w:t>
            </w:r>
          </w:p>
        </w:tc>
        <w:tc>
          <w:tcPr>
            <w:tcW w:w="2540" w:type="dxa"/>
            <w:vAlign w:val="bottom"/>
          </w:tcPr>
          <w:p>
            <w:pPr>
              <w:jc w:val="center"/>
              <w:ind w:left="1086"/>
              <w:spacing w:after="0" w:line="160" w:lineRule="exact"/>
              <w:rPr>
                <w:sz w:val="20"/>
                <w:szCs w:val="20"/>
                <w:color w:val="auto"/>
              </w:rPr>
            </w:pPr>
            <w:r>
              <w:rPr>
                <w:rFonts w:ascii="Arial" w:cs="Arial" w:eastAsia="Arial" w:hAnsi="Arial"/>
                <w:sz w:val="15"/>
                <w:szCs w:val="15"/>
                <w:color w:val="auto"/>
                <w:w w:val="90"/>
              </w:rPr>
              <w:t>1,563</w:t>
            </w:r>
          </w:p>
        </w:tc>
        <w:tc>
          <w:tcPr>
            <w:tcW w:w="1380" w:type="dxa"/>
            <w:vAlign w:val="bottom"/>
          </w:tcPr>
          <w:p>
            <w:pPr>
              <w:jc w:val="center"/>
              <w:spacing w:after="0" w:line="160" w:lineRule="exact"/>
              <w:rPr>
                <w:sz w:val="20"/>
                <w:szCs w:val="20"/>
                <w:color w:val="auto"/>
              </w:rPr>
            </w:pPr>
            <w:r>
              <w:rPr>
                <w:rFonts w:ascii="Arial" w:cs="Arial" w:eastAsia="Arial" w:hAnsi="Arial"/>
                <w:sz w:val="15"/>
                <w:szCs w:val="15"/>
                <w:color w:val="auto"/>
                <w:w w:val="90"/>
              </w:rPr>
              <w:t>1,627</w:t>
            </w:r>
          </w:p>
        </w:tc>
        <w:tc>
          <w:tcPr>
            <w:tcW w:w="1320" w:type="dxa"/>
            <w:vAlign w:val="bottom"/>
          </w:tcPr>
          <w:p>
            <w:pPr>
              <w:jc w:val="center"/>
              <w:spacing w:after="0" w:line="160" w:lineRule="exact"/>
              <w:rPr>
                <w:sz w:val="20"/>
                <w:szCs w:val="20"/>
                <w:color w:val="auto"/>
              </w:rPr>
            </w:pPr>
            <w:r>
              <w:rPr>
                <w:rFonts w:ascii="Arial" w:cs="Arial" w:eastAsia="Arial" w:hAnsi="Arial"/>
                <w:sz w:val="15"/>
                <w:szCs w:val="15"/>
                <w:color w:val="auto"/>
                <w:w w:val="90"/>
              </w:rPr>
              <w:t>1,715</w:t>
            </w:r>
          </w:p>
        </w:tc>
        <w:tc>
          <w:tcPr>
            <w:tcW w:w="1500" w:type="dxa"/>
            <w:vAlign w:val="bottom"/>
          </w:tcPr>
          <w:p>
            <w:pPr>
              <w:jc w:val="right"/>
              <w:ind w:right="146"/>
              <w:spacing w:after="0" w:line="160" w:lineRule="exact"/>
              <w:rPr>
                <w:sz w:val="20"/>
                <w:szCs w:val="20"/>
                <w:color w:val="auto"/>
              </w:rPr>
            </w:pPr>
            <w:r>
              <w:rPr>
                <w:rFonts w:ascii="Arial" w:cs="Arial" w:eastAsia="Arial" w:hAnsi="Arial"/>
                <w:sz w:val="15"/>
                <w:szCs w:val="15"/>
                <w:color w:val="auto"/>
              </w:rPr>
              <w:t>9.7%</w:t>
            </w:r>
          </w:p>
        </w:tc>
        <w:tc>
          <w:tcPr>
            <w:tcW w:w="1160" w:type="dxa"/>
            <w:vAlign w:val="bottom"/>
          </w:tcPr>
          <w:p>
            <w:pPr>
              <w:jc w:val="right"/>
              <w:spacing w:after="0" w:line="160"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3520" w:type="dxa"/>
            <w:vAlign w:val="bottom"/>
          </w:tcPr>
          <w:p>
            <w:pPr>
              <w:spacing w:after="0" w:line="162" w:lineRule="exact"/>
              <w:rPr>
                <w:sz w:val="20"/>
                <w:szCs w:val="20"/>
                <w:color w:val="auto"/>
              </w:rPr>
            </w:pPr>
            <w:r>
              <w:rPr>
                <w:rFonts w:ascii="Arial" w:cs="Arial" w:eastAsia="Arial" w:hAnsi="Arial"/>
                <w:sz w:val="15"/>
                <w:szCs w:val="15"/>
                <w:color w:val="auto"/>
              </w:rPr>
              <w:t>Middle market</w:t>
            </w:r>
          </w:p>
        </w:tc>
        <w:tc>
          <w:tcPr>
            <w:tcW w:w="2540" w:type="dxa"/>
            <w:vAlign w:val="bottom"/>
          </w:tcPr>
          <w:p>
            <w:pPr>
              <w:jc w:val="center"/>
              <w:ind w:left="1086"/>
              <w:spacing w:after="0" w:line="162" w:lineRule="exact"/>
              <w:rPr>
                <w:sz w:val="20"/>
                <w:szCs w:val="20"/>
                <w:color w:val="auto"/>
              </w:rPr>
            </w:pPr>
            <w:r>
              <w:rPr>
                <w:rFonts w:ascii="Arial" w:cs="Arial" w:eastAsia="Arial" w:hAnsi="Arial"/>
                <w:sz w:val="15"/>
                <w:szCs w:val="15"/>
                <w:color w:val="auto"/>
                <w:w w:val="90"/>
              </w:rPr>
              <w:t>1,042</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90"/>
              </w:rPr>
              <w:t>1,073</w:t>
            </w: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90"/>
              </w:rPr>
              <w:t>1,177</w:t>
            </w:r>
          </w:p>
        </w:tc>
        <w:tc>
          <w:tcPr>
            <w:tcW w:w="15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13.0%</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2"/>
        </w:trPr>
        <w:tc>
          <w:tcPr>
            <w:tcW w:w="3520" w:type="dxa"/>
            <w:vAlign w:val="bottom"/>
          </w:tcPr>
          <w:p>
            <w:pPr>
              <w:spacing w:after="0" w:line="162" w:lineRule="exact"/>
              <w:rPr>
                <w:sz w:val="20"/>
                <w:szCs w:val="20"/>
                <w:color w:val="auto"/>
              </w:rPr>
            </w:pPr>
            <w:r>
              <w:rPr>
                <w:rFonts w:ascii="Arial" w:cs="Arial" w:eastAsia="Arial" w:hAnsi="Arial"/>
                <w:sz w:val="15"/>
                <w:szCs w:val="15"/>
                <w:color w:val="auto"/>
              </w:rPr>
              <w:t>Retail:</w:t>
            </w:r>
          </w:p>
        </w:tc>
        <w:tc>
          <w:tcPr>
            <w:tcW w:w="2540" w:type="dxa"/>
            <w:vAlign w:val="bottom"/>
          </w:tcPr>
          <w:p>
            <w:pPr>
              <w:jc w:val="center"/>
              <w:ind w:left="1086"/>
              <w:spacing w:after="0" w:line="162" w:lineRule="exact"/>
              <w:rPr>
                <w:sz w:val="20"/>
                <w:szCs w:val="20"/>
                <w:color w:val="auto"/>
              </w:rPr>
            </w:pPr>
            <w:r>
              <w:rPr>
                <w:rFonts w:ascii="Arial" w:cs="Arial" w:eastAsia="Arial" w:hAnsi="Arial"/>
                <w:sz w:val="15"/>
                <w:szCs w:val="15"/>
                <w:color w:val="auto"/>
                <w:w w:val="90"/>
              </w:rPr>
              <w:t>1,256</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90"/>
              </w:rPr>
              <w:t>1,486</w:t>
            </w: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90"/>
              </w:rPr>
              <w:t>1,596</w:t>
            </w:r>
          </w:p>
        </w:tc>
        <w:tc>
          <w:tcPr>
            <w:tcW w:w="15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27.0%</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62"/>
        </w:trPr>
        <w:tc>
          <w:tcPr>
            <w:tcW w:w="3520" w:type="dxa"/>
            <w:vAlign w:val="bottom"/>
          </w:tcPr>
          <w:p>
            <w:pPr>
              <w:spacing w:after="0" w:line="162" w:lineRule="exact"/>
              <w:rPr>
                <w:sz w:val="20"/>
                <w:szCs w:val="20"/>
                <w:color w:val="auto"/>
              </w:rPr>
            </w:pPr>
            <w:r>
              <w:rPr>
                <w:rFonts w:ascii="Arial" w:cs="Arial" w:eastAsia="Arial" w:hAnsi="Arial"/>
                <w:sz w:val="15"/>
                <w:szCs w:val="15"/>
                <w:color w:val="auto"/>
              </w:rPr>
              <w:t>- small business</w:t>
            </w:r>
          </w:p>
        </w:tc>
        <w:tc>
          <w:tcPr>
            <w:tcW w:w="2540" w:type="dxa"/>
            <w:vAlign w:val="bottom"/>
          </w:tcPr>
          <w:p>
            <w:pPr>
              <w:jc w:val="center"/>
              <w:ind w:left="1086"/>
              <w:spacing w:after="0" w:line="162" w:lineRule="exact"/>
              <w:rPr>
                <w:sz w:val="20"/>
                <w:szCs w:val="20"/>
                <w:color w:val="auto"/>
              </w:rPr>
            </w:pPr>
            <w:r>
              <w:rPr>
                <w:rFonts w:ascii="Arial" w:cs="Arial" w:eastAsia="Arial" w:hAnsi="Arial"/>
                <w:sz w:val="15"/>
                <w:szCs w:val="15"/>
                <w:color w:val="auto"/>
                <w:w w:val="87"/>
              </w:rPr>
              <w:t>383</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87"/>
              </w:rPr>
              <w:t>438</w:t>
            </w: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87"/>
              </w:rPr>
              <w:t>485</w:t>
            </w:r>
          </w:p>
        </w:tc>
        <w:tc>
          <w:tcPr>
            <w:tcW w:w="15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26.9%</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62"/>
        </w:trPr>
        <w:tc>
          <w:tcPr>
            <w:tcW w:w="3520" w:type="dxa"/>
            <w:vAlign w:val="bottom"/>
          </w:tcPr>
          <w:p>
            <w:pPr>
              <w:spacing w:after="0" w:line="162" w:lineRule="exact"/>
              <w:rPr>
                <w:sz w:val="20"/>
                <w:szCs w:val="20"/>
                <w:color w:val="auto"/>
              </w:rPr>
            </w:pPr>
            <w:r>
              <w:rPr>
                <w:rFonts w:ascii="Arial" w:cs="Arial" w:eastAsia="Arial" w:hAnsi="Arial"/>
                <w:sz w:val="15"/>
                <w:szCs w:val="15"/>
                <w:color w:val="auto"/>
              </w:rPr>
              <w:t>- home mortgage</w:t>
            </w:r>
          </w:p>
        </w:tc>
        <w:tc>
          <w:tcPr>
            <w:tcW w:w="2540" w:type="dxa"/>
            <w:vAlign w:val="bottom"/>
          </w:tcPr>
          <w:p>
            <w:pPr>
              <w:jc w:val="center"/>
              <w:ind w:left="1086"/>
              <w:spacing w:after="0" w:line="162" w:lineRule="exact"/>
              <w:rPr>
                <w:sz w:val="20"/>
                <w:szCs w:val="20"/>
                <w:color w:val="auto"/>
              </w:rPr>
            </w:pPr>
            <w:r>
              <w:rPr>
                <w:rFonts w:ascii="Arial" w:cs="Arial" w:eastAsia="Arial" w:hAnsi="Arial"/>
                <w:sz w:val="15"/>
                <w:szCs w:val="15"/>
                <w:color w:val="auto"/>
                <w:w w:val="87"/>
              </w:rPr>
              <w:t>607</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87"/>
              </w:rPr>
              <w:t>736</w:t>
            </w: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87"/>
              </w:rPr>
              <w:t>775</w:t>
            </w:r>
          </w:p>
        </w:tc>
        <w:tc>
          <w:tcPr>
            <w:tcW w:w="15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27.8%</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2"/>
        </w:trPr>
        <w:tc>
          <w:tcPr>
            <w:tcW w:w="3520" w:type="dxa"/>
            <w:vAlign w:val="bottom"/>
          </w:tcPr>
          <w:p>
            <w:pPr>
              <w:spacing w:after="0" w:line="162" w:lineRule="exact"/>
              <w:rPr>
                <w:sz w:val="20"/>
                <w:szCs w:val="20"/>
                <w:color w:val="auto"/>
              </w:rPr>
            </w:pPr>
            <w:r>
              <w:rPr>
                <w:rFonts w:ascii="Arial" w:cs="Arial" w:eastAsia="Arial" w:hAnsi="Arial"/>
                <w:sz w:val="15"/>
                <w:szCs w:val="15"/>
                <w:color w:val="auto"/>
              </w:rPr>
              <w:t>- consumer</w:t>
            </w:r>
          </w:p>
        </w:tc>
        <w:tc>
          <w:tcPr>
            <w:tcW w:w="2540" w:type="dxa"/>
            <w:vAlign w:val="bottom"/>
          </w:tcPr>
          <w:p>
            <w:pPr>
              <w:jc w:val="center"/>
              <w:ind w:left="1086"/>
              <w:spacing w:after="0" w:line="162" w:lineRule="exact"/>
              <w:rPr>
                <w:sz w:val="20"/>
                <w:szCs w:val="20"/>
                <w:color w:val="auto"/>
              </w:rPr>
            </w:pPr>
            <w:r>
              <w:rPr>
                <w:rFonts w:ascii="Arial" w:cs="Arial" w:eastAsia="Arial" w:hAnsi="Arial"/>
                <w:sz w:val="15"/>
                <w:szCs w:val="15"/>
                <w:color w:val="auto"/>
                <w:w w:val="87"/>
              </w:rPr>
              <w:t>134</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87"/>
              </w:rPr>
              <w:t>159</w:t>
            </w: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87"/>
              </w:rPr>
              <w:t>173</w:t>
            </w:r>
          </w:p>
        </w:tc>
        <w:tc>
          <w:tcPr>
            <w:tcW w:w="150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29.0%</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58"/>
        </w:trPr>
        <w:tc>
          <w:tcPr>
            <w:tcW w:w="3520" w:type="dxa"/>
            <w:vAlign w:val="bottom"/>
          </w:tcPr>
          <w:p>
            <w:pPr>
              <w:spacing w:after="0" w:line="158" w:lineRule="exact"/>
              <w:rPr>
                <w:sz w:val="20"/>
                <w:szCs w:val="20"/>
                <w:color w:val="auto"/>
              </w:rPr>
            </w:pPr>
            <w:r>
              <w:rPr>
                <w:rFonts w:ascii="Arial" w:cs="Arial" w:eastAsia="Arial" w:hAnsi="Arial"/>
                <w:sz w:val="15"/>
                <w:szCs w:val="15"/>
                <w:color w:val="auto"/>
              </w:rPr>
              <w:t>- credit cards</w:t>
            </w:r>
          </w:p>
        </w:tc>
        <w:tc>
          <w:tcPr>
            <w:tcW w:w="2540" w:type="dxa"/>
            <w:vAlign w:val="bottom"/>
          </w:tcPr>
          <w:p>
            <w:pPr>
              <w:jc w:val="center"/>
              <w:ind w:left="1086"/>
              <w:spacing w:after="0" w:line="158" w:lineRule="exact"/>
              <w:rPr>
                <w:sz w:val="20"/>
                <w:szCs w:val="20"/>
                <w:color w:val="auto"/>
              </w:rPr>
            </w:pPr>
            <w:r>
              <w:rPr>
                <w:rFonts w:ascii="Arial" w:cs="Arial" w:eastAsia="Arial" w:hAnsi="Arial"/>
                <w:sz w:val="15"/>
                <w:szCs w:val="15"/>
                <w:color w:val="auto"/>
                <w:w w:val="87"/>
              </w:rPr>
              <w:t>133</w:t>
            </w:r>
          </w:p>
        </w:tc>
        <w:tc>
          <w:tcPr>
            <w:tcW w:w="1380" w:type="dxa"/>
            <w:vAlign w:val="bottom"/>
          </w:tcPr>
          <w:p>
            <w:pPr>
              <w:jc w:val="center"/>
              <w:spacing w:after="0" w:line="158" w:lineRule="exact"/>
              <w:rPr>
                <w:sz w:val="20"/>
                <w:szCs w:val="20"/>
                <w:color w:val="auto"/>
              </w:rPr>
            </w:pPr>
            <w:r>
              <w:rPr>
                <w:rFonts w:ascii="Arial" w:cs="Arial" w:eastAsia="Arial" w:hAnsi="Arial"/>
                <w:sz w:val="15"/>
                <w:szCs w:val="15"/>
                <w:color w:val="auto"/>
                <w:w w:val="87"/>
              </w:rPr>
              <w:t>152</w:t>
            </w:r>
          </w:p>
        </w:tc>
        <w:tc>
          <w:tcPr>
            <w:tcW w:w="1320" w:type="dxa"/>
            <w:vAlign w:val="bottom"/>
          </w:tcPr>
          <w:p>
            <w:pPr>
              <w:jc w:val="center"/>
              <w:spacing w:after="0" w:line="158" w:lineRule="exact"/>
              <w:rPr>
                <w:sz w:val="20"/>
                <w:szCs w:val="20"/>
                <w:color w:val="auto"/>
              </w:rPr>
            </w:pPr>
            <w:r>
              <w:rPr>
                <w:rFonts w:ascii="Arial" w:cs="Arial" w:eastAsia="Arial" w:hAnsi="Arial"/>
                <w:sz w:val="15"/>
                <w:szCs w:val="15"/>
                <w:color w:val="auto"/>
                <w:w w:val="87"/>
              </w:rPr>
              <w:t>163</w:t>
            </w:r>
          </w:p>
        </w:tc>
        <w:tc>
          <w:tcPr>
            <w:tcW w:w="1500" w:type="dxa"/>
            <w:vAlign w:val="bottom"/>
          </w:tcPr>
          <w:p>
            <w:pPr>
              <w:jc w:val="right"/>
              <w:ind w:right="146"/>
              <w:spacing w:after="0" w:line="158" w:lineRule="exact"/>
              <w:rPr>
                <w:sz w:val="20"/>
                <w:szCs w:val="20"/>
                <w:color w:val="auto"/>
              </w:rPr>
            </w:pPr>
            <w:r>
              <w:rPr>
                <w:rFonts w:ascii="Arial" w:cs="Arial" w:eastAsia="Arial" w:hAnsi="Arial"/>
                <w:sz w:val="15"/>
                <w:szCs w:val="15"/>
                <w:color w:val="auto"/>
              </w:rPr>
              <w:t>22.1%</w:t>
            </w:r>
          </w:p>
        </w:tc>
        <w:tc>
          <w:tcPr>
            <w:tcW w:w="1160" w:type="dxa"/>
            <w:vAlign w:val="bottom"/>
          </w:tcPr>
          <w:p>
            <w:pPr>
              <w:jc w:val="right"/>
              <w:spacing w:after="0" w:line="158"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69"/>
        </w:trPr>
        <w:tc>
          <w:tcPr>
            <w:tcW w:w="352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b w:val="1"/>
                <w:bCs w:val="1"/>
                <w:color w:val="auto"/>
              </w:rPr>
              <w:t>Total</w:t>
            </w:r>
          </w:p>
        </w:tc>
        <w:tc>
          <w:tcPr>
            <w:tcW w:w="2540" w:type="dxa"/>
            <w:vAlign w:val="bottom"/>
            <w:tcBorders>
              <w:bottom w:val="single" w:sz="8" w:color="auto"/>
            </w:tcBorders>
          </w:tcPr>
          <w:p>
            <w:pPr>
              <w:jc w:val="center"/>
              <w:ind w:left="1086"/>
              <w:spacing w:after="0" w:line="162" w:lineRule="exact"/>
              <w:rPr>
                <w:sz w:val="20"/>
                <w:szCs w:val="20"/>
                <w:color w:val="auto"/>
              </w:rPr>
            </w:pPr>
            <w:r>
              <w:rPr>
                <w:rFonts w:ascii="Arial" w:cs="Arial" w:eastAsia="Arial" w:hAnsi="Arial"/>
                <w:sz w:val="15"/>
                <w:szCs w:val="15"/>
                <w:b w:val="1"/>
                <w:bCs w:val="1"/>
                <w:color w:val="auto"/>
                <w:w w:val="90"/>
              </w:rPr>
              <w:t>3,861</w:t>
            </w:r>
          </w:p>
        </w:tc>
        <w:tc>
          <w:tcPr>
            <w:tcW w:w="13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0"/>
              </w:rPr>
              <w:t>4,186</w:t>
            </w:r>
          </w:p>
        </w:tc>
        <w:tc>
          <w:tcPr>
            <w:tcW w:w="13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0"/>
              </w:rPr>
              <w:t>4,488</w:t>
            </w:r>
          </w:p>
        </w:tc>
        <w:tc>
          <w:tcPr>
            <w:tcW w:w="150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b w:val="1"/>
                <w:bCs w:val="1"/>
                <w:color w:val="auto"/>
              </w:rPr>
              <w:t>16.2%</w:t>
            </w: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7.2%</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Note : BCP Consolidated without BCB, daily averages balance</w:t>
      </w:r>
    </w:p>
    <w:p>
      <w:pPr>
        <w:spacing w:after="0" w:line="200" w:lineRule="exact"/>
        <w:rPr>
          <w:sz w:val="20"/>
          <w:szCs w:val="20"/>
          <w:color w:val="auto"/>
        </w:rPr>
      </w:pPr>
    </w:p>
    <w:p>
      <w:pPr>
        <w:spacing w:after="0" w:line="23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evolution of BCP’s loan portfolio denotes a clear focus on the growth and development of the retail banking business, which is bringing about a restructuring of the portfolio increasing the weight of segments that are more profitable, and also offer the greatest growth potential.</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December 2005, total loans (calculated on the basis of daily averages) grew by 16.2% with respect to the same period of the previous year. During the same period, retail banking loans grew 27%, observing sustained growth in loans to SMEs (by 26.9%), mortgages (by 27.8%), consumer loans (by 29%) and credit cards (by 22.1%) .</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Only in the fourth quarter, average daily loans totals increased 7.2%, made up of 5.4% growth in corporate loans, 9.7% in loans to the middle market and 7.5% in retail banking loans.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Contingent Credits and Managed Funds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As of December 31, 2005 </w:t>
      </w:r>
      <w:r>
        <w:rPr>
          <w:rFonts w:ascii="Arial" w:cs="Arial" w:eastAsia="Arial" w:hAnsi="Arial"/>
          <w:sz w:val="22"/>
          <w:szCs w:val="22"/>
          <w:b w:val="1"/>
          <w:bCs w:val="1"/>
          <w:color w:val="auto"/>
        </w:rPr>
        <w:t>contingent credits</w:t>
      </w:r>
      <w:r>
        <w:rPr>
          <w:rFonts w:ascii="Arial" w:cs="Arial" w:eastAsia="Arial" w:hAnsi="Arial"/>
          <w:sz w:val="22"/>
          <w:szCs w:val="22"/>
          <w:color w:val="auto"/>
        </w:rPr>
        <w:t xml:space="preserve"> were US$ 2.753 billion, a decrease of 4.0% with respect to September, mainly due to lower banker acceptance operations and a decrease in other contingent accounts, which includes lines of credit not disbursed and in litigation. The following table shows the detail: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31.12.04</w:t>
            </w:r>
          </w:p>
        </w:tc>
        <w:tc>
          <w:tcPr>
            <w:tcW w:w="1380" w:type="dxa"/>
            <w:vAlign w:val="bottom"/>
            <w:tcBorders>
              <w:top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30.09.05</w:t>
            </w:r>
          </w:p>
        </w:tc>
        <w:tc>
          <w:tcPr>
            <w:tcW w:w="1320" w:type="dxa"/>
            <w:vAlign w:val="bottom"/>
            <w:tcBorders>
              <w:top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31.12.05</w:t>
            </w:r>
          </w:p>
        </w:tc>
        <w:tc>
          <w:tcPr>
            <w:tcW w:w="1360" w:type="dxa"/>
            <w:vAlign w:val="bottom"/>
            <w:tcBorders>
              <w:top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31.12.05 vs.</w:t>
            </w:r>
          </w:p>
        </w:tc>
        <w:tc>
          <w:tcPr>
            <w:tcW w:w="116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31.12.05 vs.</w:t>
            </w:r>
          </w:p>
        </w:tc>
      </w:tr>
      <w:tr>
        <w:trPr>
          <w:trHeight w:val="175"/>
        </w:trPr>
        <w:tc>
          <w:tcPr>
            <w:tcW w:w="35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 millions)</w:t>
            </w:r>
          </w:p>
        </w:tc>
        <w:tc>
          <w:tcPr>
            <w:tcW w:w="2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30.09.05</w:t>
            </w:r>
          </w:p>
        </w:tc>
        <w:tc>
          <w:tcPr>
            <w:tcW w:w="11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31.12.04</w:t>
            </w:r>
          </w:p>
        </w:tc>
      </w:tr>
      <w:tr>
        <w:trPr>
          <w:trHeight w:val="160"/>
        </w:trPr>
        <w:tc>
          <w:tcPr>
            <w:tcW w:w="3500" w:type="dxa"/>
            <w:vAlign w:val="bottom"/>
          </w:tcPr>
          <w:p>
            <w:pPr>
              <w:spacing w:after="0" w:line="160" w:lineRule="exact"/>
              <w:rPr>
                <w:sz w:val="20"/>
                <w:szCs w:val="20"/>
                <w:color w:val="auto"/>
              </w:rPr>
            </w:pPr>
            <w:r>
              <w:rPr>
                <w:rFonts w:ascii="Arial" w:cs="Arial" w:eastAsia="Arial" w:hAnsi="Arial"/>
                <w:sz w:val="15"/>
                <w:szCs w:val="15"/>
                <w:color w:val="auto"/>
              </w:rPr>
              <w:t>- Guarantees and Stand-by LCs</w:t>
            </w:r>
          </w:p>
        </w:tc>
        <w:tc>
          <w:tcPr>
            <w:tcW w:w="270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598</w:t>
            </w:r>
          </w:p>
        </w:tc>
        <w:tc>
          <w:tcPr>
            <w:tcW w:w="138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640</w:t>
            </w:r>
          </w:p>
        </w:tc>
        <w:tc>
          <w:tcPr>
            <w:tcW w:w="1320" w:type="dxa"/>
            <w:vAlign w:val="bottom"/>
          </w:tcPr>
          <w:p>
            <w:pPr>
              <w:jc w:val="right"/>
              <w:ind w:right="146"/>
              <w:spacing w:after="0" w:line="160" w:lineRule="exact"/>
              <w:rPr>
                <w:sz w:val="20"/>
                <w:szCs w:val="20"/>
                <w:color w:val="auto"/>
              </w:rPr>
            </w:pPr>
            <w:r>
              <w:rPr>
                <w:rFonts w:ascii="Arial" w:cs="Arial" w:eastAsia="Arial" w:hAnsi="Arial"/>
                <w:sz w:val="15"/>
                <w:szCs w:val="15"/>
                <w:color w:val="auto"/>
              </w:rPr>
              <w:t>727</w:t>
            </w:r>
          </w:p>
        </w:tc>
        <w:tc>
          <w:tcPr>
            <w:tcW w:w="1360" w:type="dxa"/>
            <w:vAlign w:val="bottom"/>
          </w:tcPr>
          <w:p>
            <w:pPr>
              <w:jc w:val="right"/>
              <w:ind w:right="146"/>
              <w:spacing w:after="0" w:line="160" w:lineRule="exact"/>
              <w:rPr>
                <w:sz w:val="20"/>
                <w:szCs w:val="20"/>
                <w:color w:val="auto"/>
              </w:rPr>
            </w:pPr>
            <w:r>
              <w:rPr>
                <w:rFonts w:ascii="Arial" w:cs="Arial" w:eastAsia="Arial" w:hAnsi="Arial"/>
                <w:sz w:val="15"/>
                <w:szCs w:val="15"/>
                <w:color w:val="auto"/>
              </w:rPr>
              <w:t>13.6%</w:t>
            </w:r>
          </w:p>
        </w:tc>
        <w:tc>
          <w:tcPr>
            <w:tcW w:w="1160" w:type="dxa"/>
            <w:vAlign w:val="bottom"/>
          </w:tcPr>
          <w:p>
            <w:pPr>
              <w:jc w:val="right"/>
              <w:spacing w:after="0" w:line="160" w:lineRule="exact"/>
              <w:rPr>
                <w:sz w:val="20"/>
                <w:szCs w:val="20"/>
                <w:color w:val="auto"/>
              </w:rPr>
            </w:pPr>
            <w:r>
              <w:rPr>
                <w:rFonts w:ascii="Arial" w:cs="Arial" w:eastAsia="Arial" w:hAnsi="Arial"/>
                <w:sz w:val="15"/>
                <w:szCs w:val="15"/>
                <w:color w:val="auto"/>
              </w:rPr>
              <w:t>21.6%</w:t>
            </w:r>
          </w:p>
        </w:tc>
      </w:tr>
      <w:tr>
        <w:trPr>
          <w:trHeight w:val="162"/>
        </w:trPr>
        <w:tc>
          <w:tcPr>
            <w:tcW w:w="3500" w:type="dxa"/>
            <w:vAlign w:val="bottom"/>
          </w:tcPr>
          <w:p>
            <w:pPr>
              <w:spacing w:after="0" w:line="162" w:lineRule="exact"/>
              <w:rPr>
                <w:sz w:val="20"/>
                <w:szCs w:val="20"/>
                <w:color w:val="auto"/>
              </w:rPr>
            </w:pPr>
            <w:r>
              <w:rPr>
                <w:rFonts w:ascii="Arial" w:cs="Arial" w:eastAsia="Arial" w:hAnsi="Arial"/>
                <w:sz w:val="15"/>
                <w:szCs w:val="15"/>
                <w:color w:val="auto"/>
              </w:rPr>
              <w:t>- Letters of Credit</w:t>
            </w:r>
          </w:p>
        </w:tc>
        <w:tc>
          <w:tcPr>
            <w:tcW w:w="27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226</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173</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239</w:t>
            </w:r>
          </w:p>
        </w:tc>
        <w:tc>
          <w:tcPr>
            <w:tcW w:w="13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37.9%</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5.4%</w:t>
            </w:r>
          </w:p>
        </w:tc>
      </w:tr>
      <w:tr>
        <w:trPr>
          <w:trHeight w:val="162"/>
        </w:trPr>
        <w:tc>
          <w:tcPr>
            <w:tcW w:w="3500" w:type="dxa"/>
            <w:vAlign w:val="bottom"/>
          </w:tcPr>
          <w:p>
            <w:pPr>
              <w:spacing w:after="0" w:line="162" w:lineRule="exact"/>
              <w:rPr>
                <w:sz w:val="20"/>
                <w:szCs w:val="20"/>
                <w:color w:val="auto"/>
              </w:rPr>
            </w:pPr>
            <w:r>
              <w:rPr>
                <w:rFonts w:ascii="Arial" w:cs="Arial" w:eastAsia="Arial" w:hAnsi="Arial"/>
                <w:sz w:val="15"/>
                <w:szCs w:val="15"/>
                <w:color w:val="auto"/>
              </w:rPr>
              <w:t>- Acceptances</w:t>
            </w:r>
          </w:p>
        </w:tc>
        <w:tc>
          <w:tcPr>
            <w:tcW w:w="27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44</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51</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45</w:t>
            </w:r>
          </w:p>
        </w:tc>
        <w:tc>
          <w:tcPr>
            <w:tcW w:w="13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-10.9%</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r>
      <w:tr>
        <w:trPr>
          <w:trHeight w:val="162"/>
        </w:trPr>
        <w:tc>
          <w:tcPr>
            <w:tcW w:w="3500" w:type="dxa"/>
            <w:vAlign w:val="bottom"/>
          </w:tcPr>
          <w:p>
            <w:pPr>
              <w:spacing w:after="0" w:line="162" w:lineRule="exact"/>
              <w:rPr>
                <w:sz w:val="20"/>
                <w:szCs w:val="20"/>
                <w:color w:val="auto"/>
              </w:rPr>
            </w:pPr>
            <w:r>
              <w:rPr>
                <w:rFonts w:ascii="Arial" w:cs="Arial" w:eastAsia="Arial" w:hAnsi="Arial"/>
                <w:sz w:val="15"/>
                <w:szCs w:val="15"/>
                <w:color w:val="auto"/>
              </w:rPr>
              <w:t>- Foreign currency forwards</w:t>
            </w:r>
          </w:p>
        </w:tc>
        <w:tc>
          <w:tcPr>
            <w:tcW w:w="27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458</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1,130</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1,167</w:t>
            </w:r>
          </w:p>
        </w:tc>
        <w:tc>
          <w:tcPr>
            <w:tcW w:w="13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3.3%</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154.7%</w:t>
            </w: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5"/>
                <w:szCs w:val="15"/>
                <w:color w:val="auto"/>
              </w:rPr>
              <w:t>- Other contingent accounts</w:t>
            </w:r>
          </w:p>
        </w:tc>
        <w:tc>
          <w:tcPr>
            <w:tcW w:w="270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506</w:t>
            </w:r>
          </w:p>
        </w:tc>
        <w:tc>
          <w:tcPr>
            <w:tcW w:w="138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874</w:t>
            </w:r>
          </w:p>
        </w:tc>
        <w:tc>
          <w:tcPr>
            <w:tcW w:w="1320" w:type="dxa"/>
            <w:vAlign w:val="bottom"/>
          </w:tcPr>
          <w:p>
            <w:pPr>
              <w:jc w:val="right"/>
              <w:ind w:right="146"/>
              <w:spacing w:after="0" w:line="158" w:lineRule="exact"/>
              <w:rPr>
                <w:sz w:val="20"/>
                <w:szCs w:val="20"/>
                <w:color w:val="auto"/>
              </w:rPr>
            </w:pPr>
            <w:r>
              <w:rPr>
                <w:rFonts w:ascii="Arial" w:cs="Arial" w:eastAsia="Arial" w:hAnsi="Arial"/>
                <w:sz w:val="15"/>
                <w:szCs w:val="15"/>
                <w:color w:val="auto"/>
              </w:rPr>
              <w:t>575</w:t>
            </w:r>
          </w:p>
        </w:tc>
        <w:tc>
          <w:tcPr>
            <w:tcW w:w="1360" w:type="dxa"/>
            <w:vAlign w:val="bottom"/>
          </w:tcPr>
          <w:p>
            <w:pPr>
              <w:jc w:val="right"/>
              <w:ind w:right="146"/>
              <w:spacing w:after="0" w:line="158" w:lineRule="exact"/>
              <w:rPr>
                <w:sz w:val="20"/>
                <w:szCs w:val="20"/>
                <w:color w:val="auto"/>
              </w:rPr>
            </w:pPr>
            <w:r>
              <w:rPr>
                <w:rFonts w:ascii="Arial" w:cs="Arial" w:eastAsia="Arial" w:hAnsi="Arial"/>
                <w:sz w:val="15"/>
                <w:szCs w:val="15"/>
                <w:color w:val="auto"/>
              </w:rPr>
              <w:t>-34.2%</w:t>
            </w:r>
          </w:p>
        </w:tc>
        <w:tc>
          <w:tcPr>
            <w:tcW w:w="1160" w:type="dxa"/>
            <w:vAlign w:val="bottom"/>
          </w:tcPr>
          <w:p>
            <w:pPr>
              <w:jc w:val="right"/>
              <w:spacing w:after="0" w:line="158" w:lineRule="exact"/>
              <w:rPr>
                <w:sz w:val="20"/>
                <w:szCs w:val="20"/>
                <w:color w:val="auto"/>
              </w:rPr>
            </w:pPr>
            <w:r>
              <w:rPr>
                <w:rFonts w:ascii="Arial" w:cs="Arial" w:eastAsia="Arial" w:hAnsi="Arial"/>
                <w:sz w:val="15"/>
                <w:szCs w:val="15"/>
                <w:color w:val="auto"/>
              </w:rPr>
              <w:t>13.5%</w:t>
            </w:r>
          </w:p>
        </w:tc>
      </w:tr>
      <w:tr>
        <w:trPr>
          <w:trHeight w:val="175"/>
        </w:trPr>
        <w:tc>
          <w:tcPr>
            <w:tcW w:w="35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Contingent Credits</w:t>
            </w:r>
          </w:p>
        </w:tc>
        <w:tc>
          <w:tcPr>
            <w:tcW w:w="27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1,833</w:t>
            </w:r>
          </w:p>
        </w:tc>
        <w:tc>
          <w:tcPr>
            <w:tcW w:w="1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2,868</w:t>
            </w:r>
          </w:p>
        </w:tc>
        <w:tc>
          <w:tcPr>
            <w:tcW w:w="1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2,753</w:t>
            </w:r>
          </w:p>
        </w:tc>
        <w:tc>
          <w:tcPr>
            <w:tcW w:w="13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-4.0%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50.2%</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Share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According to preliminary statistics from the Peruvian Banking Association (ASBANC) on the twelve operative commercial banks, including foreign operations, as of December 31, 2005 Banco de Credito’s market share continues showing solid leadership. This was 34.4% of total loans (33.6% at September 30,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2005 and 33.0% at December 31, 2004), and 37.1% of deposits (37.1% at September 30, 2005 and 35.7% at December 31, 2004).</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BCP’s market share in Peruvian mutual funds, through its Credifondo subsidiary, was 50.8% as of December 31, 2005 (50.3% at September 30, 2005 and 51.6% at December 31, 2004).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II.6 LOAN QUALITY</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outstanding performance of all portfolio quality ratios has been the result of both the recovery of the economy and the Peruvian financial system, as well as the well-managed handling of credit risk and policies.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ratio of past due loans</w:t>
      </w:r>
      <w:r>
        <w:rPr>
          <w:rFonts w:ascii="Arial" w:cs="Arial" w:eastAsia="Arial" w:hAnsi="Arial"/>
          <w:sz w:val="22"/>
          <w:szCs w:val="22"/>
          <w:color w:val="auto"/>
        </w:rPr>
        <w:t xml:space="preserve"> as a percentage of total loans improved to 1.9% in the fourth quarter from 2.6% at the end of September 2005, and also 3.7% compared with the ratio for December 2004. The ratio of past due, refinanced and restructured loans as a percentage of total loans improved to 5.4% during 4Q05, decreasing from 6.6% in September 2005 and 9.4% in December 2004.</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figures for both past due portfolio, and refinanced loans and balances of provisions show the significant recovery in portfolio quality. The total past due </w:t>
      </w:r>
      <w:r>
        <w:rPr>
          <w:rFonts w:ascii="Arial" w:cs="Arial" w:eastAsia="Arial" w:hAnsi="Arial"/>
          <w:sz w:val="22"/>
          <w:szCs w:val="22"/>
          <w:b w:val="1"/>
          <w:bCs w:val="1"/>
          <w:color w:val="auto"/>
        </w:rPr>
        <w:t>portfolio</w:t>
      </w:r>
      <w:r>
        <w:rPr>
          <w:rFonts w:ascii="Arial" w:cs="Arial" w:eastAsia="Arial" w:hAnsi="Arial"/>
          <w:sz w:val="22"/>
          <w:szCs w:val="22"/>
          <w:color w:val="auto"/>
        </w:rPr>
        <w:t xml:space="preserve"> as of December 31, 2005 fell 18.1% with respect to September 2005, and 37.9% with respect to past due </w:t>
      </w:r>
      <w:r>
        <w:rPr>
          <w:rFonts w:ascii="Arial" w:cs="Arial" w:eastAsia="Arial" w:hAnsi="Arial"/>
          <w:sz w:val="22"/>
          <w:szCs w:val="22"/>
          <w:b w:val="1"/>
          <w:bCs w:val="1"/>
          <w:color w:val="auto"/>
        </w:rPr>
        <w:t>loans</w:t>
      </w:r>
      <w:r>
        <w:rPr>
          <w:rFonts w:ascii="Arial" w:cs="Arial" w:eastAsia="Arial" w:hAnsi="Arial"/>
          <w:sz w:val="22"/>
          <w:szCs w:val="22"/>
          <w:color w:val="auto"/>
        </w:rPr>
        <w:t xml:space="preserve"> at the close of last year’s fourth quarter.</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For the quarter, reported </w:t>
      </w:r>
      <w:r>
        <w:rPr>
          <w:rFonts w:ascii="Arial" w:cs="Arial" w:eastAsia="Arial" w:hAnsi="Arial"/>
          <w:sz w:val="22"/>
          <w:szCs w:val="22"/>
          <w:b w:val="1"/>
          <w:bCs w:val="1"/>
          <w:color w:val="auto"/>
        </w:rPr>
        <w:t>refinanced loans</w:t>
      </w:r>
      <w:r>
        <w:rPr>
          <w:rFonts w:ascii="Arial" w:cs="Arial" w:eastAsia="Arial" w:hAnsi="Arial"/>
          <w:sz w:val="22"/>
          <w:szCs w:val="22"/>
          <w:color w:val="auto"/>
        </w:rPr>
        <w:t xml:space="preserve"> had a balance of US$ 169.2 million, a decrease with respect to the September 2005 balance, which was US$ 182.1 million, and also the US$ 233.2 million figure for 4Q04.</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Provisions </w:t>
      </w:r>
      <w:r>
        <w:rPr>
          <w:rFonts w:ascii="Arial" w:cs="Arial" w:eastAsia="Arial" w:hAnsi="Arial"/>
          <w:sz w:val="22"/>
          <w:szCs w:val="22"/>
          <w:color w:val="auto"/>
        </w:rPr>
        <w:t>also fell 2.7% with respect to the September balance, and 19.3% with respect to the December 2004 balance, mainly</w:t>
      </w:r>
      <w:r>
        <w:rPr>
          <w:rFonts w:ascii="Arial" w:cs="Arial" w:eastAsia="Arial" w:hAnsi="Arial"/>
          <w:sz w:val="22"/>
          <w:szCs w:val="22"/>
          <w:b w:val="1"/>
          <w:bCs w:val="1"/>
          <w:color w:val="auto"/>
        </w:rPr>
        <w:t xml:space="preserve"> </w:t>
      </w:r>
      <w:r>
        <w:rPr>
          <w:rFonts w:ascii="Arial" w:cs="Arial" w:eastAsia="Arial" w:hAnsi="Arial"/>
          <w:sz w:val="22"/>
          <w:szCs w:val="22"/>
          <w:color w:val="auto"/>
        </w:rPr>
        <w:t>due to charge-offs and improvements of portfolio quality.</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b w:val="1"/>
          <w:bCs w:val="1"/>
          <w:color w:val="auto"/>
        </w:rPr>
        <w:t>coverage ratio</w:t>
      </w:r>
      <w:r>
        <w:rPr>
          <w:rFonts w:ascii="Arial" w:cs="Arial" w:eastAsia="Arial" w:hAnsi="Arial"/>
          <w:sz w:val="21"/>
          <w:szCs w:val="21"/>
          <w:color w:val="auto"/>
        </w:rPr>
        <w:t xml:space="preserve"> of loan provisions to past due loans was 207.7% at the close of the present quarter, higher than the 175.2% at the end of September 2005, and also an improvement with respect to the 159.8% in 2004’s fourth quarter.</w:t>
      </w:r>
    </w:p>
    <w:p>
      <w:pPr>
        <w:spacing w:after="0" w:line="139"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 xml:space="preserve">Loans believed to be unrecoverable, fully provisioned in prior periods, were </w:t>
      </w:r>
      <w:r>
        <w:rPr>
          <w:rFonts w:ascii="Arial" w:cs="Arial" w:eastAsia="Arial" w:hAnsi="Arial"/>
          <w:sz w:val="21"/>
          <w:szCs w:val="21"/>
          <w:b w:val="1"/>
          <w:bCs w:val="1"/>
          <w:color w:val="auto"/>
        </w:rPr>
        <w:t>charged-off</w:t>
      </w:r>
      <w:r>
        <w:rPr>
          <w:rFonts w:ascii="Arial" w:cs="Arial" w:eastAsia="Arial" w:hAnsi="Arial"/>
          <w:sz w:val="21"/>
          <w:szCs w:val="21"/>
          <w:color w:val="auto"/>
        </w:rPr>
        <w:t xml:space="preserve"> during the 4Q05 in the amount of US$ 16.2 million. </w:t>
      </w:r>
      <w:r>
        <w:rPr>
          <w:rFonts w:ascii="Arial" w:cs="Arial" w:eastAsia="Arial" w:hAnsi="Arial"/>
          <w:sz w:val="21"/>
          <w:szCs w:val="21"/>
          <w:b w:val="1"/>
          <w:bCs w:val="1"/>
          <w:color w:val="auto"/>
        </w:rPr>
        <w:t>Charge-offs</w:t>
      </w:r>
      <w:r>
        <w:rPr>
          <w:rFonts w:ascii="Arial" w:cs="Arial" w:eastAsia="Arial" w:hAnsi="Arial"/>
          <w:sz w:val="21"/>
          <w:szCs w:val="21"/>
          <w:color w:val="auto"/>
        </w:rPr>
        <w:t xml:space="preserve"> in the 3Q05 reached US$ 14.3 million, and US$ 20.1 million during the 4Q04.</w:t>
      </w:r>
    </w:p>
    <w:p>
      <w:pPr>
        <w:spacing w:after="0" w:line="139" w:lineRule="exact"/>
        <w:rPr>
          <w:sz w:val="20"/>
          <w:szCs w:val="20"/>
          <w:color w:val="auto"/>
        </w:rPr>
      </w:pPr>
    </w:p>
    <w:p>
      <w:pPr>
        <w:jc w:val="both"/>
        <w:ind w:right="20"/>
        <w:spacing w:after="0" w:line="335" w:lineRule="auto"/>
        <w:rPr>
          <w:sz w:val="20"/>
          <w:szCs w:val="20"/>
          <w:color w:val="auto"/>
        </w:rPr>
      </w:pPr>
      <w:r>
        <w:rPr>
          <w:rFonts w:ascii="Arial" w:cs="Arial" w:eastAsia="Arial" w:hAnsi="Arial"/>
          <w:sz w:val="19"/>
          <w:szCs w:val="19"/>
          <w:b w:val="1"/>
          <w:bCs w:val="1"/>
          <w:color w:val="auto"/>
        </w:rPr>
        <w:t xml:space="preserve">The portfolio classified as substandard </w:t>
      </w:r>
      <w:r>
        <w:rPr>
          <w:rFonts w:ascii="Arial" w:cs="Arial" w:eastAsia="Arial" w:hAnsi="Arial"/>
          <w:sz w:val="19"/>
          <w:szCs w:val="19"/>
          <w:color w:val="auto"/>
        </w:rPr>
        <w:t>(i.e. deficient, doubtful and loss) was 5.0% in December 2005, decreasing from the 7.0%</w:t>
      </w:r>
      <w:r>
        <w:rPr>
          <w:rFonts w:ascii="Arial" w:cs="Arial" w:eastAsia="Arial" w:hAnsi="Arial"/>
          <w:sz w:val="19"/>
          <w:szCs w:val="19"/>
          <w:b w:val="1"/>
          <w:bCs w:val="1"/>
          <w:color w:val="auto"/>
        </w:rPr>
        <w:t xml:space="preserve"> </w:t>
      </w:r>
      <w:r>
        <w:rPr>
          <w:rFonts w:ascii="Arial" w:cs="Arial" w:eastAsia="Arial" w:hAnsi="Arial"/>
          <w:sz w:val="19"/>
          <w:szCs w:val="19"/>
          <w:color w:val="auto"/>
        </w:rPr>
        <w:t>obtained in September and the 11.5% in December 2004. The loan classification according to risk category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i w:val="1"/>
                <w:iCs w:val="1"/>
                <w:color w:val="auto"/>
              </w:rPr>
              <w:t>(% of Total loans and US$ millions)</w:t>
            </w:r>
          </w:p>
        </w:tc>
        <w:tc>
          <w:tcPr>
            <w:tcW w:w="3780" w:type="dxa"/>
            <w:vAlign w:val="bottom"/>
            <w:tcBorders>
              <w:top w:val="single" w:sz="8" w:color="auto"/>
              <w:bottom w:val="single" w:sz="8" w:color="auto"/>
            </w:tcBorders>
            <w:gridSpan w:val="3"/>
          </w:tcPr>
          <w:p>
            <w:pPr>
              <w:jc w:val="right"/>
              <w:ind w:right="560"/>
              <w:spacing w:after="0"/>
              <w:rPr>
                <w:sz w:val="20"/>
                <w:szCs w:val="20"/>
                <w:color w:val="auto"/>
              </w:rPr>
            </w:pPr>
            <w:r>
              <w:rPr>
                <w:rFonts w:ascii="Arial" w:cs="Arial" w:eastAsia="Arial" w:hAnsi="Arial"/>
                <w:sz w:val="15"/>
                <w:szCs w:val="15"/>
                <w:b w:val="1"/>
                <w:bCs w:val="1"/>
                <w:color w:val="auto"/>
              </w:rPr>
              <w:t>31.12.04</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30.09.05</w:t>
            </w:r>
          </w:p>
        </w:tc>
        <w:tc>
          <w:tcPr>
            <w:tcW w:w="5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31.12.05</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60" w:type="dxa"/>
            <w:vAlign w:val="bottom"/>
            <w:gridSpan w:val="2"/>
          </w:tcPr>
          <w:p>
            <w:pPr>
              <w:spacing w:after="0" w:line="160" w:lineRule="exact"/>
              <w:rPr>
                <w:sz w:val="20"/>
                <w:szCs w:val="20"/>
                <w:color w:val="auto"/>
              </w:rPr>
            </w:pPr>
            <w:r>
              <w:rPr>
                <w:rFonts w:ascii="Arial" w:cs="Arial" w:eastAsia="Arial" w:hAnsi="Arial"/>
                <w:sz w:val="15"/>
                <w:szCs w:val="15"/>
                <w:color w:val="auto"/>
              </w:rPr>
              <w:t>A: Normal</w:t>
            </w:r>
          </w:p>
        </w:tc>
        <w:tc>
          <w:tcPr>
            <w:tcW w:w="3780" w:type="dxa"/>
            <w:vAlign w:val="bottom"/>
            <w:gridSpan w:val="3"/>
          </w:tcPr>
          <w:p>
            <w:pPr>
              <w:jc w:val="right"/>
              <w:ind w:right="560"/>
              <w:spacing w:after="0" w:line="160" w:lineRule="exact"/>
              <w:rPr>
                <w:sz w:val="20"/>
                <w:szCs w:val="20"/>
                <w:color w:val="auto"/>
              </w:rPr>
            </w:pPr>
            <w:r>
              <w:rPr>
                <w:rFonts w:ascii="Arial" w:cs="Arial" w:eastAsia="Arial" w:hAnsi="Arial"/>
                <w:sz w:val="15"/>
                <w:szCs w:val="15"/>
                <w:color w:val="auto"/>
              </w:rPr>
              <w:t>81.1%</w:t>
            </w:r>
          </w:p>
        </w:tc>
        <w:tc>
          <w:tcPr>
            <w:tcW w:w="1700" w:type="dxa"/>
            <w:vAlign w:val="bottom"/>
            <w:gridSpan w:val="3"/>
          </w:tcPr>
          <w:p>
            <w:pPr>
              <w:jc w:val="right"/>
              <w:ind w:right="540"/>
              <w:spacing w:after="0" w:line="160" w:lineRule="exact"/>
              <w:rPr>
                <w:sz w:val="20"/>
                <w:szCs w:val="20"/>
                <w:color w:val="auto"/>
              </w:rPr>
            </w:pPr>
            <w:r>
              <w:rPr>
                <w:rFonts w:ascii="Arial" w:cs="Arial" w:eastAsia="Arial" w:hAnsi="Arial"/>
                <w:sz w:val="15"/>
                <w:szCs w:val="15"/>
                <w:color w:val="auto"/>
              </w:rPr>
              <w:t>86.2%</w:t>
            </w:r>
          </w:p>
        </w:tc>
        <w:tc>
          <w:tcPr>
            <w:tcW w:w="118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162"/>
        </w:trPr>
        <w:tc>
          <w:tcPr>
            <w:tcW w:w="4760" w:type="dxa"/>
            <w:vAlign w:val="bottom"/>
            <w:gridSpan w:val="2"/>
          </w:tcPr>
          <w:p>
            <w:pPr>
              <w:spacing w:after="0" w:line="162" w:lineRule="exact"/>
              <w:rPr>
                <w:sz w:val="20"/>
                <w:szCs w:val="20"/>
                <w:color w:val="auto"/>
              </w:rPr>
            </w:pPr>
            <w:r>
              <w:rPr>
                <w:rFonts w:ascii="Arial" w:cs="Arial" w:eastAsia="Arial" w:hAnsi="Arial"/>
                <w:sz w:val="15"/>
                <w:szCs w:val="15"/>
                <w:color w:val="auto"/>
              </w:rPr>
              <w:t>B: Potential Problem</w:t>
            </w:r>
          </w:p>
        </w:tc>
        <w:tc>
          <w:tcPr>
            <w:tcW w:w="3780" w:type="dxa"/>
            <w:vAlign w:val="bottom"/>
            <w:gridSpan w:val="3"/>
          </w:tcPr>
          <w:p>
            <w:pPr>
              <w:jc w:val="right"/>
              <w:ind w:right="560"/>
              <w:spacing w:after="0" w:line="162" w:lineRule="exact"/>
              <w:rPr>
                <w:sz w:val="20"/>
                <w:szCs w:val="20"/>
                <w:color w:val="auto"/>
              </w:rPr>
            </w:pPr>
            <w:r>
              <w:rPr>
                <w:rFonts w:ascii="Arial" w:cs="Arial" w:eastAsia="Arial" w:hAnsi="Arial"/>
                <w:sz w:val="15"/>
                <w:szCs w:val="15"/>
                <w:color w:val="auto"/>
              </w:rPr>
              <w:t>7.4%</w:t>
            </w:r>
          </w:p>
        </w:tc>
        <w:tc>
          <w:tcPr>
            <w:tcW w:w="1700" w:type="dxa"/>
            <w:vAlign w:val="bottom"/>
            <w:gridSpan w:val="3"/>
          </w:tcPr>
          <w:p>
            <w:pPr>
              <w:jc w:val="right"/>
              <w:ind w:right="540"/>
              <w:spacing w:after="0" w:line="162" w:lineRule="exact"/>
              <w:rPr>
                <w:sz w:val="20"/>
                <w:szCs w:val="20"/>
                <w:color w:val="auto"/>
              </w:rPr>
            </w:pPr>
            <w:r>
              <w:rPr>
                <w:rFonts w:ascii="Arial" w:cs="Arial" w:eastAsia="Arial" w:hAnsi="Arial"/>
                <w:sz w:val="15"/>
                <w:szCs w:val="15"/>
                <w:color w:val="auto"/>
              </w:rPr>
              <w:t>6.8%</w:t>
            </w:r>
          </w:p>
        </w:tc>
        <w:tc>
          <w:tcPr>
            <w:tcW w:w="11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62"/>
        </w:trPr>
        <w:tc>
          <w:tcPr>
            <w:tcW w:w="4760" w:type="dxa"/>
            <w:vAlign w:val="bottom"/>
            <w:gridSpan w:val="2"/>
          </w:tcPr>
          <w:p>
            <w:pPr>
              <w:spacing w:after="0" w:line="162" w:lineRule="exact"/>
              <w:rPr>
                <w:sz w:val="20"/>
                <w:szCs w:val="20"/>
                <w:color w:val="auto"/>
              </w:rPr>
            </w:pPr>
            <w:r>
              <w:rPr>
                <w:rFonts w:ascii="Arial" w:cs="Arial" w:eastAsia="Arial" w:hAnsi="Arial"/>
                <w:sz w:val="15"/>
                <w:szCs w:val="15"/>
                <w:color w:val="auto"/>
              </w:rPr>
              <w:t>C: Deficient</w:t>
            </w:r>
          </w:p>
        </w:tc>
        <w:tc>
          <w:tcPr>
            <w:tcW w:w="3780" w:type="dxa"/>
            <w:vAlign w:val="bottom"/>
            <w:gridSpan w:val="3"/>
          </w:tcPr>
          <w:p>
            <w:pPr>
              <w:jc w:val="right"/>
              <w:ind w:right="560"/>
              <w:spacing w:after="0" w:line="162" w:lineRule="exact"/>
              <w:rPr>
                <w:sz w:val="20"/>
                <w:szCs w:val="20"/>
                <w:color w:val="auto"/>
              </w:rPr>
            </w:pPr>
            <w:r>
              <w:rPr>
                <w:rFonts w:ascii="Arial" w:cs="Arial" w:eastAsia="Arial" w:hAnsi="Arial"/>
                <w:sz w:val="15"/>
                <w:szCs w:val="15"/>
                <w:color w:val="auto"/>
              </w:rPr>
              <w:t>4.5%</w:t>
            </w:r>
          </w:p>
        </w:tc>
        <w:tc>
          <w:tcPr>
            <w:tcW w:w="1700" w:type="dxa"/>
            <w:vAlign w:val="bottom"/>
            <w:gridSpan w:val="3"/>
          </w:tcPr>
          <w:p>
            <w:pPr>
              <w:jc w:val="right"/>
              <w:ind w:right="540"/>
              <w:spacing w:after="0" w:line="162" w:lineRule="exact"/>
              <w:rPr>
                <w:sz w:val="20"/>
                <w:szCs w:val="20"/>
                <w:color w:val="auto"/>
              </w:rPr>
            </w:pPr>
            <w:r>
              <w:rPr>
                <w:rFonts w:ascii="Arial" w:cs="Arial" w:eastAsia="Arial" w:hAnsi="Arial"/>
                <w:sz w:val="15"/>
                <w:szCs w:val="15"/>
                <w:color w:val="auto"/>
              </w:rPr>
              <w:t>2.1%</w:t>
            </w:r>
          </w:p>
        </w:tc>
        <w:tc>
          <w:tcPr>
            <w:tcW w:w="11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4760" w:type="dxa"/>
            <w:vAlign w:val="bottom"/>
            <w:gridSpan w:val="2"/>
          </w:tcPr>
          <w:p>
            <w:pPr>
              <w:spacing w:after="0" w:line="162" w:lineRule="exact"/>
              <w:rPr>
                <w:sz w:val="20"/>
                <w:szCs w:val="20"/>
                <w:color w:val="auto"/>
              </w:rPr>
            </w:pPr>
            <w:r>
              <w:rPr>
                <w:rFonts w:ascii="Arial" w:cs="Arial" w:eastAsia="Arial" w:hAnsi="Arial"/>
                <w:sz w:val="15"/>
                <w:szCs w:val="15"/>
                <w:color w:val="auto"/>
              </w:rPr>
              <w:t>D: Doubtful</w:t>
            </w:r>
          </w:p>
        </w:tc>
        <w:tc>
          <w:tcPr>
            <w:tcW w:w="3780" w:type="dxa"/>
            <w:vAlign w:val="bottom"/>
            <w:gridSpan w:val="3"/>
          </w:tcPr>
          <w:p>
            <w:pPr>
              <w:jc w:val="right"/>
              <w:ind w:right="560"/>
              <w:spacing w:after="0" w:line="162" w:lineRule="exact"/>
              <w:rPr>
                <w:sz w:val="20"/>
                <w:szCs w:val="20"/>
                <w:color w:val="auto"/>
              </w:rPr>
            </w:pPr>
            <w:r>
              <w:rPr>
                <w:rFonts w:ascii="Arial" w:cs="Arial" w:eastAsia="Arial" w:hAnsi="Arial"/>
                <w:sz w:val="15"/>
                <w:szCs w:val="15"/>
                <w:color w:val="auto"/>
              </w:rPr>
              <w:t>4.3%</w:t>
            </w:r>
          </w:p>
        </w:tc>
        <w:tc>
          <w:tcPr>
            <w:tcW w:w="1700" w:type="dxa"/>
            <w:vAlign w:val="bottom"/>
            <w:gridSpan w:val="3"/>
          </w:tcPr>
          <w:p>
            <w:pPr>
              <w:jc w:val="right"/>
              <w:ind w:right="540"/>
              <w:spacing w:after="0" w:line="162" w:lineRule="exact"/>
              <w:rPr>
                <w:sz w:val="20"/>
                <w:szCs w:val="20"/>
                <w:color w:val="auto"/>
              </w:rPr>
            </w:pPr>
            <w:r>
              <w:rPr>
                <w:rFonts w:ascii="Arial" w:cs="Arial" w:eastAsia="Arial" w:hAnsi="Arial"/>
                <w:sz w:val="15"/>
                <w:szCs w:val="15"/>
                <w:color w:val="auto"/>
              </w:rPr>
              <w:t>3.3%</w:t>
            </w:r>
          </w:p>
        </w:tc>
        <w:tc>
          <w:tcPr>
            <w:tcW w:w="11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62"/>
        </w:trPr>
        <w:tc>
          <w:tcPr>
            <w:tcW w:w="4760" w:type="dxa"/>
            <w:vAlign w:val="bottom"/>
            <w:gridSpan w:val="2"/>
          </w:tcPr>
          <w:p>
            <w:pPr>
              <w:spacing w:after="0" w:line="162" w:lineRule="exact"/>
              <w:rPr>
                <w:sz w:val="20"/>
                <w:szCs w:val="20"/>
                <w:color w:val="auto"/>
              </w:rPr>
            </w:pPr>
            <w:r>
              <w:rPr>
                <w:rFonts w:ascii="Arial" w:cs="Arial" w:eastAsia="Arial" w:hAnsi="Arial"/>
                <w:sz w:val="15"/>
                <w:szCs w:val="15"/>
                <w:color w:val="auto"/>
              </w:rPr>
              <w:t>E: Loss</w:t>
            </w:r>
          </w:p>
        </w:tc>
        <w:tc>
          <w:tcPr>
            <w:tcW w:w="3780" w:type="dxa"/>
            <w:vAlign w:val="bottom"/>
            <w:gridSpan w:val="3"/>
          </w:tcPr>
          <w:p>
            <w:pPr>
              <w:jc w:val="right"/>
              <w:ind w:right="560"/>
              <w:spacing w:after="0" w:line="162" w:lineRule="exact"/>
              <w:rPr>
                <w:sz w:val="20"/>
                <w:szCs w:val="20"/>
                <w:color w:val="auto"/>
              </w:rPr>
            </w:pPr>
            <w:r>
              <w:rPr>
                <w:rFonts w:ascii="Arial" w:cs="Arial" w:eastAsia="Arial" w:hAnsi="Arial"/>
                <w:sz w:val="15"/>
                <w:szCs w:val="15"/>
                <w:color w:val="auto"/>
              </w:rPr>
              <w:t>2.7%</w:t>
            </w:r>
          </w:p>
        </w:tc>
        <w:tc>
          <w:tcPr>
            <w:tcW w:w="1700" w:type="dxa"/>
            <w:vAlign w:val="bottom"/>
            <w:gridSpan w:val="3"/>
          </w:tcPr>
          <w:p>
            <w:pPr>
              <w:jc w:val="right"/>
              <w:ind w:right="540"/>
              <w:spacing w:after="0" w:line="162" w:lineRule="exact"/>
              <w:rPr>
                <w:sz w:val="20"/>
                <w:szCs w:val="20"/>
                <w:color w:val="auto"/>
              </w:rPr>
            </w:pPr>
            <w:r>
              <w:rPr>
                <w:rFonts w:ascii="Arial" w:cs="Arial" w:eastAsia="Arial" w:hAnsi="Arial"/>
                <w:sz w:val="15"/>
                <w:szCs w:val="15"/>
                <w:color w:val="auto"/>
              </w:rPr>
              <w:t>1.6%</w:t>
            </w:r>
          </w:p>
        </w:tc>
        <w:tc>
          <w:tcPr>
            <w:tcW w:w="11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58"/>
        </w:trPr>
        <w:tc>
          <w:tcPr>
            <w:tcW w:w="320" w:type="dxa"/>
            <w:vAlign w:val="bottom"/>
          </w:tcPr>
          <w:p>
            <w:pPr>
              <w:spacing w:after="0" w:line="158" w:lineRule="exact"/>
              <w:rPr>
                <w:sz w:val="20"/>
                <w:szCs w:val="20"/>
                <w:color w:val="auto"/>
              </w:rPr>
            </w:pPr>
            <w:r>
              <w:rPr>
                <w:rFonts w:ascii="Arial" w:cs="Arial" w:eastAsia="Arial" w:hAnsi="Arial"/>
                <w:sz w:val="15"/>
                <w:szCs w:val="15"/>
                <w:color w:val="auto"/>
                <w:w w:val="89"/>
              </w:rPr>
              <w:t>Total</w:t>
            </w:r>
          </w:p>
        </w:tc>
        <w:tc>
          <w:tcPr>
            <w:tcW w:w="44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5"/>
                <w:szCs w:val="15"/>
                <w:color w:val="auto"/>
                <w:w w:val="86"/>
              </w:rPr>
              <w:t>100.</w:t>
            </w:r>
            <w:r>
              <w:rPr>
                <w:rFonts w:ascii="Arial" w:cs="Arial" w:eastAsia="Arial" w:hAnsi="Arial"/>
                <w:sz w:val="15"/>
                <w:szCs w:val="15"/>
                <w:u w:val="single" w:color="auto"/>
                <w:color w:val="auto"/>
                <w:w w:val="86"/>
              </w:rPr>
              <w:t>0%</w:t>
            </w:r>
          </w:p>
        </w:tc>
        <w:tc>
          <w:tcPr>
            <w:tcW w:w="560" w:type="dxa"/>
            <w:vAlign w:val="bottom"/>
          </w:tcPr>
          <w:p>
            <w:pPr>
              <w:spacing w:after="0"/>
              <w:rPr>
                <w:sz w:val="13"/>
                <w:szCs w:val="13"/>
                <w:color w:val="auto"/>
              </w:rPr>
            </w:pPr>
          </w:p>
        </w:tc>
        <w:tc>
          <w:tcPr>
            <w:tcW w:w="1700" w:type="dxa"/>
            <w:vAlign w:val="bottom"/>
            <w:gridSpan w:val="3"/>
          </w:tcPr>
          <w:p>
            <w:pPr>
              <w:jc w:val="right"/>
              <w:ind w:right="5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18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4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Loans</w:t>
            </w:r>
          </w:p>
        </w:tc>
        <w:tc>
          <w:tcPr>
            <w:tcW w:w="2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w w:val="83"/>
              </w:rPr>
              <w:t>Total</w:t>
            </w:r>
          </w:p>
        </w:tc>
        <w:tc>
          <w:tcPr>
            <w:tcW w:w="4440" w:type="dxa"/>
            <w:vAlign w:val="bottom"/>
            <w:tcBorders>
              <w:bottom w:val="single" w:sz="8" w:color="auto"/>
            </w:tcBorders>
            <w:vMerge w:val="continue"/>
          </w:tcPr>
          <w:p>
            <w:pPr>
              <w:spacing w:after="0"/>
              <w:rPr>
                <w:sz w:val="13"/>
                <w:szCs w:val="13"/>
                <w:color w:val="auto"/>
              </w:rPr>
            </w:pPr>
          </w:p>
        </w:tc>
        <w:tc>
          <w:tcPr>
            <w:tcW w:w="322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b w:val="1"/>
                <w:bCs w:val="1"/>
                <w:color w:val="auto"/>
              </w:rPr>
              <w:t>US$4,098</w:t>
            </w:r>
          </w:p>
        </w:tc>
        <w:tc>
          <w:tcPr>
            <w:tcW w:w="5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560"/>
              <w:spacing w:after="0" w:line="156" w:lineRule="exact"/>
              <w:rPr>
                <w:sz w:val="20"/>
                <w:szCs w:val="20"/>
                <w:color w:val="auto"/>
              </w:rPr>
            </w:pPr>
            <w:r>
              <w:rPr>
                <w:rFonts w:ascii="Arial" w:cs="Arial" w:eastAsia="Arial" w:hAnsi="Arial"/>
                <w:sz w:val="15"/>
                <w:szCs w:val="15"/>
                <w:b w:val="1"/>
                <w:bCs w:val="1"/>
                <w:color w:val="auto"/>
              </w:rPr>
              <w:t>US$4,479</w:t>
            </w:r>
          </w:p>
        </w:tc>
        <w:tc>
          <w:tcPr>
            <w:tcW w:w="118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US$4,830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 xml:space="preserve">During the 4Q05, the portfolio provisions in the profit and loss statement reached US$14.4 million which, deducting </w:t>
      </w:r>
      <w:r>
        <w:rPr>
          <w:rFonts w:ascii="Arial" w:cs="Arial" w:eastAsia="Arial" w:hAnsi="Arial"/>
          <w:sz w:val="19"/>
          <w:szCs w:val="19"/>
          <w:b w:val="1"/>
          <w:bCs w:val="1"/>
          <w:color w:val="auto"/>
        </w:rPr>
        <w:t>recoveries</w:t>
      </w:r>
      <w:r>
        <w:rPr>
          <w:rFonts w:ascii="Arial" w:cs="Arial" w:eastAsia="Arial" w:hAnsi="Arial"/>
          <w:sz w:val="19"/>
          <w:szCs w:val="19"/>
          <w:color w:val="auto"/>
        </w:rPr>
        <w:t xml:space="preserve"> of charged-off accounts (which reached US$ 9.1 million in 4Q05) were reduced to net provisions of only US$ 5.3 million. In the previous quarter, this line was US$ 3 million with a positive effect, due to the excess of recoveries of charged-off accounts over new provisions. The total provisions at December 2005 reached US$ 28.7 million, a figure significantly lower than the approximately US$ 36 million at December of 2004. The increase in provisions during 4Q05 was due mainly to an increase in the level of loans that was observed at the close of the year and to greater provisions made in the consumer loan segment in 4Q05. These gross provisions represent approximately 7.4% of NII for the year, down from 11.5% last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 xml:space="preserve">Below is presented the quarterly trend in loan </w:t>
      </w:r>
      <w:r>
        <w:rPr>
          <w:rFonts w:ascii="Arial" w:cs="Arial" w:eastAsia="Arial" w:hAnsi="Arial"/>
          <w:sz w:val="22"/>
          <w:szCs w:val="22"/>
          <w:b w:val="1"/>
          <w:bCs w:val="1"/>
          <w:color w:val="auto"/>
        </w:rPr>
        <w:t>provisions, net</w:t>
      </w:r>
      <w:r>
        <w:rPr>
          <w:rFonts w:ascii="Arial" w:cs="Arial" w:eastAsia="Arial" w:hAnsi="Arial"/>
          <w:sz w:val="22"/>
          <w:szCs w:val="22"/>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(In US$ millions)</w:t>
            </w:r>
          </w:p>
        </w:tc>
        <w:tc>
          <w:tcPr>
            <w:tcW w:w="26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1Q05</w:t>
            </w:r>
          </w:p>
        </w:tc>
        <w:tc>
          <w:tcPr>
            <w:tcW w:w="13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2Q05</w:t>
            </w:r>
          </w:p>
        </w:tc>
        <w:tc>
          <w:tcPr>
            <w:tcW w:w="136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3Q05</w:t>
            </w:r>
          </w:p>
        </w:tc>
        <w:tc>
          <w:tcPr>
            <w:tcW w:w="136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4Q05</w:t>
            </w:r>
          </w:p>
        </w:tc>
        <w:tc>
          <w:tcPr>
            <w:tcW w:w="10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Total</w:t>
            </w:r>
          </w:p>
        </w:tc>
      </w:tr>
      <w:tr>
        <w:trPr>
          <w:trHeight w:val="160"/>
        </w:trPr>
        <w:tc>
          <w:tcPr>
            <w:tcW w:w="3580" w:type="dxa"/>
            <w:vAlign w:val="bottom"/>
          </w:tcPr>
          <w:p>
            <w:pPr>
              <w:spacing w:after="0" w:line="160" w:lineRule="exact"/>
              <w:rPr>
                <w:sz w:val="20"/>
                <w:szCs w:val="20"/>
                <w:color w:val="auto"/>
              </w:rPr>
            </w:pPr>
            <w:r>
              <w:rPr>
                <w:rFonts w:ascii="Arial" w:cs="Arial" w:eastAsia="Arial" w:hAnsi="Arial"/>
                <w:sz w:val="15"/>
                <w:szCs w:val="15"/>
                <w:color w:val="auto"/>
              </w:rPr>
              <w:t>Provisions for loan losses</w:t>
            </w:r>
          </w:p>
        </w:tc>
        <w:tc>
          <w:tcPr>
            <w:tcW w:w="26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4.576</w:t>
            </w:r>
          </w:p>
        </w:tc>
        <w:tc>
          <w:tcPr>
            <w:tcW w:w="13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6.014</w:t>
            </w:r>
          </w:p>
        </w:tc>
        <w:tc>
          <w:tcPr>
            <w:tcW w:w="1360" w:type="dxa"/>
            <w:vAlign w:val="bottom"/>
          </w:tcPr>
          <w:p>
            <w:pPr>
              <w:jc w:val="right"/>
              <w:ind w:right="246"/>
              <w:spacing w:after="0" w:line="160" w:lineRule="exact"/>
              <w:rPr>
                <w:sz w:val="20"/>
                <w:szCs w:val="20"/>
                <w:color w:val="auto"/>
              </w:rPr>
            </w:pPr>
            <w:r>
              <w:rPr>
                <w:rFonts w:ascii="Arial" w:cs="Arial" w:eastAsia="Arial" w:hAnsi="Arial"/>
                <w:sz w:val="15"/>
                <w:szCs w:val="15"/>
                <w:color w:val="auto"/>
              </w:rPr>
              <w:t>3.638</w:t>
            </w:r>
          </w:p>
        </w:tc>
        <w:tc>
          <w:tcPr>
            <w:tcW w:w="1360" w:type="dxa"/>
            <w:vAlign w:val="bottom"/>
          </w:tcPr>
          <w:p>
            <w:pPr>
              <w:jc w:val="right"/>
              <w:ind w:right="246"/>
              <w:spacing w:after="0" w:line="160" w:lineRule="exact"/>
              <w:rPr>
                <w:sz w:val="20"/>
                <w:szCs w:val="20"/>
                <w:color w:val="auto"/>
              </w:rPr>
            </w:pPr>
            <w:r>
              <w:rPr>
                <w:rFonts w:ascii="Arial" w:cs="Arial" w:eastAsia="Arial" w:hAnsi="Arial"/>
                <w:sz w:val="15"/>
                <w:szCs w:val="15"/>
                <w:color w:val="auto"/>
              </w:rPr>
              <w:t>14.448</w:t>
            </w:r>
          </w:p>
        </w:tc>
        <w:tc>
          <w:tcPr>
            <w:tcW w:w="1060" w:type="dxa"/>
            <w:vAlign w:val="bottom"/>
          </w:tcPr>
          <w:p>
            <w:pPr>
              <w:jc w:val="right"/>
              <w:spacing w:after="0" w:line="160" w:lineRule="exact"/>
              <w:rPr>
                <w:sz w:val="20"/>
                <w:szCs w:val="20"/>
                <w:color w:val="auto"/>
              </w:rPr>
            </w:pPr>
            <w:r>
              <w:rPr>
                <w:rFonts w:ascii="Arial" w:cs="Arial" w:eastAsia="Arial" w:hAnsi="Arial"/>
                <w:sz w:val="15"/>
                <w:szCs w:val="15"/>
                <w:color w:val="auto"/>
              </w:rPr>
              <w:t>28.675</w:t>
            </w:r>
          </w:p>
        </w:tc>
      </w:tr>
      <w:tr>
        <w:trPr>
          <w:trHeight w:val="188"/>
        </w:trPr>
        <w:tc>
          <w:tcPr>
            <w:tcW w:w="3580" w:type="dxa"/>
            <w:vAlign w:val="bottom"/>
          </w:tcPr>
          <w:p>
            <w:pPr>
              <w:spacing w:after="0"/>
              <w:rPr>
                <w:sz w:val="20"/>
                <w:szCs w:val="20"/>
                <w:color w:val="auto"/>
              </w:rPr>
            </w:pPr>
            <w:r>
              <w:rPr>
                <w:rFonts w:ascii="Arial" w:cs="Arial" w:eastAsia="Arial" w:hAnsi="Arial"/>
                <w:sz w:val="15"/>
                <w:szCs w:val="15"/>
                <w:color w:val="auto"/>
              </w:rPr>
              <w:t>Recoveries of charged-offs loans</w:t>
            </w:r>
          </w:p>
        </w:tc>
        <w:tc>
          <w:tcPr>
            <w:tcW w:w="2680" w:type="dxa"/>
            <w:vAlign w:val="bottom"/>
          </w:tcPr>
          <w:p>
            <w:pPr>
              <w:jc w:val="right"/>
              <w:ind w:right="266"/>
              <w:spacing w:after="0"/>
              <w:rPr>
                <w:sz w:val="20"/>
                <w:szCs w:val="20"/>
                <w:color w:val="auto"/>
              </w:rPr>
            </w:pPr>
            <w:r>
              <w:rPr>
                <w:rFonts w:ascii="Arial" w:cs="Arial" w:eastAsia="Arial" w:hAnsi="Arial"/>
                <w:sz w:val="15"/>
                <w:szCs w:val="15"/>
                <w:color w:val="auto"/>
              </w:rPr>
              <w:t>-7.702</w:t>
            </w:r>
          </w:p>
        </w:tc>
        <w:tc>
          <w:tcPr>
            <w:tcW w:w="1380" w:type="dxa"/>
            <w:vAlign w:val="bottom"/>
          </w:tcPr>
          <w:p>
            <w:pPr>
              <w:jc w:val="right"/>
              <w:ind w:right="266"/>
              <w:spacing w:after="0"/>
              <w:rPr>
                <w:sz w:val="20"/>
                <w:szCs w:val="20"/>
                <w:color w:val="auto"/>
              </w:rPr>
            </w:pPr>
            <w:r>
              <w:rPr>
                <w:rFonts w:ascii="Arial" w:cs="Arial" w:eastAsia="Arial" w:hAnsi="Arial"/>
                <w:sz w:val="15"/>
                <w:szCs w:val="15"/>
                <w:color w:val="auto"/>
              </w:rPr>
              <w:t>-5.100</w:t>
            </w:r>
          </w:p>
        </w:tc>
        <w:tc>
          <w:tcPr>
            <w:tcW w:w="1360" w:type="dxa"/>
            <w:vAlign w:val="bottom"/>
          </w:tcPr>
          <w:p>
            <w:pPr>
              <w:jc w:val="right"/>
              <w:ind w:right="246"/>
              <w:spacing w:after="0"/>
              <w:rPr>
                <w:sz w:val="20"/>
                <w:szCs w:val="20"/>
                <w:color w:val="auto"/>
              </w:rPr>
            </w:pPr>
            <w:r>
              <w:rPr>
                <w:rFonts w:ascii="Arial" w:cs="Arial" w:eastAsia="Arial" w:hAnsi="Arial"/>
                <w:sz w:val="15"/>
                <w:szCs w:val="15"/>
                <w:color w:val="auto"/>
              </w:rPr>
              <w:t>-6.615</w:t>
            </w:r>
          </w:p>
        </w:tc>
        <w:tc>
          <w:tcPr>
            <w:tcW w:w="1360" w:type="dxa"/>
            <w:vAlign w:val="bottom"/>
          </w:tcPr>
          <w:p>
            <w:pPr>
              <w:jc w:val="right"/>
              <w:ind w:right="246"/>
              <w:spacing w:after="0"/>
              <w:rPr>
                <w:sz w:val="20"/>
                <w:szCs w:val="20"/>
                <w:color w:val="auto"/>
              </w:rPr>
            </w:pPr>
            <w:r>
              <w:rPr>
                <w:rFonts w:ascii="Arial" w:cs="Arial" w:eastAsia="Arial" w:hAnsi="Arial"/>
                <w:sz w:val="15"/>
                <w:szCs w:val="15"/>
                <w:color w:val="auto"/>
              </w:rPr>
              <w:t>-9.131</w:t>
            </w:r>
          </w:p>
        </w:tc>
        <w:tc>
          <w:tcPr>
            <w:tcW w:w="1060" w:type="dxa"/>
            <w:vAlign w:val="bottom"/>
          </w:tcPr>
          <w:p>
            <w:pPr>
              <w:jc w:val="right"/>
              <w:spacing w:after="0"/>
              <w:rPr>
                <w:sz w:val="20"/>
                <w:szCs w:val="20"/>
                <w:color w:val="auto"/>
              </w:rPr>
            </w:pPr>
            <w:r>
              <w:rPr>
                <w:rFonts w:ascii="Arial" w:cs="Arial" w:eastAsia="Arial" w:hAnsi="Arial"/>
                <w:sz w:val="15"/>
                <w:szCs w:val="15"/>
                <w:color w:val="auto"/>
              </w:rPr>
              <w:t>-28.548</w:t>
            </w:r>
          </w:p>
        </w:tc>
      </w:tr>
      <w:tr>
        <w:trPr>
          <w:trHeight w:val="307"/>
        </w:trPr>
        <w:tc>
          <w:tcPr>
            <w:tcW w:w="3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Provisions for loan losses, net</w:t>
            </w:r>
          </w:p>
        </w:tc>
        <w:tc>
          <w:tcPr>
            <w:tcW w:w="26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-3.126</w:t>
            </w:r>
          </w:p>
        </w:tc>
        <w:tc>
          <w:tcPr>
            <w:tcW w:w="13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0.913</w:t>
            </w:r>
          </w:p>
        </w:tc>
        <w:tc>
          <w:tcPr>
            <w:tcW w:w="13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-2.977</w:t>
            </w:r>
          </w:p>
        </w:tc>
        <w:tc>
          <w:tcPr>
            <w:tcW w:w="13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5.317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0.127</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II.7 CAPITAL ADEQUACY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BCP’s capital adequacy ratios demonstrate a volume of capital that broadly exceeds the minimums demanded by Peruvian regulations and those demanded by the Basel I international standards. Peruvian regulations limit risk-weighted assets, including market-risk exposure, to a ratio of 11 to 1 (or a minimum of 9.1% of capital), while those of Basel I suggest a maximum ratio of 12.5 times (minimum of 8%).</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the end of the 4Q05 BCP’s unconsolidated ratio of risk-weighted assets to regulatory capital was 9.1 to 1 (11.0%), while the corresponding consolidated ratio was 8.0 to 1 (12.4%) . Both are well below the maximum determined by the regulatory organizations.</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December 31, 2005, risk-weighted assets include US$ 280.1 million of market-risk exposure, the coverage of which requires US$ 25.5 million of regulatory capital, and BCP’s consolidated regulatory capital was US$ 680.5 million, similar to that for September, which reached US$ 682.2 million. During the fourth quarter, regulatory capital includes US$ 31.3 million subordinated debt, an amount lower than the debt in September 2005 and December 2004, which reached US$ 40 million and US$ 39.4 million,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Borders>
              <w:top w:val="single" w:sz="8" w:color="auto"/>
              <w:bottom w:val="single" w:sz="8" w:color="auto"/>
            </w:tcBorders>
          </w:tcPr>
          <w:p>
            <w:pPr>
              <w:spacing w:after="0"/>
              <w:rPr>
                <w:sz w:val="16"/>
                <w:szCs w:val="16"/>
                <w:color w:val="auto"/>
              </w:rPr>
            </w:pPr>
          </w:p>
        </w:tc>
        <w:tc>
          <w:tcPr>
            <w:tcW w:w="4100" w:type="dxa"/>
            <w:vAlign w:val="bottom"/>
            <w:tcBorders>
              <w:top w:val="single" w:sz="8" w:color="auto"/>
              <w:bottom w:val="single" w:sz="8" w:color="auto"/>
            </w:tcBorders>
            <w:gridSpan w:val="2"/>
          </w:tcPr>
          <w:p>
            <w:pPr>
              <w:jc w:val="right"/>
              <w:ind w:right="406"/>
              <w:spacing w:after="0"/>
              <w:rPr>
                <w:sz w:val="20"/>
                <w:szCs w:val="20"/>
                <w:color w:val="auto"/>
              </w:rPr>
            </w:pPr>
            <w:r>
              <w:rPr>
                <w:rFonts w:ascii="Arial" w:cs="Arial" w:eastAsia="Arial" w:hAnsi="Arial"/>
                <w:sz w:val="15"/>
                <w:szCs w:val="15"/>
                <w:b w:val="1"/>
                <w:bCs w:val="1"/>
                <w:color w:val="auto"/>
              </w:rPr>
              <w:t>BCP unconsolidated</w:t>
            </w:r>
          </w:p>
        </w:tc>
        <w:tc>
          <w:tcPr>
            <w:tcW w:w="17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BCP consolidated</w:t>
            </w:r>
          </w:p>
        </w:tc>
        <w:tc>
          <w:tcPr>
            <w:tcW w:w="1020" w:type="dxa"/>
            <w:vAlign w:val="bottom"/>
            <w:tcBorders>
              <w:top w:val="single" w:sz="8" w:color="auto"/>
              <w:bottom w:val="single" w:sz="8" w:color="auto"/>
            </w:tcBorders>
          </w:tcPr>
          <w:p>
            <w:pPr>
              <w:spacing w:after="0"/>
              <w:rPr>
                <w:sz w:val="16"/>
                <w:szCs w:val="16"/>
                <w:color w:val="auto"/>
              </w:rPr>
            </w:pPr>
          </w:p>
        </w:tc>
      </w:tr>
      <w:tr>
        <w:trPr>
          <w:trHeight w:val="169"/>
        </w:trPr>
        <w:tc>
          <w:tcPr>
            <w:tcW w:w="34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i w:val="1"/>
                <w:iCs w:val="1"/>
                <w:color w:val="auto"/>
              </w:rPr>
              <w:t>(In US$ millions)</w:t>
            </w:r>
          </w:p>
        </w:tc>
        <w:tc>
          <w:tcPr>
            <w:tcW w:w="2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31.12.04</w:t>
            </w:r>
          </w:p>
        </w:tc>
        <w:tc>
          <w:tcPr>
            <w:tcW w:w="1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31.12.05</w:t>
            </w:r>
          </w:p>
        </w:tc>
        <w:tc>
          <w:tcPr>
            <w:tcW w:w="1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31.12.04</w:t>
            </w: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6"/>
              <w:spacing w:after="0" w:line="169" w:lineRule="exact"/>
              <w:rPr>
                <w:sz w:val="20"/>
                <w:szCs w:val="20"/>
                <w:color w:val="auto"/>
              </w:rPr>
            </w:pPr>
            <w:r>
              <w:rPr>
                <w:rFonts w:ascii="Arial" w:cs="Arial" w:eastAsia="Arial" w:hAnsi="Arial"/>
                <w:sz w:val="15"/>
                <w:szCs w:val="15"/>
                <w:b w:val="1"/>
                <w:bCs w:val="1"/>
                <w:color w:val="auto"/>
                <w:w w:val="85"/>
              </w:rPr>
              <w:t>31.12.05</w:t>
            </w:r>
          </w:p>
        </w:tc>
      </w:tr>
      <w:tr>
        <w:trPr>
          <w:trHeight w:val="160"/>
        </w:trPr>
        <w:tc>
          <w:tcPr>
            <w:tcW w:w="3420" w:type="dxa"/>
            <w:vAlign w:val="bottom"/>
          </w:tcPr>
          <w:p>
            <w:pPr>
              <w:spacing w:after="0" w:line="160" w:lineRule="exact"/>
              <w:rPr>
                <w:sz w:val="20"/>
                <w:szCs w:val="20"/>
                <w:color w:val="auto"/>
              </w:rPr>
            </w:pPr>
            <w:r>
              <w:rPr>
                <w:rFonts w:ascii="Arial" w:cs="Arial" w:eastAsia="Arial" w:hAnsi="Arial"/>
                <w:sz w:val="15"/>
                <w:szCs w:val="15"/>
                <w:color w:val="auto"/>
              </w:rPr>
              <w:t>Regulatory capital</w:t>
            </w:r>
          </w:p>
        </w:tc>
        <w:tc>
          <w:tcPr>
            <w:tcW w:w="2380" w:type="dxa"/>
            <w:vAlign w:val="bottom"/>
          </w:tcPr>
          <w:p>
            <w:pPr>
              <w:spacing w:after="0"/>
              <w:rPr>
                <w:sz w:val="13"/>
                <w:szCs w:val="13"/>
                <w:color w:val="auto"/>
              </w:rPr>
            </w:pPr>
          </w:p>
        </w:tc>
        <w:tc>
          <w:tcPr>
            <w:tcW w:w="1720" w:type="dxa"/>
            <w:vAlign w:val="bottom"/>
          </w:tcPr>
          <w:p>
            <w:pPr>
              <w:jc w:val="right"/>
              <w:ind w:right="1186"/>
              <w:spacing w:after="0" w:line="160" w:lineRule="exact"/>
              <w:rPr>
                <w:sz w:val="20"/>
                <w:szCs w:val="20"/>
                <w:color w:val="auto"/>
              </w:rPr>
            </w:pPr>
            <w:r>
              <w:rPr>
                <w:rFonts w:ascii="Arial" w:cs="Arial" w:eastAsia="Arial" w:hAnsi="Arial"/>
                <w:sz w:val="15"/>
                <w:szCs w:val="15"/>
                <w:color w:val="auto"/>
              </w:rPr>
              <w:t>541.7</w:t>
            </w:r>
          </w:p>
        </w:tc>
        <w:tc>
          <w:tcPr>
            <w:tcW w:w="1720" w:type="dxa"/>
            <w:vAlign w:val="bottom"/>
          </w:tcPr>
          <w:p>
            <w:pPr>
              <w:jc w:val="right"/>
              <w:ind w:right="1186"/>
              <w:spacing w:after="0" w:line="160" w:lineRule="exact"/>
              <w:rPr>
                <w:sz w:val="20"/>
                <w:szCs w:val="20"/>
                <w:color w:val="auto"/>
              </w:rPr>
            </w:pPr>
            <w:r>
              <w:rPr>
                <w:rFonts w:ascii="Arial" w:cs="Arial" w:eastAsia="Arial" w:hAnsi="Arial"/>
                <w:sz w:val="15"/>
                <w:szCs w:val="15"/>
                <w:color w:val="auto"/>
              </w:rPr>
              <w:t>542.9</w:t>
            </w:r>
          </w:p>
        </w:tc>
        <w:tc>
          <w:tcPr>
            <w:tcW w:w="1160" w:type="dxa"/>
            <w:vAlign w:val="bottom"/>
          </w:tcPr>
          <w:p>
            <w:pPr>
              <w:jc w:val="right"/>
              <w:ind w:right="626"/>
              <w:spacing w:after="0" w:line="160" w:lineRule="exact"/>
              <w:rPr>
                <w:sz w:val="20"/>
                <w:szCs w:val="20"/>
                <w:color w:val="auto"/>
              </w:rPr>
            </w:pPr>
            <w:r>
              <w:rPr>
                <w:rFonts w:ascii="Arial" w:cs="Arial" w:eastAsia="Arial" w:hAnsi="Arial"/>
                <w:sz w:val="15"/>
                <w:szCs w:val="15"/>
                <w:color w:val="auto"/>
              </w:rPr>
              <w:t>665.6</w:t>
            </w:r>
          </w:p>
        </w:tc>
        <w:tc>
          <w:tcPr>
            <w:tcW w:w="1020" w:type="dxa"/>
            <w:vAlign w:val="bottom"/>
          </w:tcPr>
          <w:p>
            <w:pPr>
              <w:jc w:val="right"/>
              <w:spacing w:after="0" w:line="160" w:lineRule="exact"/>
              <w:rPr>
                <w:sz w:val="20"/>
                <w:szCs w:val="20"/>
                <w:color w:val="auto"/>
              </w:rPr>
            </w:pPr>
            <w:r>
              <w:rPr>
                <w:rFonts w:ascii="Arial" w:cs="Arial" w:eastAsia="Arial" w:hAnsi="Arial"/>
                <w:sz w:val="15"/>
                <w:szCs w:val="15"/>
                <w:color w:val="auto"/>
              </w:rPr>
              <w:t>680.5</w:t>
            </w:r>
          </w:p>
        </w:tc>
      </w:tr>
      <w:tr>
        <w:trPr>
          <w:trHeight w:val="188"/>
        </w:trPr>
        <w:tc>
          <w:tcPr>
            <w:tcW w:w="3420" w:type="dxa"/>
            <w:vAlign w:val="bottom"/>
          </w:tcPr>
          <w:p>
            <w:pPr>
              <w:spacing w:after="0"/>
              <w:rPr>
                <w:sz w:val="20"/>
                <w:szCs w:val="20"/>
                <w:color w:val="auto"/>
              </w:rPr>
            </w:pPr>
            <w:r>
              <w:rPr>
                <w:rFonts w:ascii="Arial" w:cs="Arial" w:eastAsia="Arial" w:hAnsi="Arial"/>
                <w:sz w:val="15"/>
                <w:szCs w:val="15"/>
                <w:color w:val="auto"/>
              </w:rPr>
              <w:t>Risk weighted assets</w:t>
            </w:r>
          </w:p>
        </w:tc>
        <w:tc>
          <w:tcPr>
            <w:tcW w:w="2380" w:type="dxa"/>
            <w:vAlign w:val="bottom"/>
          </w:tcPr>
          <w:p>
            <w:pPr>
              <w:spacing w:after="0"/>
              <w:rPr>
                <w:sz w:val="16"/>
                <w:szCs w:val="16"/>
                <w:color w:val="auto"/>
              </w:rPr>
            </w:pPr>
          </w:p>
        </w:tc>
        <w:tc>
          <w:tcPr>
            <w:tcW w:w="1720" w:type="dxa"/>
            <w:vAlign w:val="bottom"/>
          </w:tcPr>
          <w:p>
            <w:pPr>
              <w:jc w:val="right"/>
              <w:ind w:right="1186"/>
              <w:spacing w:after="0"/>
              <w:rPr>
                <w:sz w:val="20"/>
                <w:szCs w:val="20"/>
                <w:color w:val="auto"/>
              </w:rPr>
            </w:pPr>
            <w:r>
              <w:rPr>
                <w:rFonts w:ascii="Arial" w:cs="Arial" w:eastAsia="Arial" w:hAnsi="Arial"/>
                <w:sz w:val="15"/>
                <w:szCs w:val="15"/>
                <w:color w:val="auto"/>
                <w:w w:val="87"/>
              </w:rPr>
              <w:t>4,176.1</w:t>
            </w:r>
          </w:p>
        </w:tc>
        <w:tc>
          <w:tcPr>
            <w:tcW w:w="1720" w:type="dxa"/>
            <w:vAlign w:val="bottom"/>
          </w:tcPr>
          <w:p>
            <w:pPr>
              <w:jc w:val="right"/>
              <w:ind w:right="1186"/>
              <w:spacing w:after="0"/>
              <w:rPr>
                <w:sz w:val="20"/>
                <w:szCs w:val="20"/>
                <w:color w:val="auto"/>
              </w:rPr>
            </w:pPr>
            <w:r>
              <w:rPr>
                <w:rFonts w:ascii="Arial" w:cs="Arial" w:eastAsia="Arial" w:hAnsi="Arial"/>
                <w:sz w:val="15"/>
                <w:szCs w:val="15"/>
                <w:color w:val="auto"/>
                <w:w w:val="87"/>
              </w:rPr>
              <w:t>4,974.8</w:t>
            </w:r>
          </w:p>
        </w:tc>
        <w:tc>
          <w:tcPr>
            <w:tcW w:w="1160" w:type="dxa"/>
            <w:vAlign w:val="bottom"/>
          </w:tcPr>
          <w:p>
            <w:pPr>
              <w:jc w:val="right"/>
              <w:ind w:right="626"/>
              <w:spacing w:after="0"/>
              <w:rPr>
                <w:sz w:val="20"/>
                <w:szCs w:val="20"/>
                <w:color w:val="auto"/>
              </w:rPr>
            </w:pPr>
            <w:r>
              <w:rPr>
                <w:rFonts w:ascii="Arial" w:cs="Arial" w:eastAsia="Arial" w:hAnsi="Arial"/>
                <w:sz w:val="15"/>
                <w:szCs w:val="15"/>
                <w:color w:val="auto"/>
                <w:w w:val="87"/>
              </w:rPr>
              <w:t>4,626.2</w:t>
            </w:r>
          </w:p>
        </w:tc>
        <w:tc>
          <w:tcPr>
            <w:tcW w:w="1020" w:type="dxa"/>
            <w:vAlign w:val="bottom"/>
          </w:tcPr>
          <w:p>
            <w:pPr>
              <w:jc w:val="right"/>
              <w:spacing w:after="0"/>
              <w:rPr>
                <w:sz w:val="20"/>
                <w:szCs w:val="20"/>
                <w:color w:val="auto"/>
              </w:rPr>
            </w:pPr>
            <w:r>
              <w:rPr>
                <w:rFonts w:ascii="Arial" w:cs="Arial" w:eastAsia="Arial" w:hAnsi="Arial"/>
                <w:sz w:val="15"/>
                <w:szCs w:val="15"/>
                <w:color w:val="auto"/>
              </w:rPr>
              <w:t>5,477.3</w:t>
            </w:r>
          </w:p>
        </w:tc>
      </w:tr>
      <w:tr>
        <w:trPr>
          <w:trHeight w:val="298"/>
        </w:trPr>
        <w:tc>
          <w:tcPr>
            <w:tcW w:w="3420" w:type="dxa"/>
            <w:vAlign w:val="bottom"/>
          </w:tcPr>
          <w:p>
            <w:pPr>
              <w:spacing w:after="0"/>
              <w:rPr>
                <w:sz w:val="20"/>
                <w:szCs w:val="20"/>
                <w:color w:val="auto"/>
              </w:rPr>
            </w:pPr>
            <w:r>
              <w:rPr>
                <w:rFonts w:ascii="Arial" w:cs="Arial" w:eastAsia="Arial" w:hAnsi="Arial"/>
                <w:sz w:val="15"/>
                <w:szCs w:val="15"/>
                <w:color w:val="auto"/>
              </w:rPr>
              <w:t>Weighted assets / Capital</w:t>
            </w:r>
          </w:p>
        </w:tc>
        <w:tc>
          <w:tcPr>
            <w:tcW w:w="2380" w:type="dxa"/>
            <w:vAlign w:val="bottom"/>
          </w:tcPr>
          <w:p>
            <w:pPr>
              <w:spacing w:after="0"/>
              <w:rPr>
                <w:sz w:val="24"/>
                <w:szCs w:val="24"/>
                <w:color w:val="auto"/>
              </w:rPr>
            </w:pPr>
          </w:p>
        </w:tc>
        <w:tc>
          <w:tcPr>
            <w:tcW w:w="1720" w:type="dxa"/>
            <w:vAlign w:val="bottom"/>
          </w:tcPr>
          <w:p>
            <w:pPr>
              <w:jc w:val="right"/>
              <w:ind w:right="1186"/>
              <w:spacing w:after="0"/>
              <w:rPr>
                <w:sz w:val="20"/>
                <w:szCs w:val="20"/>
                <w:color w:val="auto"/>
              </w:rPr>
            </w:pPr>
            <w:r>
              <w:rPr>
                <w:rFonts w:ascii="Arial" w:cs="Arial" w:eastAsia="Arial" w:hAnsi="Arial"/>
                <w:sz w:val="15"/>
                <w:szCs w:val="15"/>
                <w:color w:val="auto"/>
              </w:rPr>
              <w:t>7.7</w:t>
            </w:r>
          </w:p>
        </w:tc>
        <w:tc>
          <w:tcPr>
            <w:tcW w:w="1720" w:type="dxa"/>
            <w:vAlign w:val="bottom"/>
          </w:tcPr>
          <w:p>
            <w:pPr>
              <w:jc w:val="right"/>
              <w:ind w:right="1186"/>
              <w:spacing w:after="0"/>
              <w:rPr>
                <w:sz w:val="20"/>
                <w:szCs w:val="20"/>
                <w:color w:val="auto"/>
              </w:rPr>
            </w:pPr>
            <w:r>
              <w:rPr>
                <w:rFonts w:ascii="Arial" w:cs="Arial" w:eastAsia="Arial" w:hAnsi="Arial"/>
                <w:sz w:val="15"/>
                <w:szCs w:val="15"/>
                <w:color w:val="auto"/>
              </w:rPr>
              <w:t>9.1</w:t>
            </w:r>
          </w:p>
        </w:tc>
        <w:tc>
          <w:tcPr>
            <w:tcW w:w="1160" w:type="dxa"/>
            <w:vAlign w:val="bottom"/>
          </w:tcPr>
          <w:p>
            <w:pPr>
              <w:jc w:val="right"/>
              <w:ind w:right="626"/>
              <w:spacing w:after="0"/>
              <w:rPr>
                <w:sz w:val="20"/>
                <w:szCs w:val="20"/>
                <w:color w:val="auto"/>
              </w:rPr>
            </w:pPr>
            <w:r>
              <w:rPr>
                <w:rFonts w:ascii="Arial" w:cs="Arial" w:eastAsia="Arial" w:hAnsi="Arial"/>
                <w:sz w:val="15"/>
                <w:szCs w:val="15"/>
                <w:color w:val="auto"/>
              </w:rPr>
              <w:t>6.9</w:t>
            </w:r>
          </w:p>
        </w:tc>
        <w:tc>
          <w:tcPr>
            <w:tcW w:w="10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71"/>
        </w:trPr>
        <w:tc>
          <w:tcPr>
            <w:tcW w:w="34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Capital / Weighted Assets</w:t>
            </w:r>
          </w:p>
        </w:tc>
        <w:tc>
          <w:tcPr>
            <w:tcW w:w="2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186"/>
              <w:spacing w:after="0" w:line="172" w:lineRule="exact"/>
              <w:rPr>
                <w:sz w:val="20"/>
                <w:szCs w:val="20"/>
                <w:color w:val="auto"/>
              </w:rPr>
            </w:pPr>
            <w:r>
              <w:rPr>
                <w:rFonts w:ascii="Arial" w:cs="Arial" w:eastAsia="Arial" w:hAnsi="Arial"/>
                <w:sz w:val="15"/>
                <w:szCs w:val="15"/>
                <w:color w:val="auto"/>
              </w:rPr>
              <w:t>13.0%</w:t>
            </w:r>
          </w:p>
        </w:tc>
        <w:tc>
          <w:tcPr>
            <w:tcW w:w="1720" w:type="dxa"/>
            <w:vAlign w:val="bottom"/>
            <w:tcBorders>
              <w:bottom w:val="single" w:sz="8" w:color="auto"/>
            </w:tcBorders>
          </w:tcPr>
          <w:p>
            <w:pPr>
              <w:jc w:val="right"/>
              <w:ind w:right="1186"/>
              <w:spacing w:after="0" w:line="172" w:lineRule="exact"/>
              <w:rPr>
                <w:sz w:val="20"/>
                <w:szCs w:val="20"/>
                <w:color w:val="auto"/>
              </w:rPr>
            </w:pPr>
            <w:r>
              <w:rPr>
                <w:rFonts w:ascii="Arial" w:cs="Arial" w:eastAsia="Arial" w:hAnsi="Arial"/>
                <w:sz w:val="15"/>
                <w:szCs w:val="15"/>
                <w:color w:val="auto"/>
              </w:rPr>
              <w:t>11.0%</w:t>
            </w:r>
          </w:p>
        </w:tc>
        <w:tc>
          <w:tcPr>
            <w:tcW w:w="1160" w:type="dxa"/>
            <w:vAlign w:val="bottom"/>
            <w:tcBorders>
              <w:bottom w:val="single" w:sz="8" w:color="auto"/>
            </w:tcBorders>
          </w:tcPr>
          <w:p>
            <w:pPr>
              <w:jc w:val="right"/>
              <w:ind w:right="626"/>
              <w:spacing w:after="0" w:line="172" w:lineRule="exact"/>
              <w:rPr>
                <w:sz w:val="20"/>
                <w:szCs w:val="20"/>
                <w:color w:val="auto"/>
              </w:rPr>
            </w:pPr>
            <w:r>
              <w:rPr>
                <w:rFonts w:ascii="Arial" w:cs="Arial" w:eastAsia="Arial" w:hAnsi="Arial"/>
                <w:sz w:val="15"/>
                <w:szCs w:val="15"/>
                <w:color w:val="auto"/>
              </w:rPr>
              <w:t>14.4%</w:t>
            </w: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II.8 BANCO DE CREDITO DE BOLIVIA (BCB)</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Below is a brief discussion of the Bolivian subsidiary, which is consolidated within BCP: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System in Bolivia</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Banking deposits rose to US$ 2.88 billion in December 2005, from US$ 2.84 billion in September and US$ 2.56 billion at the beginning of 2005.</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Loan volume in the banking system also rose during the 4Q05, reaching US$ 2.617 billion, 1.4% above the US$ 2.581 billion posted in September and 8.1% greater than the balance of US$ 2.42 billion at the beginning of the year. The system-wide past due loan ratio was 11.4% at the end of December 2005, 14.0% less than that of December 2004. The coverage of past-due loans with provisions decreased to 81.0% in December 2005, from 84.3% in December 2004.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Banco de Credito de Bolivia (BCB)</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BCB’s 4Q05 results maintain the trend from previous quarters, and end the year with figures that broadly exceed the projected recovery expectations. BCB has been able to double earnings compared to the previous year, grow its portfolio by 8%, while at the same time improving its portfolio quality, obtaining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jc w:val="both"/>
        <w:spacing w:after="0" w:line="241" w:lineRule="auto"/>
        <w:rPr>
          <w:sz w:val="20"/>
          <w:szCs w:val="20"/>
          <w:color w:val="auto"/>
        </w:rPr>
      </w:pPr>
      <w:r>
        <w:rPr>
          <w:rFonts w:ascii="Arial" w:cs="Arial" w:eastAsia="Arial" w:hAnsi="Arial"/>
          <w:sz w:val="22"/>
          <w:szCs w:val="22"/>
          <w:color w:val="auto"/>
        </w:rPr>
        <w:t>better past due loan and coverage ratios than those for the Bolivian financial system. These results well-positioned BCB within the Bolivian market to maintain growth as the most solid bank in the system, in an environment that is still somewhat uncertain with respect to economic development expectations.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BCB’s market share in deposits was 14.9%, versus 13.2% in September 2005, and 13.0% in December 2004. In terms of loans, BCB had a 13.4% market share in the fourth quarter, higher than 13.1% at the close of December 2004. Thus it remained fourth in terms of loan and deposit volume, among the system’s twelve major banks.</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of December 31, 2005, BCB had total loans of US$ 346.6 million, an increase over September’s balance of US$ 334.5 million and the balance of US$ 320.8 million in December 2004. This denotes an 8% annual rate of loan growth. This growth rate improves to 14.4% when considering growth of the performing loans. Portfolio quality continued to improve, at December 2005 total past due loans decreased 5.8%, with US$ 20.1 million in past due loans, compared to 11.0% in December 2004. Coverage of past due loans with loan loss provisions was 129.9% in December, increasing from 100.6% at the beginning of the period. As of December 31, 2005, net equity at the Bolivian subsidiary amounted to US$ 65.7 million, up from US$ 59.8 million at the beginning of the year.</w:t>
      </w:r>
    </w:p>
    <w:p>
      <w:pPr>
        <w:spacing w:after="0" w:line="19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Net loan loss provisions for the twelve-month period ended December 2005 were US$ 0.2 million, compared with US$ 0.9 million provisioned as expense in 2004.</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BCB’s profit in the 4Q05 was US$ 3.8 million, and US$ 3.5 million in the 3Q05. At December 2005, it had accumulated earnings of US$ 10.2 million, which more that doubles the US$ 4.8 million accumulated earnings of the previous year.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BCB’s main financial figures are shown in the following chart.</w:t>
      </w:r>
    </w:p>
    <w:p>
      <w:pPr>
        <w:spacing w:after="0" w:line="200"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Banco de Crédito de Bolivia (“BCB”)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Financial Figures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(In US$ millions)</w:t>
            </w:r>
          </w:p>
        </w:tc>
        <w:tc>
          <w:tcPr>
            <w:tcW w:w="39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31.12.04</w:t>
            </w:r>
          </w:p>
        </w:tc>
        <w:tc>
          <w:tcPr>
            <w:tcW w:w="172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30.09.05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31.12.05</w:t>
            </w:r>
          </w:p>
        </w:tc>
      </w:tr>
      <w:tr>
        <w:trPr>
          <w:trHeight w:val="160"/>
        </w:trPr>
        <w:tc>
          <w:tcPr>
            <w:tcW w:w="462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3940" w:type="dxa"/>
            <w:vAlign w:val="bottom"/>
          </w:tcPr>
          <w:p>
            <w:pPr>
              <w:jc w:val="right"/>
              <w:ind w:right="526"/>
              <w:spacing w:after="0" w:line="160" w:lineRule="exact"/>
              <w:rPr>
                <w:sz w:val="20"/>
                <w:szCs w:val="20"/>
                <w:color w:val="auto"/>
              </w:rPr>
            </w:pPr>
            <w:r>
              <w:rPr>
                <w:rFonts w:ascii="Arial" w:cs="Arial" w:eastAsia="Arial" w:hAnsi="Arial"/>
                <w:sz w:val="15"/>
                <w:szCs w:val="15"/>
                <w:color w:val="auto"/>
              </w:rPr>
              <w:t>320.8</w:t>
            </w:r>
          </w:p>
        </w:tc>
        <w:tc>
          <w:tcPr>
            <w:tcW w:w="1720" w:type="dxa"/>
            <w:vAlign w:val="bottom"/>
          </w:tcPr>
          <w:p>
            <w:pPr>
              <w:jc w:val="right"/>
              <w:ind w:right="526"/>
              <w:spacing w:after="0" w:line="160" w:lineRule="exact"/>
              <w:rPr>
                <w:sz w:val="20"/>
                <w:szCs w:val="20"/>
                <w:color w:val="auto"/>
              </w:rPr>
            </w:pPr>
            <w:r>
              <w:rPr>
                <w:rFonts w:ascii="Arial" w:cs="Arial" w:eastAsia="Arial" w:hAnsi="Arial"/>
                <w:sz w:val="15"/>
                <w:szCs w:val="15"/>
                <w:color w:val="auto"/>
              </w:rPr>
              <w:t>334.5</w:t>
            </w: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346.6</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Past-due loans</w:t>
            </w:r>
          </w:p>
        </w:tc>
        <w:tc>
          <w:tcPr>
            <w:tcW w:w="394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35.4</w:t>
            </w:r>
          </w:p>
        </w:tc>
        <w:tc>
          <w:tcPr>
            <w:tcW w:w="17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23.1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20.1</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Loan loss reserves</w:t>
            </w:r>
          </w:p>
        </w:tc>
        <w:tc>
          <w:tcPr>
            <w:tcW w:w="394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35.6</w:t>
            </w:r>
          </w:p>
        </w:tc>
        <w:tc>
          <w:tcPr>
            <w:tcW w:w="17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26.9</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26.1</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Total assets</w:t>
            </w:r>
          </w:p>
        </w:tc>
        <w:tc>
          <w:tcPr>
            <w:tcW w:w="394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457.4</w:t>
            </w:r>
          </w:p>
        </w:tc>
        <w:tc>
          <w:tcPr>
            <w:tcW w:w="17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493.0</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570.7</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Deposits</w:t>
            </w:r>
          </w:p>
        </w:tc>
        <w:tc>
          <w:tcPr>
            <w:tcW w:w="394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333.1</w:t>
            </w:r>
          </w:p>
        </w:tc>
        <w:tc>
          <w:tcPr>
            <w:tcW w:w="1720" w:type="dxa"/>
            <w:vAlign w:val="bottom"/>
          </w:tcPr>
          <w:p>
            <w:pPr>
              <w:jc w:val="right"/>
              <w:ind w:right="526"/>
              <w:spacing w:after="0" w:line="162" w:lineRule="exact"/>
              <w:rPr>
                <w:sz w:val="20"/>
                <w:szCs w:val="20"/>
                <w:color w:val="auto"/>
              </w:rPr>
            </w:pPr>
            <w:r>
              <w:rPr>
                <w:rFonts w:ascii="Arial" w:cs="Arial" w:eastAsia="Arial" w:hAnsi="Arial"/>
                <w:sz w:val="15"/>
                <w:szCs w:val="15"/>
                <w:color w:val="auto"/>
              </w:rPr>
              <w:t>379.2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430.9</w:t>
            </w:r>
          </w:p>
        </w:tc>
      </w:tr>
      <w:tr>
        <w:trPr>
          <w:trHeight w:val="188"/>
        </w:trPr>
        <w:tc>
          <w:tcPr>
            <w:tcW w:w="4620" w:type="dxa"/>
            <w:vAlign w:val="bottom"/>
          </w:tcPr>
          <w:p>
            <w:pPr>
              <w:spacing w:after="0"/>
              <w:rPr>
                <w:sz w:val="20"/>
                <w:szCs w:val="20"/>
                <w:color w:val="auto"/>
              </w:rPr>
            </w:pPr>
            <w:r>
              <w:rPr>
                <w:rFonts w:ascii="Arial" w:cs="Arial" w:eastAsia="Arial" w:hAnsi="Arial"/>
                <w:sz w:val="15"/>
                <w:szCs w:val="15"/>
                <w:color w:val="auto"/>
              </w:rPr>
              <w:t>Net equity</w:t>
            </w:r>
          </w:p>
        </w:tc>
        <w:tc>
          <w:tcPr>
            <w:tcW w:w="3940" w:type="dxa"/>
            <w:vAlign w:val="bottom"/>
          </w:tcPr>
          <w:p>
            <w:pPr>
              <w:jc w:val="right"/>
              <w:ind w:right="526"/>
              <w:spacing w:after="0"/>
              <w:rPr>
                <w:sz w:val="20"/>
                <w:szCs w:val="20"/>
                <w:color w:val="auto"/>
              </w:rPr>
            </w:pPr>
            <w:r>
              <w:rPr>
                <w:rFonts w:ascii="Arial" w:cs="Arial" w:eastAsia="Arial" w:hAnsi="Arial"/>
                <w:sz w:val="15"/>
                <w:szCs w:val="15"/>
                <w:color w:val="auto"/>
              </w:rPr>
              <w:t>59.8</w:t>
            </w:r>
          </w:p>
        </w:tc>
        <w:tc>
          <w:tcPr>
            <w:tcW w:w="1720" w:type="dxa"/>
            <w:vAlign w:val="bottom"/>
          </w:tcPr>
          <w:p>
            <w:pPr>
              <w:jc w:val="right"/>
              <w:ind w:right="526"/>
              <w:spacing w:after="0"/>
              <w:rPr>
                <w:sz w:val="20"/>
                <w:szCs w:val="20"/>
                <w:color w:val="auto"/>
              </w:rPr>
            </w:pPr>
            <w:r>
              <w:rPr>
                <w:rFonts w:ascii="Arial" w:cs="Arial" w:eastAsia="Arial" w:hAnsi="Arial"/>
                <w:sz w:val="15"/>
                <w:szCs w:val="15"/>
                <w:color w:val="auto"/>
              </w:rPr>
              <w:t>61.9</w:t>
            </w:r>
          </w:p>
        </w:tc>
        <w:tc>
          <w:tcPr>
            <w:tcW w:w="1140" w:type="dxa"/>
            <w:vAlign w:val="bottom"/>
          </w:tcPr>
          <w:p>
            <w:pPr>
              <w:jc w:val="right"/>
              <w:spacing w:after="0"/>
              <w:rPr>
                <w:sz w:val="20"/>
                <w:szCs w:val="20"/>
                <w:color w:val="auto"/>
              </w:rPr>
            </w:pPr>
            <w:r>
              <w:rPr>
                <w:rFonts w:ascii="Arial" w:cs="Arial" w:eastAsia="Arial" w:hAnsi="Arial"/>
                <w:sz w:val="15"/>
                <w:szCs w:val="15"/>
                <w:color w:val="auto"/>
              </w:rPr>
              <w:t>65.7</w:t>
            </w:r>
          </w:p>
        </w:tc>
      </w:tr>
      <w:tr>
        <w:trPr>
          <w:trHeight w:val="324"/>
        </w:trPr>
        <w:tc>
          <w:tcPr>
            <w:tcW w:w="4620" w:type="dxa"/>
            <w:vAlign w:val="bottom"/>
          </w:tcPr>
          <w:p>
            <w:pPr>
              <w:spacing w:after="0"/>
              <w:rPr>
                <w:sz w:val="20"/>
                <w:szCs w:val="20"/>
                <w:color w:val="auto"/>
              </w:rPr>
            </w:pPr>
            <w:r>
              <w:rPr>
                <w:rFonts w:ascii="Arial" w:cs="Arial" w:eastAsia="Arial" w:hAnsi="Arial"/>
                <w:sz w:val="15"/>
                <w:szCs w:val="15"/>
                <w:color w:val="auto"/>
              </w:rPr>
              <w:t>Net income, cumulative</w:t>
            </w:r>
          </w:p>
        </w:tc>
        <w:tc>
          <w:tcPr>
            <w:tcW w:w="3940" w:type="dxa"/>
            <w:vAlign w:val="bottom"/>
          </w:tcPr>
          <w:p>
            <w:pPr>
              <w:jc w:val="right"/>
              <w:ind w:right="526"/>
              <w:spacing w:after="0"/>
              <w:rPr>
                <w:sz w:val="20"/>
                <w:szCs w:val="20"/>
                <w:color w:val="auto"/>
              </w:rPr>
            </w:pPr>
            <w:r>
              <w:rPr>
                <w:rFonts w:ascii="Arial" w:cs="Arial" w:eastAsia="Arial" w:hAnsi="Arial"/>
                <w:sz w:val="15"/>
                <w:szCs w:val="15"/>
                <w:color w:val="auto"/>
              </w:rPr>
              <w:t>4.8</w:t>
            </w:r>
          </w:p>
        </w:tc>
        <w:tc>
          <w:tcPr>
            <w:tcW w:w="1720" w:type="dxa"/>
            <w:vAlign w:val="bottom"/>
          </w:tcPr>
          <w:p>
            <w:pPr>
              <w:jc w:val="right"/>
              <w:ind w:right="526"/>
              <w:spacing w:after="0"/>
              <w:rPr>
                <w:sz w:val="20"/>
                <w:szCs w:val="20"/>
                <w:color w:val="auto"/>
              </w:rPr>
            </w:pPr>
            <w:r>
              <w:rPr>
                <w:rFonts w:ascii="Arial" w:cs="Arial" w:eastAsia="Arial" w:hAnsi="Arial"/>
                <w:sz w:val="15"/>
                <w:szCs w:val="15"/>
                <w:color w:val="auto"/>
              </w:rPr>
              <w:t>6.5</w:t>
            </w:r>
          </w:p>
        </w:tc>
        <w:tc>
          <w:tcPr>
            <w:tcW w:w="114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98"/>
        </w:trPr>
        <w:tc>
          <w:tcPr>
            <w:tcW w:w="4620" w:type="dxa"/>
            <w:vAlign w:val="bottom"/>
          </w:tcPr>
          <w:p>
            <w:pPr>
              <w:spacing w:after="0"/>
              <w:rPr>
                <w:sz w:val="20"/>
                <w:szCs w:val="20"/>
                <w:color w:val="auto"/>
              </w:rPr>
            </w:pPr>
            <w:r>
              <w:rPr>
                <w:rFonts w:ascii="Arial" w:cs="Arial" w:eastAsia="Arial" w:hAnsi="Arial"/>
                <w:sz w:val="15"/>
                <w:szCs w:val="15"/>
                <w:color w:val="auto"/>
              </w:rPr>
              <w:t>Past-due loans / Total loans</w:t>
            </w:r>
          </w:p>
        </w:tc>
        <w:tc>
          <w:tcPr>
            <w:tcW w:w="3940" w:type="dxa"/>
            <w:vAlign w:val="bottom"/>
          </w:tcPr>
          <w:p>
            <w:pPr>
              <w:jc w:val="right"/>
              <w:ind w:right="526"/>
              <w:spacing w:after="0"/>
              <w:rPr>
                <w:sz w:val="20"/>
                <w:szCs w:val="20"/>
                <w:color w:val="auto"/>
              </w:rPr>
            </w:pPr>
            <w:r>
              <w:rPr>
                <w:rFonts w:ascii="Arial" w:cs="Arial" w:eastAsia="Arial" w:hAnsi="Arial"/>
                <w:sz w:val="15"/>
                <w:szCs w:val="15"/>
                <w:color w:val="auto"/>
              </w:rPr>
              <w:t>11.0%</w:t>
            </w:r>
          </w:p>
        </w:tc>
        <w:tc>
          <w:tcPr>
            <w:tcW w:w="1720" w:type="dxa"/>
            <w:vAlign w:val="bottom"/>
          </w:tcPr>
          <w:p>
            <w:pPr>
              <w:jc w:val="right"/>
              <w:ind w:right="526"/>
              <w:spacing w:after="0"/>
              <w:rPr>
                <w:sz w:val="20"/>
                <w:szCs w:val="20"/>
                <w:color w:val="auto"/>
              </w:rPr>
            </w:pPr>
            <w:r>
              <w:rPr>
                <w:rFonts w:ascii="Arial" w:cs="Arial" w:eastAsia="Arial" w:hAnsi="Arial"/>
                <w:sz w:val="15"/>
                <w:szCs w:val="15"/>
                <w:color w:val="auto"/>
              </w:rPr>
              <w:t>6.9%</w:t>
            </w:r>
          </w:p>
        </w:tc>
        <w:tc>
          <w:tcPr>
            <w:tcW w:w="114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71"/>
        </w:trPr>
        <w:tc>
          <w:tcPr>
            <w:tcW w:w="46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Loss reserves / Past-due loans</w:t>
            </w:r>
          </w:p>
        </w:tc>
        <w:tc>
          <w:tcPr>
            <w:tcW w:w="3940" w:type="dxa"/>
            <w:vAlign w:val="bottom"/>
            <w:tcBorders>
              <w:bottom w:val="single" w:sz="8" w:color="auto"/>
            </w:tcBorders>
          </w:tcPr>
          <w:p>
            <w:pPr>
              <w:jc w:val="right"/>
              <w:ind w:right="526"/>
              <w:spacing w:after="0" w:line="172" w:lineRule="exact"/>
              <w:rPr>
                <w:sz w:val="20"/>
                <w:szCs w:val="20"/>
                <w:color w:val="auto"/>
              </w:rPr>
            </w:pPr>
            <w:r>
              <w:rPr>
                <w:rFonts w:ascii="Arial" w:cs="Arial" w:eastAsia="Arial" w:hAnsi="Arial"/>
                <w:sz w:val="15"/>
                <w:szCs w:val="15"/>
                <w:color w:val="auto"/>
              </w:rPr>
              <w:t>100.6%</w:t>
            </w:r>
          </w:p>
        </w:tc>
        <w:tc>
          <w:tcPr>
            <w:tcW w:w="1720" w:type="dxa"/>
            <w:vAlign w:val="bottom"/>
            <w:tcBorders>
              <w:bottom w:val="single" w:sz="8" w:color="auto"/>
            </w:tcBorders>
          </w:tcPr>
          <w:p>
            <w:pPr>
              <w:jc w:val="right"/>
              <w:ind w:right="526"/>
              <w:spacing w:after="0" w:line="172" w:lineRule="exact"/>
              <w:rPr>
                <w:sz w:val="20"/>
                <w:szCs w:val="20"/>
                <w:color w:val="auto"/>
              </w:rPr>
            </w:pPr>
            <w:r>
              <w:rPr>
                <w:rFonts w:ascii="Arial" w:cs="Arial" w:eastAsia="Arial" w:hAnsi="Arial"/>
                <w:sz w:val="15"/>
                <w:szCs w:val="15"/>
                <w:color w:val="auto"/>
              </w:rPr>
              <w:t>116.4%</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129.9%</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III</w:t>
      </w:r>
      <w:r>
        <w:rPr>
          <w:rFonts w:ascii="Arial" w:cs="Arial" w:eastAsia="Arial" w:hAnsi="Arial"/>
          <w:sz w:val="22"/>
          <w:szCs w:val="22"/>
          <w:color w:val="auto"/>
        </w:rPr>
        <w:t>.</w:t>
      </w:r>
      <w:r>
        <w:rPr>
          <w:rFonts w:ascii="Arial" w:cs="Arial" w:eastAsia="Arial" w:hAnsi="Arial"/>
          <w:sz w:val="22"/>
          <w:szCs w:val="22"/>
          <w:b w:val="1"/>
          <w:bCs w:val="1"/>
          <w:color w:val="auto"/>
        </w:rPr>
        <w:t xml:space="preserve"> ATLANTIC SECURITY HOLDING CORPORATION AND SUBSIDIARIES (“ASHC”)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w:t>
      </w:r>
    </w:p>
    <w:p>
      <w:pPr>
        <w:spacing w:after="0" w:line="212"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Atlantic Security Holding has again proven to be a consistent contributor to Credicorp’s results, with a positive return with low risk. Atlantic has closed the year 2005 with a contribution of US$13.5 million to Credicorp’s consolidated net attributable income, showing a very stable performance compared to its contribution the previous year of US$13.3 million.</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Including the dividend income resulting from its Credicorp stock, Atlantic reports a net income of US$25.2 million, 31.5% higher than in 2004 with US$19.1 million net income. This rise is clearly a result of Credicorp’s significantly higher dividend payout in 2005 based on its already improved results in 2004.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and Non-financial Income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a quarter-over-quarter comparison, Atlantic’s net interest income and fee income show improvements of 7.4% and 11.4% respectively, but gains in securities were lower, resulting in an overall income generation for the 4Q05 4% below 3Q05 reaching US$3.48 million.</w:t>
      </w:r>
    </w:p>
    <w:p>
      <w:pPr>
        <w:spacing w:after="0" w:line="18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Atlantic’s net interest income reflects its conservative investment policies in what can be described as a low-risk margin business, with a return on interest earning assets for 2005 of 1.5% (excluding both dividend income and shareholdings from this calculation), that can still be considered satisfactory given a 0% bad loan to total loans ratio, and a 1.8% provision for bad loans.</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can observe however in the 4Q05, a slight improvement in the return on IEA (1.6% for 4Q05 vs. 1.5% for 3Q05), but still a lower return than in the previous year (1.8% for 2004). This is a consequence of its low risk investment portfolio and the higher rates paid on deposits due to increasing interest rates.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Provisions for market risk in 4Q05 were higher at US$0.6 million compared to US$0.2 million for 3Q05 due to higher market volatility during this fourth quarter. Altogether however, market risk provisions account for only US$1.9 million of an investment portfolio of US$582 million.</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Non-interest income, which includes fee income and realized gains on securities transactions before risk provisions reached US$2.5 million for the 4Q05 and US$10 million for the year 2005. QoQ this reflects a drop of 8.5%, however, on a YoY basis it reflects an increase of 11.5% . The volatility stemms from the securities transactions, since Atlantic’s fee income generation experienced steady growth, from US$1.14 million quarterly a year ago to US$1.28 quarterly today, reaching a total of US$4.3 million in 2004, versus US$4.9 million for 2005, a healthy 14% increase.</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Efficiency ratios at Atlantic reflect the low cost operations for this business, Therefore, increased returns on investments have an immediate positive effect. These ratios improve on all counts: on a QoQ and YoY basis, reaching 21.6% operating expenses/income, 0.7% operating expenses/assets and even 0.4% when including assets under management in the latter ratio.</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Assets and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good performance of Atlantic is reflected by growth of its portfolio of Managed Funds and Deposits.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Its volume of </w:t>
      </w:r>
      <w:r>
        <w:rPr>
          <w:rFonts w:ascii="Arial" w:cs="Arial" w:eastAsia="Arial" w:hAnsi="Arial"/>
          <w:sz w:val="22"/>
          <w:szCs w:val="22"/>
          <w:b w:val="1"/>
          <w:bCs w:val="1"/>
          <w:color w:val="auto"/>
        </w:rPr>
        <w:t>Funds under Management</w:t>
      </w:r>
      <w:r>
        <w:rPr>
          <w:rFonts w:ascii="Arial" w:cs="Arial" w:eastAsia="Arial" w:hAnsi="Arial"/>
          <w:sz w:val="22"/>
          <w:szCs w:val="22"/>
          <w:color w:val="auto"/>
        </w:rPr>
        <w:t xml:space="preserve"> grew 11.5% QoQ and 34.5% YoY, exceeding US$1 billion at the end of 2005. This excellent result reflects Atlantic’s ability to attract such funds based on the services it provides. This growth is the main contributor to fee generation.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Deposits </w:t>
      </w:r>
      <w:r>
        <w:rPr>
          <w:rFonts w:ascii="Arial" w:cs="Arial" w:eastAsia="Arial" w:hAnsi="Arial"/>
          <w:sz w:val="22"/>
          <w:szCs w:val="22"/>
          <w:color w:val="auto"/>
        </w:rPr>
        <w:t>also reflect the preference of its client base with growth rates in this segment of 13.5% QoQ and 35.8% YoY, reaching</w:t>
      </w:r>
      <w:r>
        <w:rPr>
          <w:rFonts w:ascii="Arial" w:cs="Arial" w:eastAsia="Arial" w:hAnsi="Arial"/>
          <w:sz w:val="22"/>
          <w:szCs w:val="22"/>
          <w:b w:val="1"/>
          <w:bCs w:val="1"/>
          <w:color w:val="auto"/>
        </w:rPr>
        <w:t xml:space="preserve"> </w:t>
      </w:r>
      <w:r>
        <w:rPr>
          <w:rFonts w:ascii="Arial" w:cs="Arial" w:eastAsia="Arial" w:hAnsi="Arial"/>
          <w:sz w:val="22"/>
          <w:szCs w:val="22"/>
          <w:color w:val="auto"/>
        </w:rPr>
        <w:t>US$ 932 million in deposits at the end of 2005.</w:t>
      </w:r>
    </w:p>
    <w:p>
      <w:pPr>
        <w:spacing w:after="0" w:line="16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 xml:space="preserve">Atlantic’s </w:t>
      </w:r>
      <w:r>
        <w:rPr>
          <w:rFonts w:ascii="Arial" w:cs="Arial" w:eastAsia="Arial" w:hAnsi="Arial"/>
          <w:sz w:val="22"/>
          <w:szCs w:val="22"/>
          <w:b w:val="1"/>
          <w:bCs w:val="1"/>
          <w:color w:val="auto"/>
        </w:rPr>
        <w:t>loan portfolio</w:t>
      </w:r>
      <w:r>
        <w:rPr>
          <w:rFonts w:ascii="Arial" w:cs="Arial" w:eastAsia="Arial" w:hAnsi="Arial"/>
          <w:sz w:val="22"/>
          <w:szCs w:val="22"/>
          <w:color w:val="auto"/>
        </w:rPr>
        <w:t>, net of provisions, also grew 20.6% QoQ but shows a less dramatic growth YoY of 5.6%, reflecting a relatively stable loan portfolio.</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Additionally, its </w:t>
      </w:r>
      <w:r>
        <w:rPr>
          <w:rFonts w:ascii="Arial" w:cs="Arial" w:eastAsia="Arial" w:hAnsi="Arial"/>
          <w:sz w:val="22"/>
          <w:szCs w:val="22"/>
          <w:b w:val="1"/>
          <w:bCs w:val="1"/>
          <w:color w:val="auto"/>
        </w:rPr>
        <w:t>securities portfolio</w:t>
      </w:r>
      <w:r>
        <w:rPr>
          <w:rFonts w:ascii="Arial" w:cs="Arial" w:eastAsia="Arial" w:hAnsi="Arial"/>
          <w:sz w:val="22"/>
          <w:szCs w:val="22"/>
          <w:color w:val="auto"/>
        </w:rPr>
        <w:t xml:space="preserve"> experienced a relatively stable performance, dropping 5.8% QoQ but growing 12.3% on a YoY basis, to reach US$ 582 million by December 2005.</w:t>
      </w:r>
    </w:p>
    <w:p>
      <w:pPr>
        <w:sectPr>
          <w:pgSz w:w="11900" w:h="16838" w:orient="portrait"/>
          <w:cols w:equalWidth="0" w:num="1">
            <w:col w:w="11420"/>
          </w:cols>
          <w:pgMar w:left="240" w:top="112"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IV. EL PACIFICO-PERUANO SUIZA AND SUBSIDIARIES (PPS)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results obtained by PPS both in 4Q05 and for the full year are significantly lower than expected. The insurance business largely shows a significant drop in competitiveness and profitability due to higher claims, particularly in two of its three operating areas: general and medical insurance. The life insurance business maintained a higher profitability.</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xml:space="preserve"> : Year-end figures for total premiums and health fees as well as claims and healthcare costs increased year-over-year due to the incorporation of Novasalud EPS upon its merger in August 2004. It is important to highlight that since this merger, the property to casualty portfolio and healthcare fees account for 30.5% of total premiums. Considering that the technical margins and cost structure of the health insurance business differ highly from those of life insurance business, the financial ratios vary from previous periods.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PPS had consolidated net income of US$ 0.7 million in the fourth quarter of 2005, 66.1% lower than the US$ 2.1 million income earned during the same period in 2004. The accumulated result for 2005 was also 47% lower than that for the previous year, thus reflecting the identified issues in the insurance business.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and Operating Expenses</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Total premiums and Pacífico Salud health fees during the fourth quarter of 2005 were US$ 97.4 million, 4.1% higher than the US$ 93.5 million for the fourth quarter of the previous year.</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Retained premiums however, declined 1%, which was increased by net premiums earned and health fees, net of reinsured premiums and reserves, which only reached US$ 56 million during the fourth quarter, 7.0% below the US$ 60.3 million for the same period of the previous year.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Additions to underwriting reserves for premiums grew by US$ 15.6 million during the fourth quarter. The increase of reserves with respect to the previous quarter was 8.9%, and 19.8% with respect to the fourth quarter of 2004. These were established mainly by Pacific Vida for its life annuities line.</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higher claims posted affected consolidated underwriting results for the fourth quarter, which was US$ 3.9 million, 59.5% lower with respect to the US$ 9.7 million earned in the same period of 2004.</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is reflected in the ratio of net underwriting results (net premiums and health fees less reserves and claims as a percentage of total premiums), which was only 4.0% in the present quarter, lower than the previous quarter’s 7.2% and the 10.4% for the same quarter of the previous year.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business’s had a healthy financial yield, which reached US$ 13.4 million for 2005’s fourth quarter, a figure 83.6% higher than the US$ 7.3 million for 2004’s fourth quarter. However, this was not able to offset the deterioration of the insurance underwriting results.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Operating expenses over net premiums earned decreased to 20.2% in 4Q05 versus 24.3% in 4Q04, while the ratio of operating expenses over average assets declined from 8.8% to 5.7% .</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Lines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Accumulated total premiums and fees as of December 2005 consisted of:</w:t>
      </w:r>
    </w:p>
    <w:p>
      <w:pPr>
        <w:spacing w:after="0" w:line="218"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General insurance lines, which amount to 48.1% of total premiums, and rose 7.8% with respect to 2004.</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Fees at Pacífico Salud were 21.1% of total premiums, and rose 0.2% with respect to 2004.</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Life and Pensions, representing 30.8% of total premiums, and rose 1.7% with respect to 2004.</w:t>
      </w:r>
    </w:p>
    <w:p>
      <w:pPr>
        <w:spacing w:after="0" w:line="3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2005, growth in Pacífico Salud and the health and medical assistance insurance line (30.5% of the portfolio) was 4.2%; fire insurance (15.6% of the total portfolio) grew by 1.8%; while automobile insurance (4.9% of the total portfolio) grew 6.2% with respect to last year.</w:t>
      </w:r>
    </w:p>
    <w:p>
      <w:pPr>
        <w:sectPr>
          <w:pgSz w:w="11900" w:h="16838" w:orient="portrait"/>
          <w:cols w:equalWidth="0" w:num="1">
            <w:col w:w="11420"/>
          </w:cols>
          <w:pgMar w:left="240" w:top="112"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8" w:name="page19"/>
    <w:bookmarkEnd w:id="18"/>
    <w:p>
      <w:pPr>
        <w:jc w:val="both"/>
        <w:ind w:right="20"/>
        <w:spacing w:after="0" w:line="329" w:lineRule="auto"/>
        <w:rPr>
          <w:sz w:val="20"/>
          <w:szCs w:val="20"/>
          <w:color w:val="auto"/>
        </w:rPr>
      </w:pPr>
      <w:r>
        <w:rPr>
          <w:rFonts w:ascii="Arial" w:cs="Arial" w:eastAsia="Arial" w:hAnsi="Arial"/>
          <w:sz w:val="19"/>
          <w:szCs w:val="19"/>
          <w:color w:val="auto"/>
        </w:rPr>
        <w:t>The growth in the health business was mainly from the medical assistance line, which has grown by 14.1% . This growth is slightly above that for the market as a whole, with the corporate and personal segments that have grown more, supported by price changes.</w:t>
      </w:r>
    </w:p>
    <w:p>
      <w:pPr>
        <w:spacing w:after="0" w:line="104"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Group life insurance and individual life insurance policies (11.4% of the total portfolio) rose 18.6%; life annuities (11.7% of the total portfolio) decreased 20.3%; while pension fund benefits insurance (6.5% of the total portfolio) grew by 30.2% ..</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Individual Life business line growth was due to the greater productivity obtained from each of the Company’s advisers, as well as the strengthened sales force in recent months.</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decrease in life annuities was due to a reduction in market volume and an increase in the price differential against the competition, weakening the competitive position of the product.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Claims</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Net insurance claims and health services costs incurred in the 4Q05 were US$ 46.5 million, up from the US$ 44 million for the same period of the previous year.</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net loss ratio</w:t>
      </w:r>
      <w:r>
        <w:rPr>
          <w:rFonts w:ascii="Arial" w:cs="Arial" w:eastAsia="Arial" w:hAnsi="Arial"/>
          <w:sz w:val="22"/>
          <w:szCs w:val="22"/>
          <w:color w:val="auto"/>
        </w:rPr>
        <w:t xml:space="preserve"> (net claims and benefits to net premiums and fees) for the 4Q05 was 83.0%, compared to the 73.0% for the same period of last year. This increased net loss ratio is mostly explained by the increase in the Pacífico Salud portfolio, which had a higher claims ratio of 92.0% . In 2005’s fourth quarter, higher loss ratios were reported in civil liability (287.3%), hulls (101.6%), medical assistance (90.5%) and in Pacífico Salud (92.0%) .</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Medical assistance claims were partially affected by the establishment of reserves for coverage of claims incurred but not reported, which is done following the actuarial practice demanded by the IFRS. This adjustment accounts for 2.5 of the 6.5 percentage points increase in the net loss ratio from 72.4% in 2004 to 78.9% for 2005.</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claims in hulls are explained by the various coverage events that took place during the quarter, which had a US$ 2.3 million affect on our retained claims in the period.</w:t>
      </w:r>
    </w:p>
    <w:p>
      <w:pPr>
        <w:spacing w:after="0" w:line="167" w:lineRule="exact"/>
        <w:rPr>
          <w:sz w:val="20"/>
          <w:szCs w:val="20"/>
          <w:color w:val="auto"/>
        </w:rPr>
      </w:pPr>
    </w:p>
    <w:p>
      <w:pPr>
        <w:jc w:val="both"/>
        <w:ind w:right="20"/>
        <w:spacing w:after="0" w:line="335"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combined ratio</w:t>
      </w:r>
      <w:r>
        <w:rPr>
          <w:rFonts w:ascii="Arial" w:cs="Arial" w:eastAsia="Arial" w:hAnsi="Arial"/>
          <w:sz w:val="19"/>
          <w:szCs w:val="19"/>
          <w:color w:val="auto"/>
        </w:rPr>
        <w:t xml:space="preserve"> (the sum of net claims and health services, general expenses and commissions, as a percentage of net earned premiums and health fees, without including Pacifico Vida) increased 4Q05 to 110.4%, compared to 99.1% in the 4Q04.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Investments and Assets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Investments in real estate and financial assets were US$ 638.9 million at the close of the 4Q05, 21.8% higher than the balance for the same quarter of the previous year.</w:t>
      </w:r>
    </w:p>
    <w:p>
      <w:pPr>
        <w:spacing w:after="0" w:line="17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At the close of the fourth quarter, total assets amounted to US$ 833.6 million, 24.2% higher than the balance for the same quarter of 2004. At the close of the present period, net equity amounted to US$ 182.8 million, 27.6% above the previous year.</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Share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Peruvian insurance market, accumulated through November 30, 2005, had total premiums of US$ 913.8 million, 13.0% higher than premiums for the same period of 2004. PPS's market share in total premiums was 28.0%, compared with the 30.4% in the same period of the 2004, with its share in the general risk and health lines 31.5% lower than the 33.0% through November of 2004, and in the life insurance and pension fund benefits lines 23.9%, lower than the 27.3% at November 2004.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PERUVIAN ECONOMIC SITUATION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Economic Activity</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Given the November results (when growth of 7.9%, the year’s highest, was posted), the official growth estimate for 2005 was 6.3%, which implies growth of 7.4% for the 2005 fourth quarter. In this quarter, as has been the trend in recent quarters, the most outstanding performance corresponded to those sectors most responsive to demand, mainly construction, which once again showed growth of over 10%. In this manner, domestic demand continues to strengthen, while investment established itself as one of the higher growth factors among expense components, along with exports. Imports also showed significant increases, reflecting the expansion of domestic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133350</wp:posOffset>
            </wp:positionV>
            <wp:extent cx="3001645" cy="2332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164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Sector</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trade balance continued showing increasing surpluses, and is estimated to have reached US$ 5.067 billion at the close of fourth quarter 2005, US$ 2.274 billion higher than that posted at the close of 2004. However, recent months have seen a more moderate rate of export growth; for which reason, although international prices for the main export minerals should on average remain higher than those for 2005, the 2006 trade surplus could be lower with respect to 2005. The performance of imports should be noted; responding to a greater dynamism in domestic demand, they showed growth rates of around 25%, driven mainly by the acquisition of supplies and capital goods, continuing the industrialization process (concentrated in consumer goods) that has occurred in recent years. Despite this, the Central Bank sold US$ 430.5 million in the fourth quarter to stabilize exchange volatility in a context of trade surplus; while the current account international reserves rose by US$ 402 million for the period, reaching US$ 14.097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113665</wp:posOffset>
            </wp:positionV>
            <wp:extent cx="3001645" cy="2272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164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Prices and Exchange Rate</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Inflation at the close of fourth quarter 2005 reached 1.5%, within the lower limit of the range expected by the Central Bank. This result was unexpected, as analysts had long discounted that inflation for the year could be less than the Central Bank’s goal. Aside from some specific factors, such as price increases in poultry and inter-provincial travel, this was a response to the devaluation that has been posted in recent months. In effect, since the end of August there has been a gradual rise in the exchange rate in response to two factors: i) in a first stage (August – November) to the increasing differential between the referential rates in dollars and local currency, which made savings in foreign currency more and more attractive, stimulating the demand for dollars, and ii) in a second phase (November – December) due to increasing uncertainty with respect to the electoral situation. Thus the exchange rate at year end reached S/. 3.42, a devaluation of 4.2% compared to the close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114300</wp:posOffset>
            </wp:positionV>
            <wp:extent cx="3430270" cy="2263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3027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aspects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Result for the Central Government and the rest of the non-financial public sector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 %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133350</wp:posOffset>
            </wp:positionV>
            <wp:extent cx="3430270" cy="1946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3027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fourth quarter of 2005, the fiscal deficit was 6.3% (4.0% of GDP in the same period in 2004), with which the government has fully met its annual goal, achieving a deficit equivalent to 0.6% of GDP (predicted deficit: 1.0% of GDP). Part of this was the favorable performance of the central government’s tax revenue (that rose from 13.3% of GDP to 13.9% of GDP between 2004 and 2005), which played the most significant role (due mainly to increased revenue from regularization of the Income Tax and the General Sales Tax on imported products), although it should be pointed out that total central government spending in the same period was reduced from 16.5% to 16.4% of GDP, with reductions both in current expenses and capital expenditures (with the latter factor being one of the axes of deficit reduction throughout the current administration). Thus the central government’s deficit neared 0.7% of GDP, as opposed to 1.4% of GDP in 2004, explaining most of this fiscal improvement.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Banking System</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During the fourth quarter of 2005, banking system loans reached US$ 12.632 billion, representing an increase of 5.7% with respect to the third quarter of 2005, mainly explained by increases in commercial loans and those to micro-businesses (+6.1%) . There was also an increase in mortgage loans (+4.7%) due to continued dynamism observed within the framework of housing construction programs. Consumer loans showed somewhat greater growth (+4.8%), associated with expansion in individual consumption and heavy penetration through credit cards.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Loans in dollars grew 4.0% with respect to the third quarter of 2005, while local currency loans rose by 10.6%, which allowed the continuation of a process of loan de-dollarization in the face of a bullish tendency in the exchange rate posted since the end of August and the banks’ management, which has been offering new and larger credit products in local currency. Another reason for this de-dollarization was the drop in active local currency interest rates amidst heavy competition among financial institutions to place greater loans and a lower overdue rate, which at the fourth quarter of 2005 remained at historically low levels (2.51% at November) thanks to an improved credit evaluation on the part of banks and economic growth, which is improving debtors’ payment capacity. In spite of this, rates in dollars advanced, following the trend in international interest rates. Thus, the TAMN ended the quarter at 23.6% (25.6% as of third quarter 2005), while the TAMEX reached a level of 10.4% (10.0% as of third quarter 2005).</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Deposits reached US$ 15.957 billion, representing a 3.9% growth rate with respect to third quarter 2005, due to greater deposits (+6.7%, including those for Compensation for Length of Service deposits) and sight deposits (+3.2%), although savings deposits dropped by 2.8% . During fourth quarter 2005 the dollarization of deposits increased due to depositors’ preference to protect themselves from a possible devaluation of local currency versus the dollar, although there was also a rise in dollar rates (TIPMEX at 1.8%, versus 1.6% as of third quarter 2005) forcing banks to reduce their local currency rates in order to offset this situation.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Main Economic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2004</w:t>
            </w: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2005</w:t>
            </w:r>
          </w:p>
        </w:tc>
        <w:tc>
          <w:tcPr>
            <w:tcW w:w="9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75"/>
        </w:trPr>
        <w:tc>
          <w:tcPr>
            <w:tcW w:w="3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3Q</w:t>
            </w:r>
          </w:p>
        </w:tc>
        <w:tc>
          <w:tcPr>
            <w:tcW w:w="980" w:type="dxa"/>
            <w:vAlign w:val="bottom"/>
            <w:tcBorders>
              <w:bottom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w w:val="99"/>
              </w:rPr>
              <w:t>4Q</w:t>
            </w:r>
          </w:p>
        </w:tc>
        <w:tc>
          <w:tcPr>
            <w:tcW w:w="10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Year</w:t>
            </w:r>
          </w:p>
        </w:tc>
        <w:tc>
          <w:tcPr>
            <w:tcW w:w="94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1Q</w:t>
            </w: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2Q</w:t>
            </w: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5"/>
                <w:szCs w:val="15"/>
                <w:b w:val="1"/>
                <w:bCs w:val="1"/>
                <w:color w:val="auto"/>
                <w:w w:val="89"/>
              </w:rPr>
              <w:t>3Q</w:t>
            </w:r>
          </w:p>
        </w:tc>
        <w:tc>
          <w:tcPr>
            <w:tcW w:w="9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4Q</w:t>
            </w: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Year</w:t>
            </w:r>
          </w:p>
        </w:tc>
      </w:tr>
      <w:tr>
        <w:trPr>
          <w:trHeight w:val="318"/>
        </w:trPr>
        <w:tc>
          <w:tcPr>
            <w:tcW w:w="3580" w:type="dxa"/>
            <w:vAlign w:val="bottom"/>
          </w:tcPr>
          <w:p>
            <w:pPr>
              <w:ind w:left="160"/>
              <w:spacing w:after="0"/>
              <w:rPr>
                <w:sz w:val="20"/>
                <w:szCs w:val="20"/>
                <w:color w:val="auto"/>
              </w:rPr>
            </w:pPr>
            <w:r>
              <w:rPr>
                <w:rFonts w:ascii="Arial" w:cs="Arial" w:eastAsia="Arial" w:hAnsi="Arial"/>
                <w:sz w:val="15"/>
                <w:szCs w:val="15"/>
                <w:color w:val="auto"/>
              </w:rPr>
              <w:t>GDP (US$ MM)</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16,952</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18,283</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68,670</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18,176</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20,680</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19,292</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19,284</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77,432</w:t>
            </w:r>
          </w:p>
        </w:tc>
      </w:tr>
      <w:tr>
        <w:trPr>
          <w:trHeight w:val="162"/>
        </w:trPr>
        <w:tc>
          <w:tcPr>
            <w:tcW w:w="3580" w:type="dxa"/>
            <w:vAlign w:val="bottom"/>
          </w:tcPr>
          <w:p>
            <w:pPr>
              <w:ind w:left="160"/>
              <w:spacing w:after="0" w:line="162" w:lineRule="exact"/>
              <w:rPr>
                <w:sz w:val="20"/>
                <w:szCs w:val="20"/>
                <w:color w:val="auto"/>
              </w:rPr>
            </w:pPr>
            <w:r>
              <w:rPr>
                <w:rFonts w:ascii="Arial" w:cs="Arial" w:eastAsia="Arial" w:hAnsi="Arial"/>
                <w:sz w:val="15"/>
                <w:szCs w:val="15"/>
                <w:color w:val="auto"/>
              </w:rPr>
              <w:t>Actual GDP (var. %)</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4.7</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6.6</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4.8</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6.0</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5.9</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5.8</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5.7</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5.9</w:t>
            </w:r>
          </w:p>
        </w:tc>
      </w:tr>
      <w:tr>
        <w:trPr>
          <w:trHeight w:val="192"/>
        </w:trPr>
        <w:tc>
          <w:tcPr>
            <w:tcW w:w="3580" w:type="dxa"/>
            <w:vAlign w:val="bottom"/>
          </w:tcPr>
          <w:p>
            <w:pPr>
              <w:ind w:left="160"/>
              <w:spacing w:after="0"/>
              <w:rPr>
                <w:sz w:val="20"/>
                <w:szCs w:val="20"/>
                <w:color w:val="auto"/>
              </w:rPr>
            </w:pPr>
            <w:r>
              <w:rPr>
                <w:rFonts w:ascii="Arial" w:cs="Arial" w:eastAsia="Arial" w:hAnsi="Arial"/>
                <w:sz w:val="15"/>
                <w:szCs w:val="15"/>
                <w:color w:val="auto"/>
              </w:rPr>
              <w:t>PBI per capita (US$)</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2,412</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2,504</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2,504</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2,584</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2,680</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2,753</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2,778</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2,778</w:t>
            </w:r>
          </w:p>
        </w:tc>
      </w:tr>
      <w:tr>
        <w:trPr>
          <w:trHeight w:val="294"/>
        </w:trPr>
        <w:tc>
          <w:tcPr>
            <w:tcW w:w="3580" w:type="dxa"/>
            <w:vAlign w:val="bottom"/>
          </w:tcPr>
          <w:p>
            <w:pPr>
              <w:ind w:left="240"/>
              <w:spacing w:after="0"/>
              <w:rPr>
                <w:sz w:val="20"/>
                <w:szCs w:val="20"/>
                <w:color w:val="auto"/>
              </w:rPr>
            </w:pPr>
            <w:r>
              <w:rPr>
                <w:rFonts w:ascii="Arial" w:cs="Arial" w:eastAsia="Arial" w:hAnsi="Arial"/>
                <w:sz w:val="15"/>
                <w:szCs w:val="15"/>
                <w:color w:val="auto"/>
              </w:rPr>
              <w:t>Domestic demand (var. %)</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3.2</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5.5</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3.9</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4.5</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4.6</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6.1</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5.2</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5.1</w:t>
            </w:r>
          </w:p>
        </w:tc>
      </w:tr>
      <w:tr>
        <w:trPr>
          <w:trHeight w:val="162"/>
        </w:trPr>
        <w:tc>
          <w:tcPr>
            <w:tcW w:w="3580" w:type="dxa"/>
            <w:vAlign w:val="bottom"/>
          </w:tcPr>
          <w:p>
            <w:pPr>
              <w:ind w:left="380"/>
              <w:spacing w:after="0" w:line="162" w:lineRule="exact"/>
              <w:rPr>
                <w:sz w:val="20"/>
                <w:szCs w:val="20"/>
                <w:color w:val="auto"/>
              </w:rPr>
            </w:pPr>
            <w:r>
              <w:rPr>
                <w:rFonts w:ascii="Arial" w:cs="Arial" w:eastAsia="Arial" w:hAnsi="Arial"/>
                <w:sz w:val="15"/>
                <w:szCs w:val="15"/>
                <w:color w:val="auto"/>
              </w:rPr>
              <w:t>Supply (var. %)</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3.6</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4.0</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3.4</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4.0</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4.4</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4.5</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4.3</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4.3</w:t>
            </w:r>
          </w:p>
        </w:tc>
      </w:tr>
      <w:tr>
        <w:trPr>
          <w:trHeight w:val="192"/>
        </w:trPr>
        <w:tc>
          <w:tcPr>
            <w:tcW w:w="3580" w:type="dxa"/>
            <w:vAlign w:val="bottom"/>
          </w:tcPr>
          <w:p>
            <w:pPr>
              <w:ind w:left="380"/>
              <w:spacing w:after="0"/>
              <w:rPr>
                <w:sz w:val="20"/>
                <w:szCs w:val="20"/>
                <w:color w:val="auto"/>
              </w:rPr>
            </w:pPr>
            <w:r>
              <w:rPr>
                <w:rFonts w:ascii="Arial" w:cs="Arial" w:eastAsia="Arial" w:hAnsi="Arial"/>
                <w:sz w:val="15"/>
                <w:szCs w:val="15"/>
                <w:color w:val="auto"/>
              </w:rPr>
              <w:t>Private investment (var. %)</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6.3</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11.0</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9.0</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6.5</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13.5</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16.3</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8.0</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11.1</w:t>
            </w:r>
          </w:p>
        </w:tc>
      </w:tr>
      <w:tr>
        <w:trPr>
          <w:trHeight w:val="324"/>
        </w:trPr>
        <w:tc>
          <w:tcPr>
            <w:tcW w:w="3580" w:type="dxa"/>
            <w:vAlign w:val="bottom"/>
          </w:tcPr>
          <w:p>
            <w:pPr>
              <w:ind w:left="160"/>
              <w:spacing w:after="0"/>
              <w:rPr>
                <w:sz w:val="20"/>
                <w:szCs w:val="20"/>
                <w:color w:val="auto"/>
              </w:rPr>
            </w:pPr>
            <w:r>
              <w:rPr>
                <w:rFonts w:ascii="Arial" w:cs="Arial" w:eastAsia="Arial" w:hAnsi="Arial"/>
                <w:sz w:val="15"/>
                <w:szCs w:val="15"/>
                <w:color w:val="auto"/>
              </w:rPr>
              <w:t>CPI(var. % annual)</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4.0</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3.5</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3.5</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1.9</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1.5</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1.1</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1.5</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1.5</w:t>
            </w:r>
          </w:p>
        </w:tc>
      </w:tr>
      <w:tr>
        <w:trPr>
          <w:trHeight w:val="294"/>
        </w:trPr>
        <w:tc>
          <w:tcPr>
            <w:tcW w:w="3580" w:type="dxa"/>
            <w:vAlign w:val="bottom"/>
          </w:tcPr>
          <w:p>
            <w:pPr>
              <w:ind w:left="160"/>
              <w:spacing w:after="0"/>
              <w:rPr>
                <w:sz w:val="20"/>
                <w:szCs w:val="20"/>
                <w:color w:val="auto"/>
              </w:rPr>
            </w:pPr>
            <w:r>
              <w:rPr>
                <w:rFonts w:ascii="Arial" w:cs="Arial" w:eastAsia="Arial" w:hAnsi="Arial"/>
                <w:sz w:val="15"/>
                <w:szCs w:val="15"/>
                <w:color w:val="auto"/>
              </w:rPr>
              <w:t>Exchange rate (S/. by US$)</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3.34</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3.28</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3.28</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3.26</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3.25</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3.34</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3.42</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3.42</w:t>
            </w:r>
          </w:p>
        </w:tc>
      </w:tr>
      <w:tr>
        <w:trPr>
          <w:trHeight w:val="162"/>
        </w:trPr>
        <w:tc>
          <w:tcPr>
            <w:tcW w:w="3580" w:type="dxa"/>
            <w:vAlign w:val="bottom"/>
          </w:tcPr>
          <w:p>
            <w:pPr>
              <w:ind w:left="160"/>
              <w:spacing w:after="0" w:line="162" w:lineRule="exact"/>
              <w:rPr>
                <w:sz w:val="20"/>
                <w:szCs w:val="20"/>
                <w:color w:val="auto"/>
              </w:rPr>
            </w:pPr>
            <w:r>
              <w:rPr>
                <w:rFonts w:ascii="Arial" w:cs="Arial" w:eastAsia="Arial" w:hAnsi="Arial"/>
                <w:sz w:val="15"/>
                <w:szCs w:val="15"/>
                <w:color w:val="auto"/>
              </w:rPr>
              <w:t>Devaluation (var. % annual)</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-4.0</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-5.2</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-5.2</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-5.8</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-6.3</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-0.1</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4.2</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4.2</w:t>
            </w:r>
          </w:p>
        </w:tc>
      </w:tr>
      <w:tr>
        <w:trPr>
          <w:trHeight w:val="192"/>
        </w:trPr>
        <w:tc>
          <w:tcPr>
            <w:tcW w:w="3580" w:type="dxa"/>
            <w:vAlign w:val="bottom"/>
          </w:tcPr>
          <w:p>
            <w:pPr>
              <w:ind w:left="160"/>
              <w:spacing w:after="0"/>
              <w:rPr>
                <w:sz w:val="20"/>
                <w:szCs w:val="20"/>
                <w:color w:val="auto"/>
              </w:rPr>
            </w:pPr>
            <w:r>
              <w:rPr>
                <w:rFonts w:ascii="Arial" w:cs="Arial" w:eastAsia="Arial" w:hAnsi="Arial"/>
                <w:sz w:val="15"/>
                <w:szCs w:val="15"/>
                <w:color w:val="auto"/>
              </w:rPr>
              <w:t>Exchange rate, exercise average (S/. by US$)</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3.37</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3.30</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3.41</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3.26</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3.27</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3.27</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3.39</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3.30</w:t>
            </w:r>
          </w:p>
        </w:tc>
      </w:tr>
      <w:tr>
        <w:trPr>
          <w:trHeight w:val="294"/>
        </w:trPr>
        <w:tc>
          <w:tcPr>
            <w:tcW w:w="3580" w:type="dxa"/>
            <w:vAlign w:val="bottom"/>
          </w:tcPr>
          <w:p>
            <w:pPr>
              <w:ind w:left="160"/>
              <w:spacing w:after="0"/>
              <w:rPr>
                <w:sz w:val="20"/>
                <w:szCs w:val="20"/>
                <w:color w:val="auto"/>
              </w:rPr>
            </w:pPr>
            <w:r>
              <w:rPr>
                <w:rFonts w:ascii="Arial" w:cs="Arial" w:eastAsia="Arial" w:hAnsi="Arial"/>
                <w:sz w:val="15"/>
                <w:szCs w:val="15"/>
                <w:color w:val="auto"/>
              </w:rPr>
              <w:t>SPNF’s result (% of GDP)</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-2.1</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-4.0</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-1.1</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2.3</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2.6</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-0.8</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-6.3</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-0.6</w:t>
            </w:r>
          </w:p>
        </w:tc>
      </w:tr>
      <w:tr>
        <w:trPr>
          <w:trHeight w:val="162"/>
        </w:trPr>
        <w:tc>
          <w:tcPr>
            <w:tcW w:w="3580" w:type="dxa"/>
            <w:vAlign w:val="bottom"/>
          </w:tcPr>
          <w:p>
            <w:pPr>
              <w:ind w:left="240"/>
              <w:spacing w:after="0" w:line="162" w:lineRule="exact"/>
              <w:rPr>
                <w:sz w:val="20"/>
                <w:szCs w:val="20"/>
                <w:color w:val="auto"/>
              </w:rPr>
            </w:pPr>
            <w:r>
              <w:rPr>
                <w:rFonts w:ascii="Arial" w:cs="Arial" w:eastAsia="Arial" w:hAnsi="Arial"/>
                <w:sz w:val="15"/>
                <w:szCs w:val="15"/>
                <w:color w:val="auto"/>
              </w:rPr>
              <w:t>Central government current income (% of GDP)</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15.3</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15.2</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15.1</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15.9</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16.7</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15.5</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16.0</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16.0</w:t>
            </w:r>
          </w:p>
        </w:tc>
      </w:tr>
      <w:tr>
        <w:trPr>
          <w:trHeight w:val="162"/>
        </w:trPr>
        <w:tc>
          <w:tcPr>
            <w:tcW w:w="3580" w:type="dxa"/>
            <w:vAlign w:val="bottom"/>
          </w:tcPr>
          <w:p>
            <w:pPr>
              <w:ind w:left="380"/>
              <w:spacing w:after="0" w:line="162" w:lineRule="exact"/>
              <w:rPr>
                <w:sz w:val="20"/>
                <w:szCs w:val="20"/>
                <w:color w:val="auto"/>
              </w:rPr>
            </w:pPr>
            <w:r>
              <w:rPr>
                <w:rFonts w:ascii="Arial" w:cs="Arial" w:eastAsia="Arial" w:hAnsi="Arial"/>
                <w:sz w:val="15"/>
                <w:szCs w:val="15"/>
                <w:color w:val="auto"/>
              </w:rPr>
              <w:t>Tax income (% of GDP)</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13.3</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13.2</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13.3</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13.9</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14.7</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13.2</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14.0</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14.0</w:t>
            </w:r>
          </w:p>
        </w:tc>
      </w:tr>
      <w:tr>
        <w:trPr>
          <w:trHeight w:val="162"/>
        </w:trPr>
        <w:tc>
          <w:tcPr>
            <w:tcW w:w="3580" w:type="dxa"/>
            <w:vAlign w:val="bottom"/>
          </w:tcPr>
          <w:p>
            <w:pPr>
              <w:ind w:left="380"/>
              <w:spacing w:after="0" w:line="162" w:lineRule="exact"/>
              <w:rPr>
                <w:sz w:val="20"/>
                <w:szCs w:val="20"/>
                <w:color w:val="auto"/>
              </w:rPr>
            </w:pPr>
            <w:r>
              <w:rPr>
                <w:rFonts w:ascii="Arial" w:cs="Arial" w:eastAsia="Arial" w:hAnsi="Arial"/>
                <w:sz w:val="15"/>
                <w:szCs w:val="15"/>
                <w:color w:val="auto"/>
              </w:rPr>
              <w:t>Non-tax income (% of GDP)</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2.0</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1.8</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2.0</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2.3</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2.0</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2.1</w:t>
            </w:r>
          </w:p>
        </w:tc>
      </w:tr>
      <w:tr>
        <w:trPr>
          <w:trHeight w:val="162"/>
        </w:trPr>
        <w:tc>
          <w:tcPr>
            <w:tcW w:w="3580" w:type="dxa"/>
            <w:vAlign w:val="bottom"/>
          </w:tcPr>
          <w:p>
            <w:pPr>
              <w:ind w:left="300"/>
              <w:spacing w:after="0" w:line="162" w:lineRule="exact"/>
              <w:rPr>
                <w:sz w:val="20"/>
                <w:szCs w:val="20"/>
                <w:color w:val="auto"/>
              </w:rPr>
            </w:pPr>
            <w:r>
              <w:rPr>
                <w:rFonts w:ascii="Arial" w:cs="Arial" w:eastAsia="Arial" w:hAnsi="Arial"/>
                <w:sz w:val="15"/>
                <w:szCs w:val="15"/>
                <w:color w:val="auto"/>
              </w:rPr>
              <w:t>Current expense (% of GDP)</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15.6</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16.0</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14.6</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13.9</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13.0</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15.5</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16.7</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14.8</w:t>
            </w:r>
          </w:p>
        </w:tc>
      </w:tr>
      <w:tr>
        <w:trPr>
          <w:trHeight w:val="192"/>
        </w:trPr>
        <w:tc>
          <w:tcPr>
            <w:tcW w:w="3580" w:type="dxa"/>
            <w:vAlign w:val="bottom"/>
          </w:tcPr>
          <w:p>
            <w:pPr>
              <w:ind w:left="300"/>
              <w:spacing w:after="0"/>
              <w:rPr>
                <w:sz w:val="20"/>
                <w:szCs w:val="20"/>
                <w:color w:val="auto"/>
              </w:rPr>
            </w:pPr>
            <w:r>
              <w:rPr>
                <w:rFonts w:ascii="Arial" w:cs="Arial" w:eastAsia="Arial" w:hAnsi="Arial"/>
                <w:sz w:val="15"/>
                <w:szCs w:val="15"/>
                <w:color w:val="auto"/>
              </w:rPr>
              <w:t>Capital expense (% of GDP)</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3.2</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4.4</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3.0</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2.0</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2.2</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3.1</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4.5</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3.0</w:t>
            </w:r>
          </w:p>
        </w:tc>
      </w:tr>
      <w:tr>
        <w:trPr>
          <w:trHeight w:val="294"/>
        </w:trPr>
        <w:tc>
          <w:tcPr>
            <w:tcW w:w="3580" w:type="dxa"/>
            <w:vAlign w:val="bottom"/>
          </w:tcPr>
          <w:p>
            <w:pPr>
              <w:ind w:left="160"/>
              <w:spacing w:after="0"/>
              <w:rPr>
                <w:sz w:val="20"/>
                <w:szCs w:val="20"/>
                <w:color w:val="auto"/>
              </w:rPr>
            </w:pPr>
            <w:r>
              <w:rPr>
                <w:rFonts w:ascii="Arial" w:cs="Arial" w:eastAsia="Arial" w:hAnsi="Arial"/>
                <w:sz w:val="15"/>
                <w:szCs w:val="15"/>
                <w:color w:val="auto"/>
              </w:rPr>
              <w:t>Trade balance (US$ MM)</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845</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875</w:t>
            </w:r>
          </w:p>
        </w:tc>
        <w:tc>
          <w:tcPr>
            <w:tcW w:w="1060" w:type="dxa"/>
            <w:vAlign w:val="bottom"/>
          </w:tcPr>
          <w:p>
            <w:pPr>
              <w:jc w:val="right"/>
              <w:ind w:right="186"/>
              <w:spacing w:after="0"/>
              <w:rPr>
                <w:sz w:val="20"/>
                <w:szCs w:val="20"/>
                <w:color w:val="auto"/>
              </w:rPr>
            </w:pPr>
            <w:r>
              <w:rPr>
                <w:rFonts w:ascii="Arial" w:cs="Arial" w:eastAsia="Arial" w:hAnsi="Arial"/>
                <w:sz w:val="15"/>
                <w:szCs w:val="15"/>
                <w:b w:val="1"/>
                <w:bCs w:val="1"/>
                <w:color w:val="auto"/>
              </w:rPr>
              <w:t>2,793</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1,084</w:t>
            </w:r>
          </w:p>
        </w:tc>
        <w:tc>
          <w:tcPr>
            <w:tcW w:w="960" w:type="dxa"/>
            <w:vAlign w:val="bottom"/>
          </w:tcPr>
          <w:p>
            <w:pPr>
              <w:jc w:val="right"/>
              <w:ind w:right="186"/>
              <w:spacing w:after="0"/>
              <w:rPr>
                <w:sz w:val="20"/>
                <w:szCs w:val="20"/>
                <w:color w:val="auto"/>
              </w:rPr>
            </w:pPr>
            <w:r>
              <w:rPr>
                <w:rFonts w:ascii="Arial" w:cs="Arial" w:eastAsia="Arial" w:hAnsi="Arial"/>
                <w:sz w:val="15"/>
                <w:szCs w:val="15"/>
                <w:color w:val="auto"/>
              </w:rPr>
              <w:t>1,035</w:t>
            </w: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1,338</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1,391</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4,849</w:t>
            </w:r>
          </w:p>
        </w:tc>
      </w:tr>
      <w:tr>
        <w:trPr>
          <w:trHeight w:val="162"/>
        </w:trPr>
        <w:tc>
          <w:tcPr>
            <w:tcW w:w="3580" w:type="dxa"/>
            <w:vAlign w:val="bottom"/>
          </w:tcPr>
          <w:p>
            <w:pPr>
              <w:ind w:left="240"/>
              <w:spacing w:after="0" w:line="162" w:lineRule="exact"/>
              <w:rPr>
                <w:sz w:val="20"/>
                <w:szCs w:val="20"/>
                <w:color w:val="auto"/>
              </w:rPr>
            </w:pPr>
            <w:r>
              <w:rPr>
                <w:rFonts w:ascii="Arial" w:cs="Arial" w:eastAsia="Arial" w:hAnsi="Arial"/>
                <w:sz w:val="15"/>
                <w:szCs w:val="15"/>
                <w:color w:val="auto"/>
              </w:rPr>
              <w:t>Exports (US$ MM)</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3,389</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3,607</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12,617</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3,746</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4,053</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4,496</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4,584</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16,879</w:t>
            </w:r>
          </w:p>
        </w:tc>
      </w:tr>
      <w:tr>
        <w:trPr>
          <w:trHeight w:val="162"/>
        </w:trPr>
        <w:tc>
          <w:tcPr>
            <w:tcW w:w="3580" w:type="dxa"/>
            <w:vAlign w:val="bottom"/>
          </w:tcPr>
          <w:p>
            <w:pPr>
              <w:ind w:left="240"/>
              <w:spacing w:after="0" w:line="162" w:lineRule="exact"/>
              <w:rPr>
                <w:sz w:val="20"/>
                <w:szCs w:val="20"/>
                <w:color w:val="auto"/>
              </w:rPr>
            </w:pPr>
            <w:r>
              <w:rPr>
                <w:rFonts w:ascii="Arial" w:cs="Arial" w:eastAsia="Arial" w:hAnsi="Arial"/>
                <w:sz w:val="15"/>
                <w:szCs w:val="15"/>
                <w:color w:val="auto"/>
              </w:rPr>
              <w:t>Imports (US$ MM)</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2,545</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2,732</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9,824</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2,661</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3,018</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3,158</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3,193</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12,030</w:t>
            </w:r>
          </w:p>
        </w:tc>
      </w:tr>
      <w:tr>
        <w:trPr>
          <w:trHeight w:val="162"/>
        </w:trPr>
        <w:tc>
          <w:tcPr>
            <w:tcW w:w="3580" w:type="dxa"/>
            <w:vAlign w:val="bottom"/>
          </w:tcPr>
          <w:p>
            <w:pPr>
              <w:ind w:left="160"/>
              <w:spacing w:after="0" w:line="162" w:lineRule="exact"/>
              <w:rPr>
                <w:sz w:val="20"/>
                <w:szCs w:val="20"/>
                <w:color w:val="auto"/>
              </w:rPr>
            </w:pPr>
            <w:r>
              <w:rPr>
                <w:rFonts w:ascii="Arial" w:cs="Arial" w:eastAsia="Arial" w:hAnsi="Arial"/>
                <w:sz w:val="15"/>
                <w:szCs w:val="15"/>
                <w:color w:val="auto"/>
              </w:rPr>
              <w:t>Current account balance (US$ MM)</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184</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19</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-10</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159</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135</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462</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140</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896</w:t>
            </w:r>
          </w:p>
        </w:tc>
      </w:tr>
      <w:tr>
        <w:trPr>
          <w:trHeight w:val="162"/>
        </w:trPr>
        <w:tc>
          <w:tcPr>
            <w:tcW w:w="3580" w:type="dxa"/>
            <w:vAlign w:val="bottom"/>
          </w:tcPr>
          <w:p>
            <w:pPr>
              <w:ind w:left="240"/>
              <w:spacing w:after="0" w:line="162" w:lineRule="exact"/>
              <w:rPr>
                <w:sz w:val="20"/>
                <w:szCs w:val="20"/>
                <w:color w:val="auto"/>
              </w:rPr>
            </w:pPr>
            <w:r>
              <w:rPr>
                <w:rFonts w:ascii="Arial" w:cs="Arial" w:eastAsia="Arial" w:hAnsi="Arial"/>
                <w:sz w:val="15"/>
                <w:szCs w:val="15"/>
                <w:color w:val="auto"/>
              </w:rPr>
              <w:t>Current account balance (% of GDP)</w:t>
            </w:r>
          </w:p>
        </w:tc>
        <w:tc>
          <w:tcPr>
            <w:tcW w:w="126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1.1</w:t>
            </w:r>
          </w:p>
        </w:tc>
        <w:tc>
          <w:tcPr>
            <w:tcW w:w="9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0.1</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0.0</w:t>
            </w:r>
          </w:p>
        </w:tc>
        <w:tc>
          <w:tcPr>
            <w:tcW w:w="9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0.9</w:t>
            </w:r>
          </w:p>
        </w:tc>
        <w:tc>
          <w:tcPr>
            <w:tcW w:w="9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0.7</w:t>
            </w:r>
          </w:p>
        </w:tc>
        <w:tc>
          <w:tcPr>
            <w:tcW w:w="10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2.4</w:t>
            </w:r>
          </w:p>
        </w:tc>
        <w:tc>
          <w:tcPr>
            <w:tcW w:w="9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0.7</w:t>
            </w:r>
          </w:p>
        </w:tc>
        <w:tc>
          <w:tcPr>
            <w:tcW w:w="6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1.2</w:t>
            </w:r>
          </w:p>
        </w:tc>
      </w:tr>
      <w:tr>
        <w:trPr>
          <w:trHeight w:val="175"/>
        </w:trPr>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RIN (US$ MM)</w:t>
            </w:r>
          </w:p>
        </w:tc>
        <w:tc>
          <w:tcPr>
            <w:tcW w:w="12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11,187</w:t>
            </w:r>
          </w:p>
        </w:tc>
        <w:tc>
          <w:tcPr>
            <w:tcW w:w="9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12,631</w:t>
            </w:r>
          </w:p>
        </w:tc>
        <w:tc>
          <w:tcPr>
            <w:tcW w:w="10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12,631</w:t>
            </w:r>
          </w:p>
        </w:tc>
        <w:tc>
          <w:tcPr>
            <w:tcW w:w="9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13,555</w:t>
            </w:r>
          </w:p>
        </w:tc>
        <w:tc>
          <w:tcPr>
            <w:tcW w:w="9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13,818</w:t>
            </w:r>
          </w:p>
        </w:tc>
        <w:tc>
          <w:tcPr>
            <w:tcW w:w="10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13,695</w:t>
            </w:r>
          </w:p>
        </w:tc>
        <w:tc>
          <w:tcPr>
            <w:tcW w:w="9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14,097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14,097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Source: BCR, INEI, estimates BCP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Pension Funds and Mutual Funds</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volume of funds in the private pension system reached a total of S/. 32.574 billion, a balance S/. 208 million, higher than the portfolio at the close of September 2005. In the twelve months prior to November 2005, Type-2 funds had a nominal yield of 19.6% and a real return of 18.4% . As of December 30, 2005, the total number of system members reached 3.6 million individuals.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Mutual fund balances grew for the third consecutive quarter, after suffering declines in prior periods, due to the volatility of prices and valuations in capital markets and an increase in interest rates. Total mutual funds amounted to US$ 1.997 billion, 1.2% greater that the US$ 1.973 billion in September, and 13.1% % above the balance at December 2004.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Tables To Follow ***</w:t>
      </w:r>
    </w:p>
    <w:p>
      <w:pPr>
        <w:sectPr>
          <w:pgSz w:w="11900" w:h="16838" w:orient="portrait"/>
          <w:cols w:equalWidth="0" w:num="1">
            <w:col w:w="11420"/>
          </w:cols>
          <w:pgMar w:left="240" w:top="11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1</w:t>
      </w:r>
    </w:p>
    <w:p>
      <w:pPr>
        <w:jc w:val="center"/>
        <w:spacing w:after="0" w:line="230"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600" w:type="dxa"/>
            <w:vAlign w:val="bottom"/>
            <w:tcBorders>
              <w:top w:val="single" w:sz="8" w:color="auto"/>
              <w:bottom w:val="single" w:sz="8" w:color="auto"/>
            </w:tcBorders>
            <w:gridSpan w:val="4"/>
            <w:vMerge w:val="restart"/>
          </w:tcPr>
          <w:p>
            <w:pPr>
              <w:jc w:val="center"/>
              <w:ind w:right="1480"/>
              <w:spacing w:after="0"/>
              <w:rPr>
                <w:sz w:val="20"/>
                <w:szCs w:val="20"/>
                <w:color w:val="auto"/>
              </w:rPr>
            </w:pPr>
            <w:r>
              <w:rPr>
                <w:rFonts w:ascii="Arial" w:cs="Arial" w:eastAsia="Arial" w:hAnsi="Arial"/>
                <w:sz w:val="15"/>
                <w:szCs w:val="15"/>
                <w:b w:val="1"/>
                <w:bCs w:val="1"/>
                <w:color w:val="auto"/>
                <w:w w:val="93"/>
              </w:rPr>
              <w:t>ASSETS</w:t>
            </w:r>
          </w:p>
        </w:tc>
        <w:tc>
          <w:tcPr>
            <w:tcW w:w="8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As of</w:t>
            </w:r>
          </w:p>
        </w:tc>
        <w:tc>
          <w:tcPr>
            <w:tcW w:w="6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4"/>
            <w:vMerge w:val="continue"/>
          </w:tcPr>
          <w:p>
            <w:pPr>
              <w:spacing w:after="0"/>
              <w:rPr>
                <w:sz w:val="14"/>
                <w:szCs w:val="14"/>
                <w:color w:val="auto"/>
              </w:rPr>
            </w:pPr>
          </w:p>
        </w:tc>
        <w:tc>
          <w:tcPr>
            <w:tcW w:w="1760" w:type="dxa"/>
            <w:vAlign w:val="bottom"/>
            <w:tcBorders>
              <w:bottom w:val="single" w:sz="8" w:color="auto"/>
            </w:tcBorders>
            <w:gridSpan w:val="4"/>
          </w:tcPr>
          <w:p>
            <w:pPr>
              <w:jc w:val="right"/>
              <w:ind w:right="620"/>
              <w:spacing w:after="0" w:line="169" w:lineRule="exact"/>
              <w:rPr>
                <w:sz w:val="20"/>
                <w:szCs w:val="20"/>
                <w:color w:val="auto"/>
              </w:rPr>
            </w:pPr>
            <w:r>
              <w:rPr>
                <w:rFonts w:ascii="Arial" w:cs="Arial" w:eastAsia="Arial" w:hAnsi="Arial"/>
                <w:sz w:val="15"/>
                <w:szCs w:val="15"/>
                <w:b w:val="1"/>
                <w:bCs w:val="1"/>
                <w:color w:val="auto"/>
              </w:rPr>
              <w:t>Sep. 30, 2004</w:t>
            </w:r>
          </w:p>
        </w:tc>
        <w:tc>
          <w:tcPr>
            <w:tcW w:w="1840" w:type="dxa"/>
            <w:vAlign w:val="bottom"/>
            <w:tcBorders>
              <w:bottom w:val="single" w:sz="8" w:color="auto"/>
            </w:tcBorders>
            <w:gridSpan w:val="3"/>
          </w:tcPr>
          <w:p>
            <w:pPr>
              <w:jc w:val="right"/>
              <w:ind w:right="740"/>
              <w:spacing w:after="0" w:line="169" w:lineRule="exact"/>
              <w:rPr>
                <w:sz w:val="20"/>
                <w:szCs w:val="20"/>
                <w:color w:val="auto"/>
              </w:rPr>
            </w:pPr>
            <w:r>
              <w:rPr>
                <w:rFonts w:ascii="Arial" w:cs="Arial" w:eastAsia="Arial" w:hAnsi="Arial"/>
                <w:sz w:val="15"/>
                <w:szCs w:val="15"/>
                <w:b w:val="1"/>
                <w:bCs w:val="1"/>
                <w:color w:val="auto"/>
              </w:rPr>
              <w:t>Dec. 31, 2004</w:t>
            </w:r>
          </w:p>
        </w:tc>
        <w:tc>
          <w:tcPr>
            <w:tcW w:w="1580" w:type="dxa"/>
            <w:vAlign w:val="bottom"/>
            <w:tcBorders>
              <w:bottom w:val="single" w:sz="8" w:color="auto"/>
            </w:tcBorders>
            <w:gridSpan w:val="3"/>
          </w:tcPr>
          <w:p>
            <w:pPr>
              <w:jc w:val="right"/>
              <w:ind w:right="620"/>
              <w:spacing w:after="0" w:line="169" w:lineRule="exact"/>
              <w:rPr>
                <w:sz w:val="20"/>
                <w:szCs w:val="20"/>
                <w:color w:val="auto"/>
              </w:rPr>
            </w:pPr>
            <w:r>
              <w:rPr>
                <w:rFonts w:ascii="Arial" w:cs="Arial" w:eastAsia="Arial" w:hAnsi="Arial"/>
                <w:sz w:val="15"/>
                <w:szCs w:val="15"/>
                <w:b w:val="1"/>
                <w:bCs w:val="1"/>
                <w:color w:val="auto"/>
                <w:w w:val="99"/>
              </w:rPr>
              <w:t>Sep. 30, 2005</w:t>
            </w:r>
          </w:p>
        </w:tc>
        <w:tc>
          <w:tcPr>
            <w:tcW w:w="1420" w:type="dxa"/>
            <w:vAlign w:val="bottom"/>
            <w:tcBorders>
              <w:bottom w:val="single" w:sz="8" w:color="auto"/>
            </w:tcBorders>
            <w:gridSpan w:val="3"/>
          </w:tcPr>
          <w:p>
            <w:pPr>
              <w:jc w:val="right"/>
              <w:ind w:right="340"/>
              <w:spacing w:after="0" w:line="169" w:lineRule="exact"/>
              <w:rPr>
                <w:sz w:val="20"/>
                <w:szCs w:val="20"/>
                <w:color w:val="auto"/>
              </w:rPr>
            </w:pPr>
            <w:r>
              <w:rPr>
                <w:rFonts w:ascii="Arial" w:cs="Arial" w:eastAsia="Arial" w:hAnsi="Arial"/>
                <w:sz w:val="15"/>
                <w:szCs w:val="15"/>
                <w:b w:val="1"/>
                <w:bCs w:val="1"/>
                <w:color w:val="auto"/>
              </w:rPr>
              <w:t>Dec. 31, 2005</w:t>
            </w:r>
          </w:p>
        </w:tc>
        <w:tc>
          <w:tcPr>
            <w:tcW w:w="0" w:type="dxa"/>
            <w:vAlign w:val="bottom"/>
          </w:tcPr>
          <w:p>
            <w:pPr>
              <w:spacing w:after="0"/>
              <w:rPr>
                <w:sz w:val="1"/>
                <w:szCs w:val="1"/>
                <w:color w:val="auto"/>
              </w:rPr>
            </w:pPr>
          </w:p>
        </w:tc>
      </w:tr>
      <w:tr>
        <w:trPr>
          <w:trHeight w:val="156"/>
        </w:trPr>
        <w:tc>
          <w:tcPr>
            <w:tcW w:w="4820" w:type="dxa"/>
            <w:vAlign w:val="bottom"/>
            <w:gridSpan w:val="7"/>
          </w:tcPr>
          <w:p>
            <w:pPr>
              <w:spacing w:after="0" w:line="156" w:lineRule="exact"/>
              <w:rPr>
                <w:sz w:val="20"/>
                <w:szCs w:val="20"/>
                <w:color w:val="auto"/>
              </w:rPr>
            </w:pPr>
            <w:r>
              <w:rPr>
                <w:rFonts w:ascii="Arial" w:cs="Arial" w:eastAsia="Arial" w:hAnsi="Arial"/>
                <w:sz w:val="15"/>
                <w:szCs w:val="15"/>
                <w:color w:val="auto"/>
              </w:rPr>
              <w:t>CASH AND DUE FROM BANKS</w:t>
            </w:r>
          </w:p>
        </w:tc>
        <w:tc>
          <w:tcPr>
            <w:tcW w:w="146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278,249</w:t>
            </w:r>
          </w:p>
        </w:tc>
        <w:tc>
          <w:tcPr>
            <w:tcW w:w="300" w:type="dxa"/>
            <w:vAlign w:val="bottom"/>
          </w:tcPr>
          <w:p>
            <w:pPr>
              <w:spacing w:after="0"/>
              <w:rPr>
                <w:sz w:val="13"/>
                <w:szCs w:val="13"/>
                <w:color w:val="auto"/>
              </w:rPr>
            </w:pPr>
          </w:p>
        </w:tc>
        <w:tc>
          <w:tcPr>
            <w:tcW w:w="1840" w:type="dxa"/>
            <w:vAlign w:val="bottom"/>
            <w:gridSpan w:val="3"/>
            <w:vMerge w:val="restart"/>
          </w:tcPr>
          <w:p>
            <w:pPr>
              <w:jc w:val="right"/>
              <w:ind w:right="440"/>
              <w:spacing w:after="0"/>
              <w:rPr>
                <w:sz w:val="20"/>
                <w:szCs w:val="20"/>
                <w:color w:val="auto"/>
              </w:rPr>
            </w:pPr>
            <w:r>
              <w:rPr>
                <w:rFonts w:ascii="Arial" w:cs="Arial" w:eastAsia="Arial" w:hAnsi="Arial"/>
                <w:sz w:val="15"/>
                <w:szCs w:val="15"/>
                <w:color w:val="auto"/>
              </w:rPr>
              <w:t>264,218</w:t>
            </w:r>
          </w:p>
        </w:tc>
        <w:tc>
          <w:tcPr>
            <w:tcW w:w="1280" w:type="dxa"/>
            <w:vAlign w:val="bottom"/>
            <w:gridSpan w:val="2"/>
            <w:vMerge w:val="restart"/>
          </w:tcPr>
          <w:p>
            <w:pPr>
              <w:jc w:val="right"/>
              <w:spacing w:after="0"/>
              <w:rPr>
                <w:sz w:val="20"/>
                <w:szCs w:val="20"/>
                <w:color w:val="auto"/>
              </w:rPr>
            </w:pPr>
            <w:r>
              <w:rPr>
                <w:rFonts w:ascii="Arial" w:cs="Arial" w:eastAsia="Arial" w:hAnsi="Arial"/>
                <w:sz w:val="15"/>
                <w:szCs w:val="15"/>
                <w:color w:val="auto"/>
              </w:rPr>
              <w:t>308,701</w:t>
            </w:r>
          </w:p>
        </w:tc>
        <w:tc>
          <w:tcPr>
            <w:tcW w:w="30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363,213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40" w:type="dxa"/>
            <w:vAlign w:val="bottom"/>
            <w:gridSpan w:val="3"/>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20" w:type="dxa"/>
            <w:vAlign w:val="bottom"/>
            <w:gridSpan w:val="7"/>
          </w:tcPr>
          <w:p>
            <w:pPr>
              <w:ind w:left="40"/>
              <w:spacing w:after="0" w:line="146" w:lineRule="exact"/>
              <w:rPr>
                <w:sz w:val="20"/>
                <w:szCs w:val="20"/>
                <w:color w:val="auto"/>
              </w:rPr>
            </w:pPr>
            <w:r>
              <w:rPr>
                <w:rFonts w:ascii="Arial" w:cs="Arial" w:eastAsia="Arial" w:hAnsi="Arial"/>
                <w:sz w:val="15"/>
                <w:szCs w:val="15"/>
                <w:color w:val="auto"/>
              </w:rPr>
              <w:t>Cash and non interest bearing deposits in banks</w:t>
            </w:r>
          </w:p>
        </w:tc>
        <w:tc>
          <w:tcPr>
            <w:tcW w:w="146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gridSpan w:val="7"/>
          </w:tcPr>
          <w:p>
            <w:pPr>
              <w:ind w:left="40"/>
              <w:spacing w:after="0" w:line="158" w:lineRule="exact"/>
              <w:rPr>
                <w:sz w:val="20"/>
                <w:szCs w:val="20"/>
                <w:color w:val="auto"/>
              </w:rPr>
            </w:pPr>
            <w:r>
              <w:rPr>
                <w:rFonts w:ascii="Arial" w:cs="Arial" w:eastAsia="Arial" w:hAnsi="Arial"/>
                <w:sz w:val="15"/>
                <w:szCs w:val="15"/>
                <w:color w:val="auto"/>
              </w:rPr>
              <w:t>Interest bearing deposits in banks</w:t>
            </w:r>
          </w:p>
        </w:tc>
        <w:tc>
          <w:tcPr>
            <w:tcW w:w="146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1,543,537</w:t>
            </w:r>
          </w:p>
        </w:tc>
        <w:tc>
          <w:tcPr>
            <w:tcW w:w="300" w:type="dxa"/>
            <w:vAlign w:val="bottom"/>
          </w:tcPr>
          <w:p>
            <w:pPr>
              <w:spacing w:after="0"/>
              <w:rPr>
                <w:sz w:val="13"/>
                <w:szCs w:val="13"/>
                <w:color w:val="auto"/>
              </w:rPr>
            </w:pPr>
          </w:p>
        </w:tc>
        <w:tc>
          <w:tcPr>
            <w:tcW w:w="1840" w:type="dxa"/>
            <w:vAlign w:val="bottom"/>
            <w:gridSpan w:val="3"/>
          </w:tcPr>
          <w:p>
            <w:pPr>
              <w:jc w:val="right"/>
              <w:ind w:right="440"/>
              <w:spacing w:after="0" w:line="158" w:lineRule="exact"/>
              <w:rPr>
                <w:sz w:val="20"/>
                <w:szCs w:val="20"/>
                <w:color w:val="auto"/>
              </w:rPr>
            </w:pPr>
            <w:r>
              <w:rPr>
                <w:rFonts w:ascii="Arial" w:cs="Arial" w:eastAsia="Arial" w:hAnsi="Arial"/>
                <w:sz w:val="15"/>
                <w:szCs w:val="15"/>
                <w:color w:val="auto"/>
              </w:rPr>
              <w:t>1,575,241</w:t>
            </w:r>
          </w:p>
        </w:tc>
        <w:tc>
          <w:tcPr>
            <w:tcW w:w="12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1,453,372</w:t>
            </w:r>
          </w:p>
        </w:tc>
        <w:tc>
          <w:tcPr>
            <w:tcW w:w="300" w:type="dxa"/>
            <w:vAlign w:val="bottom"/>
          </w:tcPr>
          <w:p>
            <w:pPr>
              <w:spacing w:after="0"/>
              <w:rPr>
                <w:sz w:val="13"/>
                <w:szCs w:val="13"/>
                <w:color w:val="auto"/>
              </w:rPr>
            </w:pP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2,297,602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5"/>
                <w:szCs w:val="15"/>
                <w:color w:val="auto"/>
                <w:w w:val="80"/>
              </w:rPr>
              <w:t>1,821,786</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1,839,459</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1,762,073</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2,660,815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4820" w:type="dxa"/>
            <w:vAlign w:val="bottom"/>
            <w:gridSpan w:val="7"/>
          </w:tcPr>
          <w:p>
            <w:pPr>
              <w:spacing w:after="0"/>
              <w:rPr>
                <w:sz w:val="20"/>
                <w:szCs w:val="20"/>
                <w:color w:val="auto"/>
              </w:rPr>
            </w:pPr>
            <w:r>
              <w:rPr>
                <w:rFonts w:ascii="Arial" w:cs="Arial" w:eastAsia="Arial" w:hAnsi="Arial"/>
                <w:sz w:val="15"/>
                <w:szCs w:val="15"/>
                <w:color w:val="auto"/>
              </w:rPr>
              <w:t>MARKETABLE SECURITIES, net</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83,749</w:t>
            </w:r>
          </w:p>
        </w:tc>
        <w:tc>
          <w:tcPr>
            <w:tcW w:w="30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82,513</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88,829</w:t>
            </w:r>
          </w:p>
        </w:tc>
        <w:tc>
          <w:tcPr>
            <w:tcW w:w="3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60,927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gridSpan w:val="7"/>
          </w:tcPr>
          <w:p>
            <w:pPr>
              <w:spacing w:after="0"/>
              <w:rPr>
                <w:sz w:val="20"/>
                <w:szCs w:val="20"/>
                <w:color w:val="auto"/>
              </w:rPr>
            </w:pPr>
            <w:r>
              <w:rPr>
                <w:rFonts w:ascii="Arial" w:cs="Arial" w:eastAsia="Arial" w:hAnsi="Arial"/>
                <w:sz w:val="15"/>
                <w:szCs w:val="15"/>
                <w:color w:val="auto"/>
              </w:rPr>
              <w:t>LOANS</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4,531,648</w:t>
            </w:r>
          </w:p>
        </w:tc>
        <w:tc>
          <w:tcPr>
            <w:tcW w:w="30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4,587,997</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4,651,259</w:t>
            </w:r>
          </w:p>
        </w:tc>
        <w:tc>
          <w:tcPr>
            <w:tcW w:w="3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5,014,254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0" w:type="dxa"/>
            <w:vAlign w:val="bottom"/>
            <w:tcBorders>
              <w:top w:val="single" w:sz="8" w:color="auto"/>
            </w:tcBorders>
          </w:tcPr>
          <w:p>
            <w:pPr>
              <w:ind w:left="40"/>
              <w:spacing w:after="0" w:line="146" w:lineRule="exact"/>
              <w:rPr>
                <w:sz w:val="20"/>
                <w:szCs w:val="20"/>
                <w:color w:val="auto"/>
              </w:rPr>
            </w:pPr>
            <w:r>
              <w:rPr>
                <w:rFonts w:ascii="Arial" w:cs="Arial" w:eastAsia="Arial" w:hAnsi="Arial"/>
                <w:sz w:val="15"/>
                <w:szCs w:val="15"/>
                <w:color w:val="auto"/>
                <w:w w:val="87"/>
              </w:rPr>
              <w:t>Current</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0"/>
              </w:rPr>
              <w:t>4,316,616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4,427,626</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4,533,513</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4,916,863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40"/>
              <w:spacing w:after="0" w:line="162" w:lineRule="exact"/>
              <w:rPr>
                <w:sz w:val="20"/>
                <w:szCs w:val="20"/>
                <w:color w:val="auto"/>
              </w:rPr>
            </w:pPr>
            <w:r>
              <w:rPr>
                <w:rFonts w:ascii="Arial" w:cs="Arial" w:eastAsia="Arial" w:hAnsi="Arial"/>
                <w:sz w:val="15"/>
                <w:szCs w:val="15"/>
                <w:color w:val="auto"/>
              </w:rPr>
              <w:t>Past Due</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215,032</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160,371</w:t>
            </w:r>
          </w:p>
        </w:tc>
        <w:tc>
          <w:tcPr>
            <w:tcW w:w="1580" w:type="dxa"/>
            <w:vAlign w:val="bottom"/>
            <w:gridSpan w:val="3"/>
          </w:tcPr>
          <w:p>
            <w:pPr>
              <w:jc w:val="right"/>
              <w:ind w:right="300"/>
              <w:spacing w:after="0" w:line="162" w:lineRule="exact"/>
              <w:rPr>
                <w:sz w:val="20"/>
                <w:szCs w:val="20"/>
                <w:color w:val="auto"/>
              </w:rPr>
            </w:pPr>
            <w:r>
              <w:rPr>
                <w:rFonts w:ascii="Arial" w:cs="Arial" w:eastAsia="Arial" w:hAnsi="Arial"/>
                <w:sz w:val="15"/>
                <w:szCs w:val="15"/>
                <w:color w:val="auto"/>
              </w:rPr>
              <w:t>117,746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97,392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40"/>
              <w:spacing w:after="0" w:line="162" w:lineRule="exact"/>
              <w:rPr>
                <w:sz w:val="20"/>
                <w:szCs w:val="20"/>
                <w:color w:val="auto"/>
              </w:rPr>
            </w:pPr>
            <w:r>
              <w:rPr>
                <w:rFonts w:ascii="Arial" w:cs="Arial" w:eastAsia="Arial" w:hAnsi="Arial"/>
                <w:sz w:val="15"/>
                <w:szCs w:val="15"/>
                <w:color w:val="auto"/>
              </w:rPr>
              <w:t>Less - Reserve for possible loan losses</w:t>
            </w:r>
          </w:p>
        </w:tc>
        <w:tc>
          <w:tcPr>
            <w:tcW w:w="176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rPr>
              <w:t>(281,241)</w:t>
            </w:r>
          </w:p>
        </w:tc>
        <w:tc>
          <w:tcPr>
            <w:tcW w:w="1840" w:type="dxa"/>
            <w:vAlign w:val="bottom"/>
            <w:gridSpan w:val="3"/>
          </w:tcPr>
          <w:p>
            <w:pPr>
              <w:jc w:val="right"/>
              <w:ind w:right="400"/>
              <w:spacing w:after="0" w:line="162" w:lineRule="exact"/>
              <w:rPr>
                <w:sz w:val="20"/>
                <w:szCs w:val="20"/>
                <w:color w:val="auto"/>
              </w:rPr>
            </w:pPr>
            <w:r>
              <w:rPr>
                <w:rFonts w:ascii="Arial" w:cs="Arial" w:eastAsia="Arial" w:hAnsi="Arial"/>
                <w:sz w:val="15"/>
                <w:szCs w:val="15"/>
                <w:color w:val="auto"/>
              </w:rPr>
              <w:t>(253,408)</w:t>
            </w:r>
          </w:p>
        </w:tc>
        <w:tc>
          <w:tcPr>
            <w:tcW w:w="158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(202,985)</w:t>
            </w:r>
          </w:p>
        </w:tc>
        <w:tc>
          <w:tcPr>
            <w:tcW w:w="14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(197,494)</w:t>
            </w:r>
          </w:p>
        </w:tc>
        <w:tc>
          <w:tcPr>
            <w:tcW w:w="0" w:type="dxa"/>
            <w:vAlign w:val="bottom"/>
          </w:tcPr>
          <w:p>
            <w:pPr>
              <w:spacing w:after="0"/>
              <w:rPr>
                <w:sz w:val="1"/>
                <w:szCs w:val="1"/>
                <w:color w:val="auto"/>
              </w:rPr>
            </w:pPr>
          </w:p>
        </w:tc>
      </w:tr>
      <w:tr>
        <w:trPr>
          <w:trHeight w:val="158"/>
        </w:trPr>
        <w:tc>
          <w:tcPr>
            <w:tcW w:w="4820" w:type="dxa"/>
            <w:vAlign w:val="bottom"/>
            <w:gridSpan w:val="7"/>
          </w:tcPr>
          <w:p>
            <w:pPr>
              <w:spacing w:after="0" w:line="158" w:lineRule="exact"/>
              <w:rPr>
                <w:sz w:val="20"/>
                <w:szCs w:val="20"/>
                <w:color w:val="auto"/>
              </w:rPr>
            </w:pPr>
            <w:r>
              <w:rPr>
                <w:rFonts w:ascii="Arial" w:cs="Arial" w:eastAsia="Arial" w:hAnsi="Arial"/>
                <w:sz w:val="15"/>
                <w:szCs w:val="15"/>
                <w:color w:val="auto"/>
              </w:rPr>
              <w:t>LOANS NET</w:t>
            </w:r>
          </w:p>
        </w:tc>
        <w:tc>
          <w:tcPr>
            <w:tcW w:w="146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4,250,407</w:t>
            </w:r>
          </w:p>
        </w:tc>
        <w:tc>
          <w:tcPr>
            <w:tcW w:w="300" w:type="dxa"/>
            <w:vAlign w:val="bottom"/>
          </w:tcPr>
          <w:p>
            <w:pPr>
              <w:spacing w:after="0"/>
              <w:rPr>
                <w:sz w:val="13"/>
                <w:szCs w:val="13"/>
                <w:color w:val="auto"/>
              </w:rPr>
            </w:pPr>
          </w:p>
        </w:tc>
        <w:tc>
          <w:tcPr>
            <w:tcW w:w="1840" w:type="dxa"/>
            <w:vAlign w:val="bottom"/>
            <w:gridSpan w:val="3"/>
          </w:tcPr>
          <w:p>
            <w:pPr>
              <w:jc w:val="right"/>
              <w:ind w:right="440"/>
              <w:spacing w:after="0" w:line="158" w:lineRule="exact"/>
              <w:rPr>
                <w:sz w:val="20"/>
                <w:szCs w:val="20"/>
                <w:color w:val="auto"/>
              </w:rPr>
            </w:pPr>
            <w:r>
              <w:rPr>
                <w:rFonts w:ascii="Arial" w:cs="Arial" w:eastAsia="Arial" w:hAnsi="Arial"/>
                <w:sz w:val="15"/>
                <w:szCs w:val="15"/>
                <w:color w:val="auto"/>
              </w:rPr>
              <w:t>4,334,589</w:t>
            </w:r>
          </w:p>
        </w:tc>
        <w:tc>
          <w:tcPr>
            <w:tcW w:w="12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4,448,274</w:t>
            </w:r>
          </w:p>
        </w:tc>
        <w:tc>
          <w:tcPr>
            <w:tcW w:w="300" w:type="dxa"/>
            <w:vAlign w:val="bottom"/>
          </w:tcPr>
          <w:p>
            <w:pPr>
              <w:spacing w:after="0"/>
              <w:rPr>
                <w:sz w:val="13"/>
                <w:szCs w:val="13"/>
                <w:color w:val="auto"/>
              </w:rPr>
            </w:pP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4,816,761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820" w:type="dxa"/>
            <w:vAlign w:val="bottom"/>
            <w:gridSpan w:val="7"/>
          </w:tcPr>
          <w:p>
            <w:pPr>
              <w:spacing w:after="0"/>
              <w:rPr>
                <w:sz w:val="20"/>
                <w:szCs w:val="20"/>
                <w:color w:val="auto"/>
              </w:rPr>
            </w:pPr>
            <w:r>
              <w:rPr>
                <w:rFonts w:ascii="Arial" w:cs="Arial" w:eastAsia="Arial" w:hAnsi="Arial"/>
                <w:sz w:val="15"/>
                <w:szCs w:val="15"/>
                <w:color w:val="auto"/>
              </w:rPr>
              <w:t>INVESTMENT SECURITIES AVAILABLE FOR SALE</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1,885,455</w:t>
            </w:r>
          </w:p>
        </w:tc>
        <w:tc>
          <w:tcPr>
            <w:tcW w:w="30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2,118,690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2,761,967</w:t>
            </w:r>
          </w:p>
        </w:tc>
        <w:tc>
          <w:tcPr>
            <w:tcW w:w="3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2,807,577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REINSURANCE ASSETS</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38,666</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35,453</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27,989</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35,288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PREMIUMS AND OTHER POLICYHOLDER RECEIVABLES</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58,322</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60,665</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59,235</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57,301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248,129</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249,083</w:t>
            </w:r>
          </w:p>
        </w:tc>
        <w:tc>
          <w:tcPr>
            <w:tcW w:w="1580" w:type="dxa"/>
            <w:vAlign w:val="bottom"/>
            <w:gridSpan w:val="3"/>
          </w:tcPr>
          <w:p>
            <w:pPr>
              <w:jc w:val="right"/>
              <w:ind w:right="300"/>
              <w:spacing w:after="0" w:line="162" w:lineRule="exact"/>
              <w:rPr>
                <w:sz w:val="20"/>
                <w:szCs w:val="20"/>
                <w:color w:val="auto"/>
              </w:rPr>
            </w:pPr>
            <w:r>
              <w:rPr>
                <w:rFonts w:ascii="Arial" w:cs="Arial" w:eastAsia="Arial" w:hAnsi="Arial"/>
                <w:sz w:val="15"/>
                <w:szCs w:val="15"/>
                <w:color w:val="auto"/>
              </w:rPr>
              <w:t>238,511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248,718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DUE FROM CUSTOMERS ON ACCEPTANCES</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51,765</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47,635</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50,756</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45,423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gridSpan w:val="7"/>
          </w:tcPr>
          <w:p>
            <w:pPr>
              <w:spacing w:after="0"/>
              <w:rPr>
                <w:sz w:val="20"/>
                <w:szCs w:val="20"/>
                <w:color w:val="auto"/>
              </w:rPr>
            </w:pPr>
            <w:r>
              <w:rPr>
                <w:rFonts w:ascii="Arial" w:cs="Arial" w:eastAsia="Arial" w:hAnsi="Arial"/>
                <w:sz w:val="15"/>
                <w:szCs w:val="15"/>
                <w:color w:val="auto"/>
              </w:rPr>
              <w:t>OTHER ASSETS</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349,188</w:t>
            </w:r>
          </w:p>
        </w:tc>
        <w:tc>
          <w:tcPr>
            <w:tcW w:w="300" w:type="dxa"/>
            <w:vAlign w:val="bottom"/>
          </w:tcPr>
          <w:p>
            <w:pPr>
              <w:spacing w:after="0"/>
              <w:rPr>
                <w:sz w:val="16"/>
                <w:szCs w:val="16"/>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352,501</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363,567</w:t>
            </w:r>
          </w:p>
        </w:tc>
        <w:tc>
          <w:tcPr>
            <w:tcW w:w="3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317,041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5"/>
                <w:szCs w:val="15"/>
                <w:b w:val="1"/>
                <w:bCs w:val="1"/>
                <w:color w:val="auto"/>
                <w:w w:val="94"/>
              </w:rPr>
              <w:t>TOTAL ASSETS</w:t>
            </w: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8,787,467</w:t>
            </w: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5"/>
                <w:szCs w:val="15"/>
                <w:b w:val="1"/>
                <w:bCs w:val="1"/>
                <w:color w:val="auto"/>
              </w:rPr>
              <w:t>9,120,588</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9,801,202</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11,049,850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00" w:type="dxa"/>
            <w:vAlign w:val="bottom"/>
          </w:tcPr>
          <w:p>
            <w:pPr>
              <w:spacing w:after="0"/>
              <w:rPr>
                <w:sz w:val="24"/>
                <w:szCs w:val="24"/>
                <w:color w:val="auto"/>
              </w:rPr>
            </w:pPr>
          </w:p>
        </w:tc>
        <w:tc>
          <w:tcPr>
            <w:tcW w:w="4320" w:type="dxa"/>
            <w:vAlign w:val="bottom"/>
            <w:gridSpan w:val="6"/>
          </w:tcPr>
          <w:p>
            <w:pPr>
              <w:jc w:val="center"/>
              <w:ind w:right="760"/>
              <w:spacing w:after="0"/>
              <w:rPr>
                <w:sz w:val="20"/>
                <w:szCs w:val="20"/>
                <w:color w:val="auto"/>
              </w:rPr>
            </w:pPr>
            <w:r>
              <w:rPr>
                <w:rFonts w:ascii="Arial" w:cs="Arial" w:eastAsia="Arial" w:hAnsi="Arial"/>
                <w:sz w:val="15"/>
                <w:szCs w:val="15"/>
                <w:b w:val="1"/>
                <w:bCs w:val="1"/>
                <w:color w:val="auto"/>
              </w:rPr>
              <w:t>LIABILITIES AND SHAREHOLDERS' EQUITY</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gridSpan w:val="7"/>
          </w:tcPr>
          <w:p>
            <w:pPr>
              <w:spacing w:after="0"/>
              <w:rPr>
                <w:sz w:val="20"/>
                <w:szCs w:val="20"/>
                <w:color w:val="auto"/>
              </w:rPr>
            </w:pPr>
            <w:r>
              <w:rPr>
                <w:rFonts w:ascii="Arial" w:cs="Arial" w:eastAsia="Arial" w:hAnsi="Arial"/>
                <w:sz w:val="15"/>
                <w:szCs w:val="15"/>
                <w:color w:val="auto"/>
              </w:rPr>
              <w:t>DEPOSITS AND OBLIGATIONS:</w:t>
            </w:r>
          </w:p>
        </w:tc>
        <w:tc>
          <w:tcPr>
            <w:tcW w:w="146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774,415</w:t>
            </w:r>
          </w:p>
        </w:tc>
        <w:tc>
          <w:tcPr>
            <w:tcW w:w="300" w:type="dxa"/>
            <w:vAlign w:val="bottom"/>
          </w:tcPr>
          <w:p>
            <w:pPr>
              <w:spacing w:after="0"/>
              <w:rPr>
                <w:sz w:val="24"/>
                <w:szCs w:val="24"/>
                <w:color w:val="auto"/>
              </w:rPr>
            </w:pPr>
          </w:p>
        </w:tc>
        <w:tc>
          <w:tcPr>
            <w:tcW w:w="1840" w:type="dxa"/>
            <w:vAlign w:val="bottom"/>
            <w:gridSpan w:val="3"/>
            <w:vMerge w:val="restart"/>
          </w:tcPr>
          <w:p>
            <w:pPr>
              <w:jc w:val="right"/>
              <w:ind w:right="440"/>
              <w:spacing w:after="0"/>
              <w:rPr>
                <w:sz w:val="20"/>
                <w:szCs w:val="20"/>
                <w:color w:val="auto"/>
              </w:rPr>
            </w:pPr>
            <w:r>
              <w:rPr>
                <w:rFonts w:ascii="Arial" w:cs="Arial" w:eastAsia="Arial" w:hAnsi="Arial"/>
                <w:sz w:val="15"/>
                <w:szCs w:val="15"/>
                <w:color w:val="auto"/>
              </w:rPr>
              <w:t>1,356,619</w:t>
            </w:r>
          </w:p>
        </w:tc>
        <w:tc>
          <w:tcPr>
            <w:tcW w:w="1280" w:type="dxa"/>
            <w:vAlign w:val="bottom"/>
            <w:gridSpan w:val="2"/>
            <w:vMerge w:val="restart"/>
          </w:tcPr>
          <w:p>
            <w:pPr>
              <w:jc w:val="right"/>
              <w:spacing w:after="0"/>
              <w:rPr>
                <w:sz w:val="20"/>
                <w:szCs w:val="20"/>
                <w:color w:val="auto"/>
              </w:rPr>
            </w:pPr>
            <w:r>
              <w:rPr>
                <w:rFonts w:ascii="Arial" w:cs="Arial" w:eastAsia="Arial" w:hAnsi="Arial"/>
                <w:sz w:val="15"/>
                <w:szCs w:val="15"/>
                <w:color w:val="auto"/>
              </w:rPr>
              <w:t>1,440,388</w:t>
            </w:r>
          </w:p>
        </w:tc>
        <w:tc>
          <w:tcPr>
            <w:tcW w:w="300" w:type="dxa"/>
            <w:vAlign w:val="bottom"/>
          </w:tcPr>
          <w:p>
            <w:pPr>
              <w:spacing w:after="0"/>
              <w:rPr>
                <w:sz w:val="24"/>
                <w:szCs w:val="2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1,671,621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20" w:type="dxa"/>
            <w:vAlign w:val="bottom"/>
            <w:tcBorders>
              <w:top w:val="single" w:sz="8" w:color="auto"/>
            </w:tcBorders>
            <w:gridSpan w:val="5"/>
          </w:tcPr>
          <w:p>
            <w:pPr>
              <w:ind w:left="40"/>
              <w:spacing w:after="0" w:line="146" w:lineRule="exact"/>
              <w:rPr>
                <w:sz w:val="20"/>
                <w:szCs w:val="20"/>
                <w:color w:val="auto"/>
              </w:rPr>
            </w:pPr>
            <w:r>
              <w:rPr>
                <w:rFonts w:ascii="Arial" w:cs="Arial" w:eastAsia="Arial" w:hAnsi="Arial"/>
                <w:sz w:val="15"/>
                <w:szCs w:val="15"/>
                <w:color w:val="auto"/>
              </w:rPr>
              <w:t>Non-interest bearing</w:t>
            </w:r>
          </w:p>
        </w:tc>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gridSpan w:val="7"/>
          </w:tcPr>
          <w:p>
            <w:pPr>
              <w:ind w:left="40"/>
              <w:spacing w:after="0" w:line="158" w:lineRule="exact"/>
              <w:rPr>
                <w:sz w:val="20"/>
                <w:szCs w:val="20"/>
                <w:color w:val="auto"/>
              </w:rPr>
            </w:pPr>
            <w:r>
              <w:rPr>
                <w:rFonts w:ascii="Arial" w:cs="Arial" w:eastAsia="Arial" w:hAnsi="Arial"/>
                <w:sz w:val="15"/>
                <w:szCs w:val="15"/>
                <w:color w:val="auto"/>
              </w:rPr>
              <w:t>Interest bearing</w:t>
            </w:r>
          </w:p>
        </w:tc>
        <w:tc>
          <w:tcPr>
            <w:tcW w:w="1760" w:type="dxa"/>
            <w:vAlign w:val="bottom"/>
            <w:gridSpan w:val="4"/>
          </w:tcPr>
          <w:p>
            <w:pPr>
              <w:jc w:val="right"/>
              <w:ind w:right="320"/>
              <w:spacing w:after="0" w:line="158" w:lineRule="exact"/>
              <w:rPr>
                <w:sz w:val="20"/>
                <w:szCs w:val="20"/>
                <w:color w:val="auto"/>
              </w:rPr>
            </w:pPr>
            <w:r>
              <w:rPr>
                <w:rFonts w:ascii="Arial" w:cs="Arial" w:eastAsia="Arial" w:hAnsi="Arial"/>
                <w:sz w:val="15"/>
                <w:szCs w:val="15"/>
                <w:color w:val="auto"/>
              </w:rPr>
              <w:t>5,391,114</w:t>
            </w:r>
          </w:p>
        </w:tc>
        <w:tc>
          <w:tcPr>
            <w:tcW w:w="1840" w:type="dxa"/>
            <w:vAlign w:val="bottom"/>
            <w:gridSpan w:val="3"/>
          </w:tcPr>
          <w:p>
            <w:pPr>
              <w:jc w:val="right"/>
              <w:ind w:right="440"/>
              <w:spacing w:after="0" w:line="158" w:lineRule="exact"/>
              <w:rPr>
                <w:sz w:val="20"/>
                <w:szCs w:val="20"/>
                <w:color w:val="auto"/>
              </w:rPr>
            </w:pPr>
            <w:r>
              <w:rPr>
                <w:rFonts w:ascii="Arial" w:cs="Arial" w:eastAsia="Arial" w:hAnsi="Arial"/>
                <w:sz w:val="15"/>
                <w:szCs w:val="15"/>
                <w:color w:val="auto"/>
              </w:rPr>
              <w:t>4,983,883</w:t>
            </w:r>
          </w:p>
        </w:tc>
        <w:tc>
          <w:tcPr>
            <w:tcW w:w="12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5,285,108</w:t>
            </w:r>
          </w:p>
        </w:tc>
        <w:tc>
          <w:tcPr>
            <w:tcW w:w="300" w:type="dxa"/>
            <w:vAlign w:val="bottom"/>
          </w:tcPr>
          <w:p>
            <w:pPr>
              <w:spacing w:after="0"/>
              <w:rPr>
                <w:sz w:val="13"/>
                <w:szCs w:val="13"/>
                <w:color w:val="auto"/>
              </w:rPr>
            </w:pP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5,421,807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5"/>
                <w:szCs w:val="15"/>
                <w:color w:val="auto"/>
                <w:w w:val="80"/>
              </w:rPr>
              <w:t>6,165,530</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6,340,502</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6,725,496</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7,093,428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4820" w:type="dxa"/>
            <w:vAlign w:val="bottom"/>
            <w:gridSpan w:val="7"/>
          </w:tcPr>
          <w:p>
            <w:pPr>
              <w:spacing w:after="0"/>
              <w:rPr>
                <w:sz w:val="20"/>
                <w:szCs w:val="20"/>
                <w:color w:val="auto"/>
              </w:rPr>
            </w:pPr>
            <w:r>
              <w:rPr>
                <w:rFonts w:ascii="Arial" w:cs="Arial" w:eastAsia="Arial" w:hAnsi="Arial"/>
                <w:sz w:val="15"/>
                <w:szCs w:val="15"/>
                <w:color w:val="auto"/>
              </w:rPr>
              <w:t>DUE TO BANKS AND CORRESPONDENTS</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349,147</w:t>
            </w:r>
          </w:p>
        </w:tc>
        <w:tc>
          <w:tcPr>
            <w:tcW w:w="30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392,511</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463,054</w:t>
            </w:r>
          </w:p>
        </w:tc>
        <w:tc>
          <w:tcPr>
            <w:tcW w:w="3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1,303,371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ACCEPTANCES OUTSTANDING</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51,804</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47,783</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50,756</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45,423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RESERVE FOR PROPERTY AND CASUALTY CLAIMS</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381,492</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398,439</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448,234</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464,578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RESERVE FOR UNEARNED PREMIUMS</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62,095</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66,678</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72,418</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81,516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REINSURANCE PAYABLE</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30,157</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23,612</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27,350</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36,580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BONDS AND SUBORDINATED DEBT</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424,889</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424,227</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406,832</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429,365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spacing w:after="0" w:line="162" w:lineRule="exact"/>
              <w:rPr>
                <w:sz w:val="20"/>
                <w:szCs w:val="20"/>
                <w:color w:val="auto"/>
              </w:rPr>
            </w:pPr>
            <w:r>
              <w:rPr>
                <w:rFonts w:ascii="Arial" w:cs="Arial" w:eastAsia="Arial" w:hAnsi="Arial"/>
                <w:sz w:val="15"/>
                <w:szCs w:val="15"/>
                <w:color w:val="auto"/>
              </w:rPr>
              <w:t>OTHER LIABILITIES</w:t>
            </w:r>
          </w:p>
        </w:tc>
        <w:tc>
          <w:tcPr>
            <w:tcW w:w="146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242,929</w:t>
            </w:r>
          </w:p>
        </w:tc>
        <w:tc>
          <w:tcPr>
            <w:tcW w:w="3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rPr>
              <w:t>276,387</w:t>
            </w:r>
          </w:p>
        </w:tc>
        <w:tc>
          <w:tcPr>
            <w:tcW w:w="1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331,739</w:t>
            </w:r>
          </w:p>
        </w:tc>
        <w:tc>
          <w:tcPr>
            <w:tcW w:w="300" w:type="dxa"/>
            <w:vAlign w:val="bottom"/>
          </w:tcPr>
          <w:p>
            <w:pPr>
              <w:spacing w:after="0"/>
              <w:rPr>
                <w:sz w:val="14"/>
                <w:szCs w:val="14"/>
                <w:color w:val="auto"/>
              </w:rPr>
            </w:pP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303,637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gridSpan w:val="7"/>
          </w:tcPr>
          <w:p>
            <w:pPr>
              <w:spacing w:after="0"/>
              <w:rPr>
                <w:sz w:val="20"/>
                <w:szCs w:val="20"/>
                <w:color w:val="auto"/>
              </w:rPr>
            </w:pPr>
            <w:r>
              <w:rPr>
                <w:rFonts w:ascii="Arial" w:cs="Arial" w:eastAsia="Arial" w:hAnsi="Arial"/>
                <w:sz w:val="15"/>
                <w:szCs w:val="15"/>
                <w:color w:val="auto"/>
              </w:rPr>
              <w:t>MINORITY INTEREST</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77,776</w:t>
            </w:r>
          </w:p>
        </w:tc>
        <w:tc>
          <w:tcPr>
            <w:tcW w:w="300" w:type="dxa"/>
            <w:vAlign w:val="bottom"/>
          </w:tcPr>
          <w:p>
            <w:pPr>
              <w:spacing w:after="0"/>
              <w:rPr>
                <w:sz w:val="16"/>
                <w:szCs w:val="16"/>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85,253</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104,815</w:t>
            </w:r>
          </w:p>
        </w:tc>
        <w:tc>
          <w:tcPr>
            <w:tcW w:w="3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101,512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4"/>
          </w:tcPr>
          <w:p>
            <w:pPr>
              <w:jc w:val="center"/>
              <w:ind w:right="1480"/>
              <w:spacing w:after="0"/>
              <w:rPr>
                <w:sz w:val="20"/>
                <w:szCs w:val="20"/>
                <w:color w:val="auto"/>
              </w:rPr>
            </w:pPr>
            <w:r>
              <w:rPr>
                <w:rFonts w:ascii="Arial" w:cs="Arial" w:eastAsia="Arial" w:hAnsi="Arial"/>
                <w:sz w:val="15"/>
                <w:szCs w:val="15"/>
                <w:color w:val="auto"/>
              </w:rPr>
              <w:t>TOTAL LIABILITIES</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7,785,819</w:t>
            </w:r>
          </w:p>
        </w:tc>
        <w:tc>
          <w:tcPr>
            <w:tcW w:w="30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8,055,391</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8,630,694</w:t>
            </w:r>
          </w:p>
        </w:tc>
        <w:tc>
          <w:tcPr>
            <w:tcW w:w="3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9,859,410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gridSpan w:val="3"/>
          </w:tcPr>
          <w:p>
            <w:pPr>
              <w:jc w:val="center"/>
              <w:spacing w:after="0"/>
              <w:rPr>
                <w:sz w:val="20"/>
                <w:szCs w:val="20"/>
                <w:color w:val="auto"/>
              </w:rPr>
            </w:pPr>
            <w:r>
              <w:rPr>
                <w:rFonts w:ascii="Arial" w:cs="Arial" w:eastAsia="Arial" w:hAnsi="Arial"/>
                <w:sz w:val="15"/>
                <w:szCs w:val="15"/>
                <w:color w:val="auto"/>
                <w:w w:val="95"/>
              </w:rPr>
              <w:t>NET SHAREHOLDERS' EQUITY</w:t>
            </w:r>
          </w:p>
        </w:tc>
        <w:tc>
          <w:tcPr>
            <w:tcW w:w="148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1,001,649</w:t>
            </w:r>
          </w:p>
        </w:tc>
        <w:tc>
          <w:tcPr>
            <w:tcW w:w="30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1,065,197</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1,170,508</w:t>
            </w:r>
          </w:p>
        </w:tc>
        <w:tc>
          <w:tcPr>
            <w:tcW w:w="3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1,190,440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2120" w:type="dxa"/>
            <w:vAlign w:val="bottom"/>
            <w:gridSpan w:val="3"/>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gridSpan w:val="7"/>
          </w:tcPr>
          <w:p>
            <w:pPr>
              <w:jc w:val="center"/>
              <w:ind w:right="260"/>
              <w:spacing w:after="0"/>
              <w:rPr>
                <w:sz w:val="20"/>
                <w:szCs w:val="20"/>
                <w:color w:val="auto"/>
              </w:rPr>
            </w:pPr>
            <w:r>
              <w:rPr>
                <w:rFonts w:ascii="Arial" w:cs="Arial" w:eastAsia="Arial" w:hAnsi="Arial"/>
                <w:sz w:val="15"/>
                <w:szCs w:val="15"/>
                <w:color w:val="auto"/>
                <w:w w:val="96"/>
              </w:rPr>
              <w:t>TOTAL LIABILITIES and NET SHAREHOLDERS' EQUITY</w:t>
            </w:r>
          </w:p>
        </w:tc>
        <w:tc>
          <w:tcPr>
            <w:tcW w:w="1460" w:type="dxa"/>
            <w:vAlign w:val="bottom"/>
            <w:gridSpan w:val="3"/>
          </w:tcPr>
          <w:p>
            <w:pPr>
              <w:jc w:val="right"/>
              <w:ind w:right="20"/>
              <w:spacing w:after="0"/>
              <w:rPr>
                <w:sz w:val="20"/>
                <w:szCs w:val="20"/>
                <w:color w:val="auto"/>
              </w:rPr>
            </w:pPr>
            <w:r>
              <w:rPr>
                <w:rFonts w:ascii="Arial" w:cs="Arial" w:eastAsia="Arial" w:hAnsi="Arial"/>
                <w:sz w:val="15"/>
                <w:szCs w:val="15"/>
                <w:color w:val="auto"/>
              </w:rPr>
              <w:t>8,787,467</w:t>
            </w:r>
          </w:p>
        </w:tc>
        <w:tc>
          <w:tcPr>
            <w:tcW w:w="30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5"/>
                <w:szCs w:val="15"/>
                <w:color w:val="auto"/>
              </w:rPr>
              <w:t>9,120,588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9,801,202</w:t>
            </w:r>
          </w:p>
        </w:tc>
        <w:tc>
          <w:tcPr>
            <w:tcW w:w="300" w:type="dxa"/>
            <w:vAlign w:val="bottom"/>
          </w:tcPr>
          <w:p>
            <w:pPr>
              <w:spacing w:after="0"/>
              <w:rPr>
                <w:sz w:val="24"/>
                <w:szCs w:val="24"/>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5"/>
                <w:szCs w:val="15"/>
                <w:color w:val="auto"/>
              </w:rPr>
              <w:t>11,049,850</w:t>
            </w:r>
          </w:p>
        </w:tc>
        <w:tc>
          <w:tcPr>
            <w:tcW w:w="0" w:type="dxa"/>
            <w:vAlign w:val="bottom"/>
          </w:tcPr>
          <w:p>
            <w:pPr>
              <w:spacing w:after="0"/>
              <w:rPr>
                <w:sz w:val="1"/>
                <w:szCs w:val="1"/>
                <w:color w:val="auto"/>
              </w:rPr>
            </w:pPr>
          </w:p>
        </w:tc>
      </w:tr>
      <w:tr>
        <w:trPr>
          <w:trHeight w:val="307"/>
        </w:trPr>
        <w:tc>
          <w:tcPr>
            <w:tcW w:w="4820" w:type="dxa"/>
            <w:vAlign w:val="bottom"/>
            <w:tcBorders>
              <w:bottom w:val="single" w:sz="8" w:color="auto"/>
            </w:tcBorders>
            <w:gridSpan w:val="7"/>
          </w:tcPr>
          <w:p>
            <w:pPr>
              <w:spacing w:after="0"/>
              <w:rPr>
                <w:sz w:val="20"/>
                <w:szCs w:val="20"/>
                <w:color w:val="auto"/>
              </w:rPr>
            </w:pPr>
            <w:r>
              <w:rPr>
                <w:rFonts w:ascii="Arial" w:cs="Arial" w:eastAsia="Arial" w:hAnsi="Arial"/>
                <w:sz w:val="15"/>
                <w:szCs w:val="15"/>
                <w:color w:val="auto"/>
              </w:rPr>
              <w:t>CONTINGENT CREDITS</w:t>
            </w: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1,765,015</w:t>
            </w: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5"/>
                <w:szCs w:val="15"/>
                <w:color w:val="auto"/>
              </w:rPr>
              <w:t>2,017,731</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3,101,817</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2,962,498</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2</w:t>
      </w:r>
    </w:p>
    <w:p>
      <w:pPr>
        <w:jc w:val="center"/>
        <w:spacing w:after="0" w:line="230" w:lineRule="auto"/>
        <w:rPr>
          <w:sz w:val="20"/>
          <w:szCs w:val="20"/>
          <w:color w:val="auto"/>
        </w:rPr>
      </w:pPr>
      <w:r>
        <w:rPr>
          <w:rFonts w:ascii="Arial" w:cs="Arial" w:eastAsia="Arial" w:hAnsi="Arial"/>
          <w:sz w:val="22"/>
          <w:szCs w:val="22"/>
          <w:b w:val="1"/>
          <w:bCs w:val="1"/>
          <w:color w:val="auto"/>
        </w:rPr>
        <w:t>CONSOLIDATED INCOME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8"/>
          </w:tcPr>
          <w:p>
            <w:pPr>
              <w:jc w:val="center"/>
              <w:ind w:right="180"/>
              <w:spacing w:after="0"/>
              <w:rPr>
                <w:sz w:val="20"/>
                <w:szCs w:val="20"/>
                <w:color w:val="auto"/>
              </w:rPr>
            </w:pPr>
            <w:r>
              <w:rPr>
                <w:rFonts w:ascii="Arial" w:cs="Arial" w:eastAsia="Arial" w:hAnsi="Arial"/>
                <w:sz w:val="15"/>
                <w:szCs w:val="15"/>
                <w:b w:val="1"/>
                <w:bCs w:val="1"/>
                <w:color w:val="auto"/>
                <w:w w:val="88"/>
              </w:rPr>
              <w:t>Three months ended</w:t>
            </w:r>
          </w:p>
        </w:tc>
        <w:tc>
          <w:tcPr>
            <w:tcW w:w="5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2"/>
          </w:tcPr>
          <w:p>
            <w:pPr>
              <w:jc w:val="right"/>
              <w:ind w:right="506"/>
              <w:spacing w:after="0"/>
              <w:rPr>
                <w:sz w:val="20"/>
                <w:szCs w:val="20"/>
                <w:color w:val="auto"/>
              </w:rPr>
            </w:pPr>
            <w:r>
              <w:rPr>
                <w:rFonts w:ascii="Arial" w:cs="Arial" w:eastAsia="Arial" w:hAnsi="Arial"/>
                <w:sz w:val="15"/>
                <w:szCs w:val="15"/>
                <w:b w:val="1"/>
                <w:bCs w:val="1"/>
                <w:color w:val="auto"/>
              </w:rPr>
              <w:t>Twelve months ended</w:t>
            </w:r>
          </w:p>
        </w:tc>
        <w:tc>
          <w:tcPr>
            <w:tcW w:w="0" w:type="dxa"/>
            <w:vAlign w:val="bottom"/>
          </w:tcPr>
          <w:p>
            <w:pPr>
              <w:spacing w:after="0"/>
              <w:rPr>
                <w:sz w:val="1"/>
                <w:szCs w:val="1"/>
                <w:color w:val="auto"/>
              </w:rPr>
            </w:pPr>
          </w:p>
        </w:tc>
      </w:tr>
      <w:tr>
        <w:trPr>
          <w:trHeight w:val="169"/>
        </w:trPr>
        <w:tc>
          <w:tcPr>
            <w:tcW w:w="1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216"/>
              <w:spacing w:after="0" w:line="169" w:lineRule="exact"/>
              <w:rPr>
                <w:sz w:val="20"/>
                <w:szCs w:val="20"/>
                <w:color w:val="auto"/>
              </w:rPr>
            </w:pPr>
            <w:r>
              <w:rPr>
                <w:rFonts w:ascii="Arial" w:cs="Arial" w:eastAsia="Arial" w:hAnsi="Arial"/>
                <w:sz w:val="15"/>
                <w:szCs w:val="15"/>
                <w:b w:val="1"/>
                <w:bCs w:val="1"/>
                <w:color w:val="auto"/>
              </w:rPr>
              <w:t>31.12.04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151"/>
              <w:spacing w:after="0" w:line="169" w:lineRule="exact"/>
              <w:rPr>
                <w:sz w:val="20"/>
                <w:szCs w:val="20"/>
                <w:color w:val="auto"/>
              </w:rPr>
            </w:pPr>
            <w:r>
              <w:rPr>
                <w:rFonts w:ascii="Arial" w:cs="Arial" w:eastAsia="Arial" w:hAnsi="Arial"/>
                <w:sz w:val="15"/>
                <w:szCs w:val="15"/>
                <w:b w:val="1"/>
                <w:bCs w:val="1"/>
                <w:color w:val="auto"/>
              </w:rPr>
              <w:t>30.09.05</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151"/>
              <w:spacing w:after="0" w:line="169" w:lineRule="exact"/>
              <w:rPr>
                <w:sz w:val="20"/>
                <w:szCs w:val="20"/>
                <w:color w:val="auto"/>
              </w:rPr>
            </w:pPr>
            <w:r>
              <w:rPr>
                <w:rFonts w:ascii="Arial" w:cs="Arial" w:eastAsia="Arial" w:hAnsi="Arial"/>
                <w:sz w:val="15"/>
                <w:szCs w:val="15"/>
                <w:b w:val="1"/>
                <w:bCs w:val="1"/>
                <w:color w:val="auto"/>
              </w:rPr>
              <w:t>31.12.05</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6"/>
              <w:spacing w:after="0" w:line="169" w:lineRule="exact"/>
              <w:rPr>
                <w:sz w:val="20"/>
                <w:szCs w:val="20"/>
                <w:color w:val="auto"/>
              </w:rPr>
            </w:pPr>
            <w:r>
              <w:rPr>
                <w:rFonts w:ascii="Arial" w:cs="Arial" w:eastAsia="Arial" w:hAnsi="Arial"/>
                <w:sz w:val="15"/>
                <w:szCs w:val="15"/>
                <w:b w:val="1"/>
                <w:bCs w:val="1"/>
                <w:color w:val="auto"/>
              </w:rPr>
              <w:t>31.12.04</w:t>
            </w:r>
          </w:p>
        </w:tc>
        <w:tc>
          <w:tcPr>
            <w:tcW w:w="110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31.12.05</w:t>
            </w:r>
          </w:p>
        </w:tc>
        <w:tc>
          <w:tcPr>
            <w:tcW w:w="0" w:type="dxa"/>
            <w:vAlign w:val="bottom"/>
          </w:tcPr>
          <w:p>
            <w:pPr>
              <w:spacing w:after="0"/>
              <w:rPr>
                <w:sz w:val="1"/>
                <w:szCs w:val="1"/>
                <w:color w:val="auto"/>
              </w:rPr>
            </w:pPr>
          </w:p>
        </w:tc>
      </w:tr>
      <w:tr>
        <w:trPr>
          <w:trHeight w:val="160"/>
        </w:trPr>
        <w:tc>
          <w:tcPr>
            <w:tcW w:w="4820" w:type="dxa"/>
            <w:vAlign w:val="bottom"/>
            <w:gridSpan w:val="3"/>
          </w:tcPr>
          <w:p>
            <w:pPr>
              <w:spacing w:after="0" w:line="160" w:lineRule="exact"/>
              <w:rPr>
                <w:sz w:val="20"/>
                <w:szCs w:val="20"/>
                <w:color w:val="auto"/>
              </w:rPr>
            </w:pPr>
            <w:r>
              <w:rPr>
                <w:rFonts w:ascii="Arial" w:cs="Arial" w:eastAsia="Arial" w:hAnsi="Arial"/>
                <w:sz w:val="15"/>
                <w:szCs w:val="15"/>
                <w:b w:val="1"/>
                <w:bCs w:val="1"/>
                <w:color w:val="auto"/>
              </w:rPr>
              <w:t>INTEREST INCOME</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loans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114,001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115,828</w:t>
            </w: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118,414</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426,537</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446,582</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and dividends on investments: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2,534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381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957</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3,492</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1,925</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deposits with banks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7,096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8,409</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11,723</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20,143</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37,127</w:t>
            </w:r>
          </w:p>
        </w:tc>
        <w:tc>
          <w:tcPr>
            <w:tcW w:w="0" w:type="dxa"/>
            <w:vAlign w:val="bottom"/>
          </w:tcPr>
          <w:p>
            <w:pPr>
              <w:spacing w:after="0"/>
              <w:rPr>
                <w:sz w:val="1"/>
                <w:szCs w:val="1"/>
                <w:color w:val="auto"/>
              </w:rPr>
            </w:pPr>
          </w:p>
        </w:tc>
      </w:tr>
      <w:tr>
        <w:trPr>
          <w:trHeight w:val="158"/>
        </w:trPr>
        <w:tc>
          <w:tcPr>
            <w:tcW w:w="48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Interest on trading securities</w:t>
            </w:r>
          </w:p>
        </w:tc>
        <w:tc>
          <w:tcPr>
            <w:tcW w:w="11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23,608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32,977</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34,742</w:t>
            </w:r>
          </w:p>
        </w:tc>
        <w:tc>
          <w:tcPr>
            <w:tcW w:w="260" w:type="dxa"/>
            <w:vAlign w:val="bottom"/>
          </w:tcPr>
          <w:p>
            <w:pPr>
              <w:spacing w:after="0"/>
              <w:rPr>
                <w:sz w:val="13"/>
                <w:szCs w:val="13"/>
                <w:color w:val="auto"/>
              </w:rPr>
            </w:pPr>
          </w:p>
        </w:tc>
        <w:tc>
          <w:tcPr>
            <w:tcW w:w="134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92,235</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130,215</w:t>
            </w:r>
          </w:p>
        </w:tc>
        <w:tc>
          <w:tcPr>
            <w:tcW w:w="0" w:type="dxa"/>
            <w:vAlign w:val="bottom"/>
          </w:tcPr>
          <w:p>
            <w:pPr>
              <w:spacing w:after="0"/>
              <w:rPr>
                <w:sz w:val="1"/>
                <w:szCs w:val="1"/>
                <w:color w:val="auto"/>
              </w:rPr>
            </w:pPr>
          </w:p>
        </w:tc>
      </w:tr>
      <w:tr>
        <w:trPr>
          <w:trHeight w:val="142"/>
        </w:trPr>
        <w:tc>
          <w:tcPr>
            <w:tcW w:w="4820" w:type="dxa"/>
            <w:vAlign w:val="bottom"/>
            <w:gridSpan w:val="3"/>
          </w:tcPr>
          <w:p>
            <w:pPr>
              <w:jc w:val="center"/>
              <w:ind w:right="260"/>
              <w:spacing w:after="0" w:line="142" w:lineRule="exact"/>
              <w:rPr>
                <w:sz w:val="20"/>
                <w:szCs w:val="20"/>
                <w:color w:val="auto"/>
              </w:rPr>
            </w:pPr>
            <w:r>
              <w:rPr>
                <w:rFonts w:ascii="Arial" w:cs="Arial" w:eastAsia="Arial" w:hAnsi="Arial"/>
                <w:sz w:val="15"/>
                <w:szCs w:val="15"/>
                <w:color w:val="auto"/>
                <w:w w:val="90"/>
              </w:rPr>
              <w:t>Total Interest Income</w:t>
            </w:r>
          </w:p>
        </w:tc>
        <w:tc>
          <w:tcPr>
            <w:tcW w:w="6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70"/>
              </w:rPr>
              <w:t>147,239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70"/>
              </w:rPr>
              <w:t>157,595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70"/>
              </w:rPr>
              <w:t>165,836</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206"/>
              <w:spacing w:after="0" w:line="142" w:lineRule="exact"/>
              <w:rPr>
                <w:sz w:val="20"/>
                <w:szCs w:val="20"/>
                <w:color w:val="auto"/>
              </w:rPr>
            </w:pPr>
            <w:r>
              <w:rPr>
                <w:rFonts w:ascii="Arial" w:cs="Arial" w:eastAsia="Arial" w:hAnsi="Arial"/>
                <w:sz w:val="15"/>
                <w:szCs w:val="15"/>
                <w:color w:val="auto"/>
              </w:rPr>
              <w:t>542,407</w:t>
            </w:r>
          </w:p>
        </w:tc>
        <w:tc>
          <w:tcPr>
            <w:tcW w:w="1100" w:type="dxa"/>
            <w:vAlign w:val="bottom"/>
          </w:tcPr>
          <w:p>
            <w:pPr>
              <w:jc w:val="right"/>
              <w:spacing w:after="0" w:line="142" w:lineRule="exact"/>
              <w:rPr>
                <w:sz w:val="20"/>
                <w:szCs w:val="20"/>
                <w:color w:val="auto"/>
              </w:rPr>
            </w:pPr>
            <w:r>
              <w:rPr>
                <w:rFonts w:ascii="Arial" w:cs="Arial" w:eastAsia="Arial" w:hAnsi="Arial"/>
                <w:sz w:val="15"/>
                <w:szCs w:val="15"/>
                <w:color w:val="auto"/>
              </w:rPr>
              <w:t>615,850</w:t>
            </w:r>
          </w:p>
        </w:tc>
        <w:tc>
          <w:tcPr>
            <w:tcW w:w="0" w:type="dxa"/>
            <w:vAlign w:val="bottom"/>
          </w:tcPr>
          <w:p>
            <w:pPr>
              <w:spacing w:after="0"/>
              <w:rPr>
                <w:sz w:val="1"/>
                <w:szCs w:val="1"/>
                <w:color w:val="auto"/>
              </w:rPr>
            </w:pPr>
          </w:p>
        </w:tc>
      </w:tr>
      <w:tr>
        <w:trPr>
          <w:trHeight w:val="308"/>
        </w:trPr>
        <w:tc>
          <w:tcPr>
            <w:tcW w:w="4820" w:type="dxa"/>
            <w:vAlign w:val="bottom"/>
            <w:gridSpan w:val="3"/>
          </w:tcPr>
          <w:p>
            <w:pPr>
              <w:spacing w:after="0"/>
              <w:rPr>
                <w:sz w:val="20"/>
                <w:szCs w:val="20"/>
                <w:color w:val="auto"/>
              </w:rPr>
            </w:pPr>
            <w:r>
              <w:rPr>
                <w:rFonts w:ascii="Arial" w:cs="Arial" w:eastAsia="Arial" w:hAnsi="Arial"/>
                <w:sz w:val="15"/>
                <w:szCs w:val="15"/>
                <w:b w:val="1"/>
                <w:bCs w:val="1"/>
                <w:color w:val="auto"/>
              </w:rPr>
              <w:t>INTEREST EXPENSE</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deposits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27,245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30,261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33,121</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95,497</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117,655</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borrowed funds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4,337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5,664</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7,387</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16,367</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21,805</w:t>
            </w:r>
          </w:p>
        </w:tc>
        <w:tc>
          <w:tcPr>
            <w:tcW w:w="0" w:type="dxa"/>
            <w:vAlign w:val="bottom"/>
          </w:tcPr>
          <w:p>
            <w:pPr>
              <w:spacing w:after="0"/>
              <w:rPr>
                <w:sz w:val="1"/>
                <w:szCs w:val="1"/>
                <w:color w:val="auto"/>
              </w:rPr>
            </w:pPr>
          </w:p>
        </w:tc>
      </w:tr>
      <w:tr>
        <w:trPr>
          <w:trHeight w:val="158"/>
        </w:trPr>
        <w:tc>
          <w:tcPr>
            <w:tcW w:w="48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Other interest expense</w:t>
            </w:r>
          </w:p>
        </w:tc>
        <w:tc>
          <w:tcPr>
            <w:tcW w:w="11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9,546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7,991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7,954</w:t>
            </w:r>
          </w:p>
        </w:tc>
        <w:tc>
          <w:tcPr>
            <w:tcW w:w="260" w:type="dxa"/>
            <w:vAlign w:val="bottom"/>
          </w:tcPr>
          <w:p>
            <w:pPr>
              <w:spacing w:after="0"/>
              <w:rPr>
                <w:sz w:val="13"/>
                <w:szCs w:val="13"/>
                <w:color w:val="auto"/>
              </w:rPr>
            </w:pPr>
          </w:p>
        </w:tc>
        <w:tc>
          <w:tcPr>
            <w:tcW w:w="134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48,038</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37,116</w:t>
            </w:r>
          </w:p>
        </w:tc>
        <w:tc>
          <w:tcPr>
            <w:tcW w:w="0" w:type="dxa"/>
            <w:vAlign w:val="bottom"/>
          </w:tcPr>
          <w:p>
            <w:pPr>
              <w:spacing w:after="0"/>
              <w:rPr>
                <w:sz w:val="1"/>
                <w:szCs w:val="1"/>
                <w:color w:val="auto"/>
              </w:rPr>
            </w:pPr>
          </w:p>
        </w:tc>
      </w:tr>
      <w:tr>
        <w:trPr>
          <w:trHeight w:val="142"/>
        </w:trPr>
        <w:tc>
          <w:tcPr>
            <w:tcW w:w="4820" w:type="dxa"/>
            <w:vAlign w:val="bottom"/>
            <w:gridSpan w:val="3"/>
          </w:tcPr>
          <w:p>
            <w:pPr>
              <w:jc w:val="center"/>
              <w:ind w:right="260"/>
              <w:spacing w:after="0" w:line="142" w:lineRule="exact"/>
              <w:rPr>
                <w:sz w:val="20"/>
                <w:szCs w:val="20"/>
                <w:color w:val="auto"/>
              </w:rPr>
            </w:pPr>
            <w:r>
              <w:rPr>
                <w:rFonts w:ascii="Arial" w:cs="Arial" w:eastAsia="Arial" w:hAnsi="Arial"/>
                <w:sz w:val="15"/>
                <w:szCs w:val="15"/>
                <w:color w:val="auto"/>
                <w:w w:val="87"/>
              </w:rPr>
              <w:t>Total Interest Expense</w:t>
            </w:r>
          </w:p>
        </w:tc>
        <w:tc>
          <w:tcPr>
            <w:tcW w:w="6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75"/>
              </w:rPr>
              <w:t>41,129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4"/>
              </w:rPr>
              <w:t>43,916</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4"/>
              </w:rPr>
              <w:t>48,462</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206"/>
              <w:spacing w:after="0" w:line="142" w:lineRule="exact"/>
              <w:rPr>
                <w:sz w:val="20"/>
                <w:szCs w:val="20"/>
                <w:color w:val="auto"/>
              </w:rPr>
            </w:pPr>
            <w:r>
              <w:rPr>
                <w:rFonts w:ascii="Arial" w:cs="Arial" w:eastAsia="Arial" w:hAnsi="Arial"/>
                <w:sz w:val="15"/>
                <w:szCs w:val="15"/>
                <w:color w:val="auto"/>
              </w:rPr>
              <w:t>159,902</w:t>
            </w:r>
          </w:p>
        </w:tc>
        <w:tc>
          <w:tcPr>
            <w:tcW w:w="1100" w:type="dxa"/>
            <w:vAlign w:val="bottom"/>
          </w:tcPr>
          <w:p>
            <w:pPr>
              <w:jc w:val="right"/>
              <w:spacing w:after="0" w:line="142" w:lineRule="exact"/>
              <w:rPr>
                <w:sz w:val="20"/>
                <w:szCs w:val="20"/>
                <w:color w:val="auto"/>
              </w:rPr>
            </w:pPr>
            <w:r>
              <w:rPr>
                <w:rFonts w:ascii="Arial" w:cs="Arial" w:eastAsia="Arial" w:hAnsi="Arial"/>
                <w:sz w:val="15"/>
                <w:szCs w:val="15"/>
                <w:color w:val="auto"/>
              </w:rPr>
              <w:t>176,576</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4"/>
                <w:szCs w:val="24"/>
                <w:color w:val="auto"/>
              </w:rPr>
            </w:pPr>
          </w:p>
        </w:tc>
        <w:tc>
          <w:tcPr>
            <w:tcW w:w="3140" w:type="dxa"/>
            <w:vAlign w:val="bottom"/>
            <w:gridSpan w:val="2"/>
          </w:tcPr>
          <w:p>
            <w:pPr>
              <w:jc w:val="center"/>
              <w:ind w:right="1960"/>
              <w:spacing w:after="0"/>
              <w:rPr>
                <w:sz w:val="20"/>
                <w:szCs w:val="20"/>
                <w:color w:val="auto"/>
              </w:rPr>
            </w:pPr>
            <w:r>
              <w:rPr>
                <w:rFonts w:ascii="Arial" w:cs="Arial" w:eastAsia="Arial" w:hAnsi="Arial"/>
                <w:sz w:val="15"/>
                <w:szCs w:val="15"/>
                <w:color w:val="auto"/>
                <w:w w:val="90"/>
              </w:rPr>
              <w:t>Net Interest Income</w:t>
            </w:r>
          </w:p>
        </w:tc>
        <w:tc>
          <w:tcPr>
            <w:tcW w:w="1100" w:type="dxa"/>
            <w:vAlign w:val="bottom"/>
            <w:gridSpan w:val="5"/>
          </w:tcPr>
          <w:p>
            <w:pPr>
              <w:jc w:val="right"/>
              <w:spacing w:after="0"/>
              <w:rPr>
                <w:sz w:val="20"/>
                <w:szCs w:val="20"/>
                <w:color w:val="auto"/>
              </w:rPr>
            </w:pPr>
            <w:r>
              <w:rPr>
                <w:rFonts w:ascii="Arial" w:cs="Arial" w:eastAsia="Arial" w:hAnsi="Arial"/>
                <w:sz w:val="15"/>
                <w:szCs w:val="15"/>
                <w:color w:val="auto"/>
              </w:rPr>
              <w:t>106,110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7"/>
          </w:tcPr>
          <w:p>
            <w:pPr>
              <w:jc w:val="right"/>
              <w:ind w:right="40"/>
              <w:spacing w:after="0"/>
              <w:rPr>
                <w:sz w:val="20"/>
                <w:szCs w:val="20"/>
                <w:color w:val="auto"/>
              </w:rPr>
            </w:pPr>
            <w:r>
              <w:rPr>
                <w:rFonts w:ascii="Arial" w:cs="Arial" w:eastAsia="Arial" w:hAnsi="Arial"/>
                <w:sz w:val="15"/>
                <w:szCs w:val="15"/>
                <w:color w:val="auto"/>
              </w:rPr>
              <w:t>113,679</w:t>
            </w:r>
          </w:p>
        </w:tc>
        <w:tc>
          <w:tcPr>
            <w:tcW w:w="300" w:type="dxa"/>
            <w:vAlign w:val="bottom"/>
          </w:tcPr>
          <w:p>
            <w:pPr>
              <w:spacing w:after="0"/>
              <w:rPr>
                <w:sz w:val="24"/>
                <w:szCs w:val="24"/>
                <w:color w:val="auto"/>
              </w:rPr>
            </w:pPr>
          </w:p>
        </w:tc>
        <w:tc>
          <w:tcPr>
            <w:tcW w:w="1080" w:type="dxa"/>
            <w:vAlign w:val="bottom"/>
            <w:gridSpan w:val="7"/>
          </w:tcPr>
          <w:p>
            <w:pPr>
              <w:jc w:val="right"/>
              <w:ind w:right="40"/>
              <w:spacing w:after="0"/>
              <w:rPr>
                <w:sz w:val="20"/>
                <w:szCs w:val="20"/>
                <w:color w:val="auto"/>
              </w:rPr>
            </w:pPr>
            <w:r>
              <w:rPr>
                <w:rFonts w:ascii="Arial" w:cs="Arial" w:eastAsia="Arial" w:hAnsi="Arial"/>
                <w:sz w:val="15"/>
                <w:szCs w:val="15"/>
                <w:color w:val="auto"/>
              </w:rPr>
              <w:t>117,374</w:t>
            </w:r>
          </w:p>
        </w:tc>
        <w:tc>
          <w:tcPr>
            <w:tcW w:w="260" w:type="dxa"/>
            <w:vAlign w:val="bottom"/>
          </w:tcPr>
          <w:p>
            <w:pPr>
              <w:spacing w:after="0"/>
              <w:rPr>
                <w:sz w:val="24"/>
                <w:szCs w:val="24"/>
                <w:color w:val="auto"/>
              </w:rPr>
            </w:pPr>
          </w:p>
        </w:tc>
        <w:tc>
          <w:tcPr>
            <w:tcW w:w="1340" w:type="dxa"/>
            <w:vAlign w:val="bottom"/>
          </w:tcPr>
          <w:p>
            <w:pPr>
              <w:jc w:val="right"/>
              <w:ind w:right="206"/>
              <w:spacing w:after="0"/>
              <w:rPr>
                <w:sz w:val="20"/>
                <w:szCs w:val="20"/>
                <w:color w:val="auto"/>
              </w:rPr>
            </w:pPr>
            <w:r>
              <w:rPr>
                <w:rFonts w:ascii="Arial" w:cs="Arial" w:eastAsia="Arial" w:hAnsi="Arial"/>
                <w:sz w:val="15"/>
                <w:szCs w:val="15"/>
                <w:color w:val="auto"/>
              </w:rPr>
              <w:t>382,505</w:t>
            </w:r>
          </w:p>
        </w:tc>
        <w:tc>
          <w:tcPr>
            <w:tcW w:w="1100" w:type="dxa"/>
            <w:vAlign w:val="bottom"/>
          </w:tcPr>
          <w:p>
            <w:pPr>
              <w:jc w:val="right"/>
              <w:spacing w:after="0"/>
              <w:rPr>
                <w:sz w:val="20"/>
                <w:szCs w:val="20"/>
                <w:color w:val="auto"/>
              </w:rPr>
            </w:pPr>
            <w:r>
              <w:rPr>
                <w:rFonts w:ascii="Arial" w:cs="Arial" w:eastAsia="Arial" w:hAnsi="Arial"/>
                <w:sz w:val="15"/>
                <w:szCs w:val="15"/>
                <w:color w:val="auto"/>
              </w:rPr>
              <w:t>439,274</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gridSpan w:val="3"/>
          </w:tcPr>
          <w:p>
            <w:pPr>
              <w:spacing w:after="0"/>
              <w:rPr>
                <w:sz w:val="20"/>
                <w:szCs w:val="20"/>
                <w:color w:val="auto"/>
              </w:rPr>
            </w:pPr>
            <w:r>
              <w:rPr>
                <w:rFonts w:ascii="Arial" w:cs="Arial" w:eastAsia="Arial" w:hAnsi="Arial"/>
                <w:sz w:val="15"/>
                <w:szCs w:val="15"/>
                <w:color w:val="auto"/>
              </w:rPr>
              <w:t>Provision for possible loan losses, net (1)</w:t>
            </w:r>
          </w:p>
        </w:tc>
        <w:tc>
          <w:tcPr>
            <w:tcW w:w="1100" w:type="dxa"/>
            <w:vAlign w:val="bottom"/>
            <w:gridSpan w:val="5"/>
          </w:tcPr>
          <w:p>
            <w:pPr>
              <w:jc w:val="right"/>
              <w:spacing w:after="0"/>
              <w:rPr>
                <w:sz w:val="20"/>
                <w:szCs w:val="20"/>
                <w:color w:val="auto"/>
              </w:rPr>
            </w:pPr>
            <w:r>
              <w:rPr>
                <w:rFonts w:ascii="Arial" w:cs="Arial" w:eastAsia="Arial" w:hAnsi="Arial"/>
                <w:sz w:val="15"/>
                <w:szCs w:val="15"/>
                <w:color w:val="auto"/>
              </w:rPr>
              <w:t>5,259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8"/>
          </w:tcPr>
          <w:p>
            <w:pPr>
              <w:jc w:val="right"/>
              <w:ind w:right="300"/>
              <w:spacing w:after="0"/>
              <w:rPr>
                <w:sz w:val="20"/>
                <w:szCs w:val="20"/>
                <w:color w:val="auto"/>
              </w:rPr>
            </w:pPr>
            <w:r>
              <w:rPr>
                <w:rFonts w:ascii="Arial" w:cs="Arial" w:eastAsia="Arial" w:hAnsi="Arial"/>
                <w:sz w:val="15"/>
                <w:szCs w:val="15"/>
                <w:color w:val="auto"/>
              </w:rPr>
              <w:t>(4,886)</w:t>
            </w:r>
          </w:p>
        </w:tc>
        <w:tc>
          <w:tcPr>
            <w:tcW w:w="1080" w:type="dxa"/>
            <w:vAlign w:val="bottom"/>
            <w:gridSpan w:val="7"/>
          </w:tcPr>
          <w:p>
            <w:pPr>
              <w:jc w:val="right"/>
              <w:ind w:right="40"/>
              <w:spacing w:after="0"/>
              <w:rPr>
                <w:sz w:val="20"/>
                <w:szCs w:val="20"/>
                <w:color w:val="auto"/>
              </w:rPr>
            </w:pPr>
            <w:r>
              <w:rPr>
                <w:rFonts w:ascii="Arial" w:cs="Arial" w:eastAsia="Arial" w:hAnsi="Arial"/>
                <w:sz w:val="15"/>
                <w:szCs w:val="15"/>
                <w:color w:val="auto"/>
              </w:rPr>
              <w:t>3,730</w:t>
            </w:r>
          </w:p>
        </w:tc>
        <w:tc>
          <w:tcPr>
            <w:tcW w:w="260" w:type="dxa"/>
            <w:vAlign w:val="bottom"/>
          </w:tcPr>
          <w:p>
            <w:pPr>
              <w:spacing w:after="0"/>
              <w:rPr>
                <w:sz w:val="24"/>
                <w:szCs w:val="24"/>
                <w:color w:val="auto"/>
              </w:rPr>
            </w:pPr>
          </w:p>
        </w:tc>
        <w:tc>
          <w:tcPr>
            <w:tcW w:w="1340" w:type="dxa"/>
            <w:vAlign w:val="bottom"/>
          </w:tcPr>
          <w:p>
            <w:pPr>
              <w:jc w:val="right"/>
              <w:ind w:right="206"/>
              <w:spacing w:after="0"/>
              <w:rPr>
                <w:sz w:val="20"/>
                <w:szCs w:val="20"/>
                <w:color w:val="auto"/>
              </w:rPr>
            </w:pPr>
            <w:r>
              <w:rPr>
                <w:rFonts w:ascii="Arial" w:cs="Arial" w:eastAsia="Arial" w:hAnsi="Arial"/>
                <w:sz w:val="15"/>
                <w:szCs w:val="15"/>
                <w:color w:val="auto"/>
              </w:rPr>
              <w:t>16,131</w:t>
            </w:r>
          </w:p>
        </w:tc>
        <w:tc>
          <w:tcPr>
            <w:tcW w:w="1100" w:type="dxa"/>
            <w:vAlign w:val="bottom"/>
          </w:tcPr>
          <w:p>
            <w:pPr>
              <w:jc w:val="right"/>
              <w:spacing w:after="0"/>
              <w:rPr>
                <w:sz w:val="20"/>
                <w:szCs w:val="20"/>
                <w:color w:val="auto"/>
              </w:rPr>
            </w:pPr>
            <w:r>
              <w:rPr>
                <w:rFonts w:ascii="Arial" w:cs="Arial" w:eastAsia="Arial" w:hAnsi="Arial"/>
                <w:sz w:val="15"/>
                <w:szCs w:val="15"/>
                <w:color w:val="auto"/>
              </w:rPr>
              <w:t>(6,356)</w:t>
            </w:r>
          </w:p>
        </w:tc>
        <w:tc>
          <w:tcPr>
            <w:tcW w:w="0" w:type="dxa"/>
            <w:vAlign w:val="bottom"/>
          </w:tcPr>
          <w:p>
            <w:pPr>
              <w:spacing w:after="0"/>
              <w:rPr>
                <w:sz w:val="1"/>
                <w:szCs w:val="1"/>
                <w:color w:val="auto"/>
              </w:rPr>
            </w:pPr>
          </w:p>
        </w:tc>
      </w:tr>
      <w:tr>
        <w:trPr>
          <w:trHeight w:val="294"/>
        </w:trPr>
        <w:tc>
          <w:tcPr>
            <w:tcW w:w="4820" w:type="dxa"/>
            <w:vAlign w:val="bottom"/>
            <w:gridSpan w:val="3"/>
          </w:tcPr>
          <w:p>
            <w:pPr>
              <w:spacing w:after="0"/>
              <w:rPr>
                <w:sz w:val="20"/>
                <w:szCs w:val="20"/>
                <w:color w:val="auto"/>
              </w:rPr>
            </w:pPr>
            <w:r>
              <w:rPr>
                <w:rFonts w:ascii="Arial" w:cs="Arial" w:eastAsia="Arial" w:hAnsi="Arial"/>
                <w:sz w:val="15"/>
                <w:szCs w:val="15"/>
                <w:b w:val="1"/>
                <w:bCs w:val="1"/>
                <w:color w:val="auto"/>
              </w:rPr>
              <w:t>Net interest income after provision for</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20" w:type="dxa"/>
            <w:vAlign w:val="bottom"/>
            <w:gridSpan w:val="3"/>
          </w:tcPr>
          <w:p>
            <w:pPr>
              <w:ind w:left="120"/>
              <w:spacing w:after="0"/>
              <w:rPr>
                <w:sz w:val="20"/>
                <w:szCs w:val="20"/>
                <w:color w:val="auto"/>
              </w:rPr>
            </w:pPr>
            <w:r>
              <w:rPr>
                <w:rFonts w:ascii="Arial" w:cs="Arial" w:eastAsia="Arial" w:hAnsi="Arial"/>
                <w:sz w:val="15"/>
                <w:szCs w:val="15"/>
                <w:b w:val="1"/>
                <w:bCs w:val="1"/>
                <w:color w:val="auto"/>
              </w:rPr>
              <w:t>possible loan losses</w:t>
            </w:r>
          </w:p>
        </w:tc>
        <w:tc>
          <w:tcPr>
            <w:tcW w:w="1100" w:type="dxa"/>
            <w:vAlign w:val="bottom"/>
            <w:gridSpan w:val="5"/>
          </w:tcPr>
          <w:p>
            <w:pPr>
              <w:jc w:val="right"/>
              <w:spacing w:after="0"/>
              <w:rPr>
                <w:sz w:val="20"/>
                <w:szCs w:val="20"/>
                <w:color w:val="auto"/>
              </w:rPr>
            </w:pPr>
            <w:r>
              <w:rPr>
                <w:rFonts w:ascii="Arial" w:cs="Arial" w:eastAsia="Arial" w:hAnsi="Arial"/>
                <w:sz w:val="15"/>
                <w:szCs w:val="15"/>
                <w:b w:val="1"/>
                <w:bCs w:val="1"/>
                <w:color w:val="auto"/>
              </w:rPr>
              <w:t>100,851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6"/>
          </w:tcPr>
          <w:p>
            <w:pPr>
              <w:jc w:val="right"/>
              <w:spacing w:after="0"/>
              <w:rPr>
                <w:sz w:val="20"/>
                <w:szCs w:val="20"/>
                <w:color w:val="auto"/>
              </w:rPr>
            </w:pPr>
            <w:r>
              <w:rPr>
                <w:rFonts w:ascii="Arial" w:cs="Arial" w:eastAsia="Arial" w:hAnsi="Arial"/>
                <w:sz w:val="15"/>
                <w:szCs w:val="15"/>
                <w:b w:val="1"/>
                <w:bCs w:val="1"/>
                <w:color w:val="auto"/>
              </w:rPr>
              <w:t>118,565</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7"/>
          </w:tcPr>
          <w:p>
            <w:pPr>
              <w:jc w:val="right"/>
              <w:ind w:right="40"/>
              <w:spacing w:after="0"/>
              <w:rPr>
                <w:sz w:val="20"/>
                <w:szCs w:val="20"/>
                <w:color w:val="auto"/>
              </w:rPr>
            </w:pPr>
            <w:r>
              <w:rPr>
                <w:rFonts w:ascii="Arial" w:cs="Arial" w:eastAsia="Arial" w:hAnsi="Arial"/>
                <w:sz w:val="15"/>
                <w:szCs w:val="15"/>
                <w:b w:val="1"/>
                <w:bCs w:val="1"/>
                <w:color w:val="auto"/>
              </w:rPr>
              <w:t>113,645</w:t>
            </w:r>
          </w:p>
        </w:tc>
        <w:tc>
          <w:tcPr>
            <w:tcW w:w="260" w:type="dxa"/>
            <w:vAlign w:val="bottom"/>
          </w:tcPr>
          <w:p>
            <w:pPr>
              <w:spacing w:after="0"/>
              <w:rPr>
                <w:sz w:val="16"/>
                <w:szCs w:val="16"/>
                <w:color w:val="auto"/>
              </w:rPr>
            </w:pPr>
          </w:p>
        </w:tc>
        <w:tc>
          <w:tcPr>
            <w:tcW w:w="1340" w:type="dxa"/>
            <w:vAlign w:val="bottom"/>
          </w:tcPr>
          <w:p>
            <w:pPr>
              <w:jc w:val="right"/>
              <w:ind w:right="206"/>
              <w:spacing w:after="0"/>
              <w:rPr>
                <w:sz w:val="20"/>
                <w:szCs w:val="20"/>
                <w:color w:val="auto"/>
              </w:rPr>
            </w:pPr>
            <w:r>
              <w:rPr>
                <w:rFonts w:ascii="Arial" w:cs="Arial" w:eastAsia="Arial" w:hAnsi="Arial"/>
                <w:sz w:val="15"/>
                <w:szCs w:val="15"/>
                <w:b w:val="1"/>
                <w:bCs w:val="1"/>
                <w:color w:val="auto"/>
              </w:rPr>
              <w:t>366,373</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445,630</w:t>
            </w:r>
          </w:p>
        </w:tc>
        <w:tc>
          <w:tcPr>
            <w:tcW w:w="0" w:type="dxa"/>
            <w:vAlign w:val="bottom"/>
          </w:tcPr>
          <w:p>
            <w:pPr>
              <w:spacing w:after="0"/>
              <w:rPr>
                <w:sz w:val="1"/>
                <w:szCs w:val="1"/>
                <w:color w:val="auto"/>
              </w:rPr>
            </w:pPr>
          </w:p>
        </w:tc>
      </w:tr>
      <w:tr>
        <w:trPr>
          <w:trHeight w:val="298"/>
        </w:trPr>
        <w:tc>
          <w:tcPr>
            <w:tcW w:w="4820" w:type="dxa"/>
            <w:vAlign w:val="bottom"/>
            <w:gridSpan w:val="3"/>
          </w:tcPr>
          <w:p>
            <w:pPr>
              <w:spacing w:after="0"/>
              <w:rPr>
                <w:sz w:val="20"/>
                <w:szCs w:val="20"/>
                <w:color w:val="auto"/>
              </w:rPr>
            </w:pPr>
            <w:r>
              <w:rPr>
                <w:rFonts w:ascii="Arial" w:cs="Arial" w:eastAsia="Arial" w:hAnsi="Arial"/>
                <w:sz w:val="15"/>
                <w:szCs w:val="15"/>
                <w:b w:val="1"/>
                <w:bCs w:val="1"/>
                <w:color w:val="auto"/>
              </w:rPr>
              <w:t>OTHER INCOME</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50,303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51,246</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54,599</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192,125</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205,701</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gains from sales of securities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6,375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7,241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264</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10,135</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8,967</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7,014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7,585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8,233</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24,165</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29,286</w:t>
            </w:r>
          </w:p>
        </w:tc>
        <w:tc>
          <w:tcPr>
            <w:tcW w:w="0" w:type="dxa"/>
            <w:vAlign w:val="bottom"/>
          </w:tcPr>
          <w:p>
            <w:pPr>
              <w:spacing w:after="0"/>
              <w:rPr>
                <w:sz w:val="1"/>
                <w:szCs w:val="1"/>
                <w:color w:val="auto"/>
              </w:rPr>
            </w:pPr>
          </w:p>
        </w:tc>
      </w:tr>
      <w:tr>
        <w:trPr>
          <w:trHeight w:val="158"/>
        </w:trPr>
        <w:tc>
          <w:tcPr>
            <w:tcW w:w="48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Other income (1)</w:t>
            </w:r>
          </w:p>
        </w:tc>
        <w:tc>
          <w:tcPr>
            <w:tcW w:w="11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7,320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6,541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6,912</w:t>
            </w:r>
          </w:p>
        </w:tc>
        <w:tc>
          <w:tcPr>
            <w:tcW w:w="260" w:type="dxa"/>
            <w:vAlign w:val="bottom"/>
          </w:tcPr>
          <w:p>
            <w:pPr>
              <w:spacing w:after="0"/>
              <w:rPr>
                <w:sz w:val="13"/>
                <w:szCs w:val="13"/>
                <w:color w:val="auto"/>
              </w:rPr>
            </w:pPr>
          </w:p>
        </w:tc>
        <w:tc>
          <w:tcPr>
            <w:tcW w:w="134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25,009</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23,874</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3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75"/>
              </w:rPr>
              <w:t>71,012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4"/>
              </w:rPr>
              <w:t>72,614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4"/>
              </w:rPr>
              <w:t>70,009</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206"/>
              <w:spacing w:after="0" w:line="142" w:lineRule="exact"/>
              <w:rPr>
                <w:sz w:val="20"/>
                <w:szCs w:val="20"/>
                <w:color w:val="auto"/>
              </w:rPr>
            </w:pPr>
            <w:r>
              <w:rPr>
                <w:rFonts w:ascii="Arial" w:cs="Arial" w:eastAsia="Arial" w:hAnsi="Arial"/>
                <w:sz w:val="15"/>
                <w:szCs w:val="15"/>
                <w:color w:val="auto"/>
              </w:rPr>
              <w:t>251,435</w:t>
            </w:r>
          </w:p>
        </w:tc>
        <w:tc>
          <w:tcPr>
            <w:tcW w:w="1100" w:type="dxa"/>
            <w:vAlign w:val="bottom"/>
          </w:tcPr>
          <w:p>
            <w:pPr>
              <w:jc w:val="right"/>
              <w:spacing w:after="0" w:line="142" w:lineRule="exact"/>
              <w:rPr>
                <w:sz w:val="20"/>
                <w:szCs w:val="20"/>
                <w:color w:val="auto"/>
              </w:rPr>
            </w:pPr>
            <w:r>
              <w:rPr>
                <w:rFonts w:ascii="Arial" w:cs="Arial" w:eastAsia="Arial" w:hAnsi="Arial"/>
                <w:sz w:val="15"/>
                <w:szCs w:val="15"/>
                <w:color w:val="auto"/>
              </w:rPr>
              <w:t>267,828</w:t>
            </w:r>
          </w:p>
        </w:tc>
        <w:tc>
          <w:tcPr>
            <w:tcW w:w="0" w:type="dxa"/>
            <w:vAlign w:val="bottom"/>
          </w:tcPr>
          <w:p>
            <w:pPr>
              <w:spacing w:after="0"/>
              <w:rPr>
                <w:sz w:val="1"/>
                <w:szCs w:val="1"/>
                <w:color w:val="auto"/>
              </w:rPr>
            </w:pPr>
          </w:p>
        </w:tc>
      </w:tr>
      <w:tr>
        <w:trPr>
          <w:trHeight w:val="308"/>
        </w:trPr>
        <w:tc>
          <w:tcPr>
            <w:tcW w:w="4820" w:type="dxa"/>
            <w:vAlign w:val="bottom"/>
            <w:gridSpan w:val="3"/>
          </w:tcPr>
          <w:p>
            <w:pPr>
              <w:spacing w:after="0"/>
              <w:rPr>
                <w:sz w:val="20"/>
                <w:szCs w:val="20"/>
                <w:color w:val="auto"/>
              </w:rPr>
            </w:pPr>
            <w:r>
              <w:rPr>
                <w:rFonts w:ascii="Arial" w:cs="Arial" w:eastAsia="Arial" w:hAnsi="Arial"/>
                <w:sz w:val="15"/>
                <w:szCs w:val="15"/>
                <w:b w:val="1"/>
                <w:bCs w:val="1"/>
                <w:color w:val="auto"/>
              </w:rPr>
              <w:t>PREMIUMS AND CLAIMS ON INSURANCE ACTIVITIES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premiums earned</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59,851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57,176</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55,252</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202,021</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218,955</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claims incurred</w:t>
            </w:r>
          </w:p>
        </w:tc>
        <w:tc>
          <w:tcPr>
            <w:tcW w:w="1220" w:type="dxa"/>
            <w:vAlign w:val="bottom"/>
            <w:gridSpan w:val="7"/>
          </w:tcPr>
          <w:p>
            <w:pPr>
              <w:jc w:val="right"/>
              <w:ind w:right="80"/>
              <w:spacing w:after="0" w:line="162" w:lineRule="exact"/>
              <w:rPr>
                <w:sz w:val="20"/>
                <w:szCs w:val="20"/>
                <w:color w:val="auto"/>
              </w:rPr>
            </w:pPr>
            <w:r>
              <w:rPr>
                <w:rFonts w:ascii="Arial" w:cs="Arial" w:eastAsia="Arial" w:hAnsi="Arial"/>
                <w:sz w:val="15"/>
                <w:szCs w:val="15"/>
                <w:color w:val="auto"/>
              </w:rPr>
              <w:t>(9,057)</w:t>
            </w:r>
          </w:p>
        </w:tc>
        <w:tc>
          <w:tcPr>
            <w:tcW w:w="1600" w:type="dxa"/>
            <w:vAlign w:val="bottom"/>
            <w:gridSpan w:val="8"/>
          </w:tcPr>
          <w:p>
            <w:pPr>
              <w:jc w:val="right"/>
              <w:ind w:right="300"/>
              <w:spacing w:after="0" w:line="162" w:lineRule="exact"/>
              <w:rPr>
                <w:sz w:val="20"/>
                <w:szCs w:val="20"/>
                <w:color w:val="auto"/>
              </w:rPr>
            </w:pPr>
            <w:r>
              <w:rPr>
                <w:rFonts w:ascii="Arial" w:cs="Arial" w:eastAsia="Arial" w:hAnsi="Arial"/>
                <w:sz w:val="15"/>
                <w:szCs w:val="15"/>
                <w:color w:val="auto"/>
              </w:rPr>
              <w:t>(9,042)</w:t>
            </w:r>
          </w:p>
        </w:tc>
        <w:tc>
          <w:tcPr>
            <w:tcW w:w="1340" w:type="dxa"/>
            <w:vAlign w:val="bottom"/>
            <w:gridSpan w:val="8"/>
          </w:tcPr>
          <w:p>
            <w:pPr>
              <w:jc w:val="right"/>
              <w:ind w:right="260"/>
              <w:spacing w:after="0" w:line="162" w:lineRule="exact"/>
              <w:rPr>
                <w:sz w:val="20"/>
                <w:szCs w:val="20"/>
                <w:color w:val="auto"/>
              </w:rPr>
            </w:pPr>
            <w:r>
              <w:rPr>
                <w:rFonts w:ascii="Arial" w:cs="Arial" w:eastAsia="Arial" w:hAnsi="Arial"/>
                <w:sz w:val="15"/>
                <w:szCs w:val="15"/>
                <w:color w:val="auto"/>
              </w:rPr>
              <w:t>(11,368)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(34,791)</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(42,569)</w:t>
            </w:r>
          </w:p>
        </w:tc>
        <w:tc>
          <w:tcPr>
            <w:tcW w:w="0" w:type="dxa"/>
            <w:vAlign w:val="bottom"/>
          </w:tcPr>
          <w:p>
            <w:pPr>
              <w:spacing w:after="0"/>
              <w:rPr>
                <w:sz w:val="1"/>
                <w:szCs w:val="1"/>
                <w:color w:val="auto"/>
              </w:rPr>
            </w:pPr>
          </w:p>
        </w:tc>
      </w:tr>
      <w:tr>
        <w:trPr>
          <w:trHeight w:val="158"/>
        </w:trPr>
        <w:tc>
          <w:tcPr>
            <w:tcW w:w="48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Increase in future policy benefits for life and health</w:t>
            </w:r>
          </w:p>
        </w:tc>
        <w:tc>
          <w:tcPr>
            <w:tcW w:w="1220" w:type="dxa"/>
            <w:vAlign w:val="bottom"/>
            <w:gridSpan w:val="7"/>
          </w:tcPr>
          <w:p>
            <w:pPr>
              <w:jc w:val="right"/>
              <w:ind w:right="80"/>
              <w:spacing w:after="0" w:line="158" w:lineRule="exact"/>
              <w:rPr>
                <w:sz w:val="20"/>
                <w:szCs w:val="20"/>
                <w:color w:val="auto"/>
              </w:rPr>
            </w:pPr>
            <w:r>
              <w:rPr>
                <w:rFonts w:ascii="Arial" w:cs="Arial" w:eastAsia="Arial" w:hAnsi="Arial"/>
                <w:sz w:val="15"/>
                <w:szCs w:val="15"/>
                <w:color w:val="auto"/>
              </w:rPr>
              <w:t>(34,954)</w:t>
            </w:r>
          </w:p>
        </w:tc>
        <w:tc>
          <w:tcPr>
            <w:tcW w:w="1600" w:type="dxa"/>
            <w:vAlign w:val="bottom"/>
            <w:gridSpan w:val="8"/>
          </w:tcPr>
          <w:p>
            <w:pPr>
              <w:jc w:val="right"/>
              <w:ind w:right="300"/>
              <w:spacing w:after="0" w:line="158" w:lineRule="exact"/>
              <w:rPr>
                <w:sz w:val="20"/>
                <w:szCs w:val="20"/>
                <w:color w:val="auto"/>
              </w:rPr>
            </w:pPr>
            <w:r>
              <w:rPr>
                <w:rFonts w:ascii="Arial" w:cs="Arial" w:eastAsia="Arial" w:hAnsi="Arial"/>
                <w:sz w:val="15"/>
                <w:szCs w:val="15"/>
                <w:color w:val="auto"/>
              </w:rPr>
              <w:t>(34,549)</w:t>
            </w:r>
          </w:p>
        </w:tc>
        <w:tc>
          <w:tcPr>
            <w:tcW w:w="1340" w:type="dxa"/>
            <w:vAlign w:val="bottom"/>
            <w:gridSpan w:val="8"/>
          </w:tcPr>
          <w:p>
            <w:pPr>
              <w:jc w:val="right"/>
              <w:ind w:right="260"/>
              <w:spacing w:after="0" w:line="158" w:lineRule="exact"/>
              <w:rPr>
                <w:sz w:val="20"/>
                <w:szCs w:val="20"/>
                <w:color w:val="auto"/>
              </w:rPr>
            </w:pPr>
            <w:r>
              <w:rPr>
                <w:rFonts w:ascii="Arial" w:cs="Arial" w:eastAsia="Arial" w:hAnsi="Arial"/>
                <w:sz w:val="15"/>
                <w:szCs w:val="15"/>
                <w:color w:val="auto"/>
              </w:rPr>
              <w:t>(35,168)</w:t>
            </w:r>
          </w:p>
        </w:tc>
        <w:tc>
          <w:tcPr>
            <w:tcW w:w="134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(113,604)</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(132,931)</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91"/>
              </w:rPr>
              <w:t>15,840</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4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5"/>
                <w:szCs w:val="15"/>
                <w:color w:val="auto"/>
                <w:w w:val="91"/>
              </w:rPr>
              <w:t>13,584</w:t>
            </w:r>
          </w:p>
        </w:tc>
        <w:tc>
          <w:tcPr>
            <w:tcW w:w="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480" w:type="dxa"/>
            <w:vAlign w:val="bottom"/>
            <w:tcBorders>
              <w:top w:val="single" w:sz="8" w:color="auto"/>
            </w:tcBorders>
            <w:gridSpan w:val="5"/>
          </w:tcPr>
          <w:p>
            <w:pPr>
              <w:jc w:val="right"/>
              <w:ind w:right="40"/>
              <w:spacing w:after="0" w:line="142" w:lineRule="exact"/>
              <w:rPr>
                <w:sz w:val="20"/>
                <w:szCs w:val="20"/>
                <w:color w:val="auto"/>
              </w:rPr>
            </w:pPr>
            <w:r>
              <w:rPr>
                <w:rFonts w:ascii="Arial" w:cs="Arial" w:eastAsia="Arial" w:hAnsi="Arial"/>
                <w:sz w:val="15"/>
                <w:szCs w:val="15"/>
                <w:color w:val="auto"/>
              </w:rPr>
              <w:t>8,716</w:t>
            </w:r>
          </w:p>
        </w:tc>
        <w:tc>
          <w:tcPr>
            <w:tcW w:w="260" w:type="dxa"/>
            <w:vAlign w:val="bottom"/>
          </w:tcPr>
          <w:p>
            <w:pPr>
              <w:spacing w:after="0"/>
              <w:rPr>
                <w:sz w:val="12"/>
                <w:szCs w:val="12"/>
                <w:color w:val="auto"/>
              </w:rPr>
            </w:pPr>
          </w:p>
        </w:tc>
        <w:tc>
          <w:tcPr>
            <w:tcW w:w="1340" w:type="dxa"/>
            <w:vAlign w:val="bottom"/>
          </w:tcPr>
          <w:p>
            <w:pPr>
              <w:jc w:val="right"/>
              <w:ind w:right="206"/>
              <w:spacing w:after="0" w:line="142" w:lineRule="exact"/>
              <w:rPr>
                <w:sz w:val="20"/>
                <w:szCs w:val="20"/>
                <w:color w:val="auto"/>
              </w:rPr>
            </w:pPr>
            <w:r>
              <w:rPr>
                <w:rFonts w:ascii="Arial" w:cs="Arial" w:eastAsia="Arial" w:hAnsi="Arial"/>
                <w:sz w:val="15"/>
                <w:szCs w:val="15"/>
                <w:color w:val="auto"/>
              </w:rPr>
              <w:t>53,626</w:t>
            </w:r>
          </w:p>
        </w:tc>
        <w:tc>
          <w:tcPr>
            <w:tcW w:w="1100" w:type="dxa"/>
            <w:vAlign w:val="bottom"/>
          </w:tcPr>
          <w:p>
            <w:pPr>
              <w:jc w:val="right"/>
              <w:spacing w:after="0" w:line="142" w:lineRule="exact"/>
              <w:rPr>
                <w:sz w:val="20"/>
                <w:szCs w:val="20"/>
                <w:color w:val="auto"/>
              </w:rPr>
            </w:pPr>
            <w:r>
              <w:rPr>
                <w:rFonts w:ascii="Arial" w:cs="Arial" w:eastAsia="Arial" w:hAnsi="Arial"/>
                <w:sz w:val="15"/>
                <w:szCs w:val="15"/>
                <w:color w:val="auto"/>
              </w:rPr>
              <w:t>43,455</w:t>
            </w:r>
          </w:p>
        </w:tc>
        <w:tc>
          <w:tcPr>
            <w:tcW w:w="0" w:type="dxa"/>
            <w:vAlign w:val="bottom"/>
          </w:tcPr>
          <w:p>
            <w:pPr>
              <w:spacing w:after="0"/>
              <w:rPr>
                <w:sz w:val="1"/>
                <w:szCs w:val="1"/>
                <w:color w:val="auto"/>
              </w:rPr>
            </w:pPr>
          </w:p>
        </w:tc>
      </w:tr>
      <w:tr>
        <w:trPr>
          <w:trHeight w:val="308"/>
        </w:trPr>
        <w:tc>
          <w:tcPr>
            <w:tcW w:w="4820" w:type="dxa"/>
            <w:vAlign w:val="bottom"/>
            <w:gridSpan w:val="3"/>
          </w:tcPr>
          <w:p>
            <w:pPr>
              <w:spacing w:after="0"/>
              <w:rPr>
                <w:sz w:val="20"/>
                <w:szCs w:val="20"/>
                <w:color w:val="auto"/>
              </w:rPr>
            </w:pPr>
            <w:r>
              <w:rPr>
                <w:rFonts w:ascii="Arial" w:cs="Arial" w:eastAsia="Arial" w:hAnsi="Arial"/>
                <w:sz w:val="15"/>
                <w:szCs w:val="15"/>
                <w:b w:val="1"/>
                <w:bCs w:val="1"/>
                <w:color w:val="auto"/>
              </w:rPr>
              <w:t>OTHER EXPENSES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Salaries and employee benefits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52,107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49,557</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59,774</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188,960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206,656</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General, administrative, and other taxes</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44,168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36,546</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35,602</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153,710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138,294</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Depreciation and amortization</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11,571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9,743</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9,461</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46,595</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38,876</w:t>
            </w:r>
          </w:p>
        </w:tc>
        <w:tc>
          <w:tcPr>
            <w:tcW w:w="0" w:type="dxa"/>
            <w:vAlign w:val="bottom"/>
          </w:tcPr>
          <w:p>
            <w:pPr>
              <w:spacing w:after="0"/>
              <w:rPr>
                <w:sz w:val="1"/>
                <w:szCs w:val="1"/>
                <w:color w:val="auto"/>
              </w:rPr>
            </w:pPr>
          </w:p>
        </w:tc>
      </w:tr>
      <w:tr>
        <w:trPr>
          <w:trHeight w:val="162"/>
        </w:trPr>
        <w:tc>
          <w:tcPr>
            <w:tcW w:w="48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Other</w:t>
            </w:r>
          </w:p>
        </w:tc>
        <w:tc>
          <w:tcPr>
            <w:tcW w:w="11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31,664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32,350</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8,825</w:t>
            </w:r>
          </w:p>
        </w:tc>
        <w:tc>
          <w:tcPr>
            <w:tcW w:w="260" w:type="dxa"/>
            <w:vAlign w:val="bottom"/>
          </w:tcPr>
          <w:p>
            <w:pPr>
              <w:spacing w:after="0"/>
              <w:rPr>
                <w:sz w:val="14"/>
                <w:szCs w:val="14"/>
                <w:color w:val="auto"/>
              </w:rPr>
            </w:pPr>
          </w:p>
        </w:tc>
        <w:tc>
          <w:tcPr>
            <w:tcW w:w="13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91,088</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83,956</w:t>
            </w:r>
          </w:p>
        </w:tc>
        <w:tc>
          <w:tcPr>
            <w:tcW w:w="0" w:type="dxa"/>
            <w:vAlign w:val="bottom"/>
          </w:tcPr>
          <w:p>
            <w:pPr>
              <w:spacing w:after="0"/>
              <w:rPr>
                <w:sz w:val="1"/>
                <w:szCs w:val="1"/>
                <w:color w:val="auto"/>
              </w:rPr>
            </w:pPr>
          </w:p>
        </w:tc>
      </w:tr>
      <w:tr>
        <w:trPr>
          <w:trHeight w:val="158"/>
        </w:trPr>
        <w:tc>
          <w:tcPr>
            <w:tcW w:w="48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Merger costs</w:t>
            </w:r>
          </w:p>
        </w:tc>
        <w:tc>
          <w:tcPr>
            <w:tcW w:w="11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0</w:t>
            </w:r>
          </w:p>
        </w:tc>
        <w:tc>
          <w:tcPr>
            <w:tcW w:w="260" w:type="dxa"/>
            <w:vAlign w:val="bottom"/>
          </w:tcPr>
          <w:p>
            <w:pPr>
              <w:spacing w:after="0"/>
              <w:rPr>
                <w:sz w:val="13"/>
                <w:szCs w:val="13"/>
                <w:color w:val="auto"/>
              </w:rPr>
            </w:pPr>
          </w:p>
        </w:tc>
        <w:tc>
          <w:tcPr>
            <w:tcW w:w="134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3,742</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42"/>
        </w:trPr>
        <w:tc>
          <w:tcPr>
            <w:tcW w:w="48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Translation result</w:t>
            </w:r>
          </w:p>
        </w:tc>
        <w:tc>
          <w:tcPr>
            <w:tcW w:w="620" w:type="dxa"/>
            <w:vAlign w:val="bottom"/>
          </w:tcPr>
          <w:p>
            <w:pPr>
              <w:spacing w:after="0"/>
              <w:rPr>
                <w:sz w:val="12"/>
                <w:szCs w:val="12"/>
                <w:color w:val="auto"/>
              </w:rPr>
            </w:pPr>
          </w:p>
        </w:tc>
        <w:tc>
          <w:tcPr>
            <w:tcW w:w="480" w:type="dxa"/>
            <w:vAlign w:val="bottom"/>
            <w:gridSpan w:val="4"/>
          </w:tcPr>
          <w:p>
            <w:pPr>
              <w:jc w:val="right"/>
              <w:spacing w:after="0" w:line="142" w:lineRule="exact"/>
              <w:rPr>
                <w:sz w:val="20"/>
                <w:szCs w:val="20"/>
                <w:color w:val="auto"/>
              </w:rPr>
            </w:pPr>
            <w:r>
              <w:rPr>
                <w:rFonts w:ascii="Arial" w:cs="Arial" w:eastAsia="Arial" w:hAnsi="Arial"/>
                <w:sz w:val="15"/>
                <w:szCs w:val="15"/>
                <w:color w:val="auto"/>
                <w:w w:val="73"/>
              </w:rPr>
              <w:t>139,510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gridSpan w:val="4"/>
          </w:tcPr>
          <w:p>
            <w:pPr>
              <w:jc w:val="right"/>
              <w:spacing w:after="0" w:line="142" w:lineRule="exact"/>
              <w:rPr>
                <w:sz w:val="20"/>
                <w:szCs w:val="20"/>
                <w:color w:val="auto"/>
              </w:rPr>
            </w:pPr>
            <w:r>
              <w:rPr>
                <w:rFonts w:ascii="Arial" w:cs="Arial" w:eastAsia="Arial" w:hAnsi="Arial"/>
                <w:sz w:val="15"/>
                <w:szCs w:val="15"/>
                <w:color w:val="auto"/>
                <w:w w:val="70"/>
              </w:rPr>
              <w:t>128,195</w:t>
            </w: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113,662</w:t>
            </w: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5"/>
                <w:szCs w:val="15"/>
                <w:color w:val="auto"/>
              </w:rPr>
              <w:t>2,455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gridSpan w:val="7"/>
          </w:tcPr>
          <w:p>
            <w:pPr>
              <w:jc w:val="right"/>
              <w:ind w:right="300"/>
              <w:spacing w:after="0"/>
              <w:rPr>
                <w:sz w:val="20"/>
                <w:szCs w:val="20"/>
                <w:color w:val="auto"/>
              </w:rPr>
            </w:pPr>
            <w:r>
              <w:rPr>
                <w:rFonts w:ascii="Arial" w:cs="Arial" w:eastAsia="Arial" w:hAnsi="Arial"/>
                <w:sz w:val="15"/>
                <w:szCs w:val="15"/>
                <w:color w:val="auto"/>
              </w:rPr>
              <w:t>(5,702)</w:t>
            </w:r>
          </w:p>
        </w:tc>
        <w:tc>
          <w:tcPr>
            <w:tcW w:w="1340" w:type="dxa"/>
            <w:vAlign w:val="bottom"/>
            <w:gridSpan w:val="8"/>
          </w:tcPr>
          <w:p>
            <w:pPr>
              <w:jc w:val="right"/>
              <w:ind w:right="260"/>
              <w:spacing w:after="0"/>
              <w:rPr>
                <w:sz w:val="20"/>
                <w:szCs w:val="20"/>
                <w:color w:val="auto"/>
              </w:rPr>
            </w:pPr>
            <w:r>
              <w:rPr>
                <w:rFonts w:ascii="Arial" w:cs="Arial" w:eastAsia="Arial" w:hAnsi="Arial"/>
                <w:sz w:val="15"/>
                <w:szCs w:val="15"/>
                <w:color w:val="auto"/>
              </w:rPr>
              <w:t>(5,931)</w:t>
            </w:r>
          </w:p>
        </w:tc>
        <w:tc>
          <w:tcPr>
            <w:tcW w:w="1340" w:type="dxa"/>
            <w:vAlign w:val="bottom"/>
          </w:tcPr>
          <w:p>
            <w:pPr>
              <w:jc w:val="right"/>
              <w:ind w:right="206"/>
              <w:spacing w:after="0"/>
              <w:rPr>
                <w:sz w:val="20"/>
                <w:szCs w:val="20"/>
                <w:color w:val="auto"/>
              </w:rPr>
            </w:pPr>
            <w:r>
              <w:rPr>
                <w:rFonts w:ascii="Arial" w:cs="Arial" w:eastAsia="Arial" w:hAnsi="Arial"/>
                <w:sz w:val="15"/>
                <w:szCs w:val="15"/>
                <w:color w:val="auto"/>
              </w:rPr>
              <w:t>6,316</w:t>
            </w:r>
          </w:p>
        </w:tc>
        <w:tc>
          <w:tcPr>
            <w:tcW w:w="1100" w:type="dxa"/>
            <w:vAlign w:val="bottom"/>
          </w:tcPr>
          <w:p>
            <w:pPr>
              <w:jc w:val="right"/>
              <w:spacing w:after="0"/>
              <w:rPr>
                <w:sz w:val="20"/>
                <w:szCs w:val="20"/>
                <w:color w:val="auto"/>
              </w:rPr>
            </w:pPr>
            <w:r>
              <w:rPr>
                <w:rFonts w:ascii="Arial" w:cs="Arial" w:eastAsia="Arial" w:hAnsi="Arial"/>
                <w:sz w:val="15"/>
                <w:szCs w:val="15"/>
                <w:color w:val="auto"/>
              </w:rPr>
              <w:t>(9,600)</w:t>
            </w:r>
          </w:p>
        </w:tc>
        <w:tc>
          <w:tcPr>
            <w:tcW w:w="0" w:type="dxa"/>
            <w:vAlign w:val="bottom"/>
          </w:tcPr>
          <w:p>
            <w:pPr>
              <w:spacing w:after="0"/>
              <w:rPr>
                <w:sz w:val="1"/>
                <w:szCs w:val="1"/>
                <w:color w:val="auto"/>
              </w:rPr>
            </w:pPr>
          </w:p>
        </w:tc>
      </w:tr>
      <w:tr>
        <w:trPr>
          <w:trHeight w:val="324"/>
        </w:trPr>
        <w:tc>
          <w:tcPr>
            <w:tcW w:w="4820" w:type="dxa"/>
            <w:vAlign w:val="bottom"/>
            <w:gridSpan w:val="3"/>
          </w:tcPr>
          <w:p>
            <w:pPr>
              <w:spacing w:after="0"/>
              <w:rPr>
                <w:sz w:val="20"/>
                <w:szCs w:val="20"/>
                <w:color w:val="auto"/>
              </w:rPr>
            </w:pPr>
            <w:r>
              <w:rPr>
                <w:rFonts w:ascii="Arial" w:cs="Arial" w:eastAsia="Arial" w:hAnsi="Arial"/>
                <w:sz w:val="15"/>
                <w:szCs w:val="15"/>
                <w:b w:val="1"/>
                <w:bCs w:val="1"/>
                <w:color w:val="auto"/>
              </w:rPr>
              <w:t>Net Income before income tax</w:t>
            </w:r>
          </w:p>
        </w:tc>
        <w:tc>
          <w:tcPr>
            <w:tcW w:w="1100" w:type="dxa"/>
            <w:vAlign w:val="bottom"/>
            <w:gridSpan w:val="5"/>
          </w:tcPr>
          <w:p>
            <w:pPr>
              <w:jc w:val="right"/>
              <w:spacing w:after="0"/>
              <w:rPr>
                <w:sz w:val="20"/>
                <w:szCs w:val="20"/>
                <w:color w:val="auto"/>
              </w:rPr>
            </w:pPr>
            <w:r>
              <w:rPr>
                <w:rFonts w:ascii="Arial" w:cs="Arial" w:eastAsia="Arial" w:hAnsi="Arial"/>
                <w:sz w:val="15"/>
                <w:szCs w:val="15"/>
                <w:b w:val="1"/>
                <w:bCs w:val="1"/>
                <w:color w:val="auto"/>
              </w:rPr>
              <w:t>50,648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6"/>
          </w:tcPr>
          <w:p>
            <w:pPr>
              <w:jc w:val="right"/>
              <w:spacing w:after="0"/>
              <w:rPr>
                <w:sz w:val="20"/>
                <w:szCs w:val="20"/>
                <w:color w:val="auto"/>
              </w:rPr>
            </w:pPr>
            <w:r>
              <w:rPr>
                <w:rFonts w:ascii="Arial" w:cs="Arial" w:eastAsia="Arial" w:hAnsi="Arial"/>
                <w:sz w:val="15"/>
                <w:szCs w:val="15"/>
                <w:b w:val="1"/>
                <w:bCs w:val="1"/>
                <w:color w:val="auto"/>
              </w:rPr>
              <w:t>70,867</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7"/>
          </w:tcPr>
          <w:p>
            <w:pPr>
              <w:jc w:val="right"/>
              <w:ind w:right="40"/>
              <w:spacing w:after="0"/>
              <w:rPr>
                <w:sz w:val="20"/>
                <w:szCs w:val="20"/>
                <w:color w:val="auto"/>
              </w:rPr>
            </w:pPr>
            <w:r>
              <w:rPr>
                <w:rFonts w:ascii="Arial" w:cs="Arial" w:eastAsia="Arial" w:hAnsi="Arial"/>
                <w:sz w:val="15"/>
                <w:szCs w:val="15"/>
                <w:b w:val="1"/>
                <w:bCs w:val="1"/>
                <w:color w:val="auto"/>
              </w:rPr>
              <w:t>72,776</w:t>
            </w:r>
          </w:p>
        </w:tc>
        <w:tc>
          <w:tcPr>
            <w:tcW w:w="260" w:type="dxa"/>
            <w:vAlign w:val="bottom"/>
          </w:tcPr>
          <w:p>
            <w:pPr>
              <w:spacing w:after="0"/>
              <w:rPr>
                <w:sz w:val="24"/>
                <w:szCs w:val="24"/>
                <w:color w:val="auto"/>
              </w:rPr>
            </w:pPr>
          </w:p>
        </w:tc>
        <w:tc>
          <w:tcPr>
            <w:tcW w:w="1340" w:type="dxa"/>
            <w:vAlign w:val="bottom"/>
          </w:tcPr>
          <w:p>
            <w:pPr>
              <w:jc w:val="right"/>
              <w:ind w:right="206"/>
              <w:spacing w:after="0"/>
              <w:rPr>
                <w:sz w:val="20"/>
                <w:szCs w:val="20"/>
                <w:color w:val="auto"/>
              </w:rPr>
            </w:pPr>
            <w:r>
              <w:rPr>
                <w:rFonts w:ascii="Arial" w:cs="Arial" w:eastAsia="Arial" w:hAnsi="Arial"/>
                <w:sz w:val="15"/>
                <w:szCs w:val="15"/>
                <w:b w:val="1"/>
                <w:bCs w:val="1"/>
                <w:color w:val="auto"/>
              </w:rPr>
              <w:t>193,655</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279,532</w:t>
            </w:r>
          </w:p>
        </w:tc>
        <w:tc>
          <w:tcPr>
            <w:tcW w:w="0" w:type="dxa"/>
            <w:vAlign w:val="bottom"/>
          </w:tcPr>
          <w:p>
            <w:pPr>
              <w:spacing w:after="0"/>
              <w:rPr>
                <w:sz w:val="1"/>
                <w:szCs w:val="1"/>
                <w:color w:val="auto"/>
              </w:rPr>
            </w:pPr>
          </w:p>
        </w:tc>
      </w:tr>
      <w:tr>
        <w:trPr>
          <w:trHeight w:val="298"/>
        </w:trPr>
        <w:tc>
          <w:tcPr>
            <w:tcW w:w="4820" w:type="dxa"/>
            <w:vAlign w:val="bottom"/>
            <w:gridSpan w:val="3"/>
          </w:tcPr>
          <w:p>
            <w:pPr>
              <w:ind w:left="40"/>
              <w:spacing w:after="0"/>
              <w:rPr>
                <w:sz w:val="20"/>
                <w:szCs w:val="20"/>
                <w:color w:val="auto"/>
              </w:rPr>
            </w:pPr>
            <w:r>
              <w:rPr>
                <w:rFonts w:ascii="Arial" w:cs="Arial" w:eastAsia="Arial" w:hAnsi="Arial"/>
                <w:sz w:val="15"/>
                <w:szCs w:val="15"/>
                <w:color w:val="auto"/>
              </w:rPr>
              <w:t>Employee profit sharing(2)</w:t>
            </w:r>
          </w:p>
        </w:tc>
        <w:tc>
          <w:tcPr>
            <w:tcW w:w="1220" w:type="dxa"/>
            <w:vAlign w:val="bottom"/>
            <w:gridSpan w:val="7"/>
          </w:tcPr>
          <w:p>
            <w:pPr>
              <w:jc w:val="right"/>
              <w:ind w:right="80"/>
              <w:spacing w:after="0"/>
              <w:rPr>
                <w:sz w:val="20"/>
                <w:szCs w:val="20"/>
                <w:color w:val="auto"/>
              </w:rPr>
            </w:pPr>
            <w:r>
              <w:rPr>
                <w:rFonts w:ascii="Arial" w:cs="Arial" w:eastAsia="Arial" w:hAnsi="Arial"/>
                <w:sz w:val="15"/>
                <w:szCs w:val="15"/>
                <w:color w:val="auto"/>
              </w:rPr>
              <w:t>(2,213)</w:t>
            </w:r>
          </w:p>
        </w:tc>
        <w:tc>
          <w:tcPr>
            <w:tcW w:w="1600" w:type="dxa"/>
            <w:vAlign w:val="bottom"/>
            <w:gridSpan w:val="8"/>
          </w:tcPr>
          <w:p>
            <w:pPr>
              <w:jc w:val="right"/>
              <w:ind w:right="300"/>
              <w:spacing w:after="0"/>
              <w:rPr>
                <w:sz w:val="20"/>
                <w:szCs w:val="20"/>
                <w:color w:val="auto"/>
              </w:rPr>
            </w:pPr>
            <w:r>
              <w:rPr>
                <w:rFonts w:ascii="Arial" w:cs="Arial" w:eastAsia="Arial" w:hAnsi="Arial"/>
                <w:sz w:val="15"/>
                <w:szCs w:val="15"/>
                <w:color w:val="auto"/>
              </w:rPr>
              <w:t>(3,588)</w:t>
            </w:r>
          </w:p>
        </w:tc>
        <w:tc>
          <w:tcPr>
            <w:tcW w:w="1340" w:type="dxa"/>
            <w:vAlign w:val="bottom"/>
            <w:gridSpan w:val="8"/>
          </w:tcPr>
          <w:p>
            <w:pPr>
              <w:jc w:val="right"/>
              <w:ind w:right="260"/>
              <w:spacing w:after="0"/>
              <w:rPr>
                <w:sz w:val="20"/>
                <w:szCs w:val="20"/>
                <w:color w:val="auto"/>
              </w:rPr>
            </w:pPr>
            <w:r>
              <w:rPr>
                <w:rFonts w:ascii="Arial" w:cs="Arial" w:eastAsia="Arial" w:hAnsi="Arial"/>
                <w:sz w:val="15"/>
                <w:szCs w:val="15"/>
                <w:color w:val="auto"/>
              </w:rPr>
              <w:t>(2,954)</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(6,647)</w:t>
            </w:r>
          </w:p>
        </w:tc>
        <w:tc>
          <w:tcPr>
            <w:tcW w:w="1100" w:type="dxa"/>
            <w:vAlign w:val="bottom"/>
          </w:tcPr>
          <w:p>
            <w:pPr>
              <w:jc w:val="right"/>
              <w:spacing w:after="0"/>
              <w:rPr>
                <w:sz w:val="20"/>
                <w:szCs w:val="20"/>
                <w:color w:val="auto"/>
              </w:rPr>
            </w:pPr>
            <w:r>
              <w:rPr>
                <w:rFonts w:ascii="Arial" w:cs="Arial" w:eastAsia="Arial" w:hAnsi="Arial"/>
                <w:sz w:val="15"/>
                <w:szCs w:val="15"/>
                <w:color w:val="auto"/>
              </w:rPr>
              <w:t>(11,135)</w:t>
            </w:r>
          </w:p>
        </w:tc>
        <w:tc>
          <w:tcPr>
            <w:tcW w:w="0" w:type="dxa"/>
            <w:vAlign w:val="bottom"/>
          </w:tcPr>
          <w:p>
            <w:pPr>
              <w:spacing w:after="0"/>
              <w:rPr>
                <w:sz w:val="1"/>
                <w:szCs w:val="1"/>
                <w:color w:val="auto"/>
              </w:rPr>
            </w:pPr>
          </w:p>
        </w:tc>
      </w:tr>
      <w:tr>
        <w:trPr>
          <w:trHeight w:val="158"/>
        </w:trPr>
        <w:tc>
          <w:tcPr>
            <w:tcW w:w="48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Income Tax</w:t>
            </w:r>
          </w:p>
        </w:tc>
        <w:tc>
          <w:tcPr>
            <w:tcW w:w="1220" w:type="dxa"/>
            <w:vAlign w:val="bottom"/>
            <w:gridSpan w:val="7"/>
          </w:tcPr>
          <w:p>
            <w:pPr>
              <w:jc w:val="right"/>
              <w:ind w:right="80"/>
              <w:spacing w:after="0" w:line="158" w:lineRule="exact"/>
              <w:rPr>
                <w:sz w:val="20"/>
                <w:szCs w:val="20"/>
                <w:color w:val="auto"/>
              </w:rPr>
            </w:pPr>
            <w:r>
              <w:rPr>
                <w:rFonts w:ascii="Arial" w:cs="Arial" w:eastAsia="Arial" w:hAnsi="Arial"/>
                <w:sz w:val="15"/>
                <w:szCs w:val="15"/>
                <w:color w:val="auto"/>
              </w:rPr>
              <w:t>(10,397)</w:t>
            </w:r>
          </w:p>
        </w:tc>
        <w:tc>
          <w:tcPr>
            <w:tcW w:w="1600" w:type="dxa"/>
            <w:vAlign w:val="bottom"/>
            <w:gridSpan w:val="8"/>
          </w:tcPr>
          <w:p>
            <w:pPr>
              <w:jc w:val="right"/>
              <w:ind w:right="300"/>
              <w:spacing w:after="0" w:line="158" w:lineRule="exact"/>
              <w:rPr>
                <w:sz w:val="20"/>
                <w:szCs w:val="20"/>
                <w:color w:val="auto"/>
              </w:rPr>
            </w:pPr>
            <w:r>
              <w:rPr>
                <w:rFonts w:ascii="Arial" w:cs="Arial" w:eastAsia="Arial" w:hAnsi="Arial"/>
                <w:sz w:val="15"/>
                <w:szCs w:val="15"/>
                <w:color w:val="auto"/>
              </w:rPr>
              <w:t>(16,723)</w:t>
            </w:r>
          </w:p>
        </w:tc>
        <w:tc>
          <w:tcPr>
            <w:tcW w:w="1340" w:type="dxa"/>
            <w:vAlign w:val="bottom"/>
            <w:gridSpan w:val="8"/>
          </w:tcPr>
          <w:p>
            <w:pPr>
              <w:jc w:val="right"/>
              <w:ind w:right="260"/>
              <w:spacing w:after="0" w:line="158" w:lineRule="exact"/>
              <w:rPr>
                <w:sz w:val="20"/>
                <w:szCs w:val="20"/>
                <w:color w:val="auto"/>
              </w:rPr>
            </w:pPr>
            <w:r>
              <w:rPr>
                <w:rFonts w:ascii="Arial" w:cs="Arial" w:eastAsia="Arial" w:hAnsi="Arial"/>
                <w:sz w:val="15"/>
                <w:szCs w:val="15"/>
                <w:color w:val="auto"/>
              </w:rPr>
              <w:t>(20,361)</w:t>
            </w:r>
          </w:p>
        </w:tc>
        <w:tc>
          <w:tcPr>
            <w:tcW w:w="134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(45,497)</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(73,546)</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3140" w:type="dxa"/>
            <w:vAlign w:val="bottom"/>
            <w:gridSpan w:val="2"/>
          </w:tcPr>
          <w:p>
            <w:pPr>
              <w:jc w:val="center"/>
              <w:ind w:right="1940"/>
              <w:spacing w:after="0" w:line="167" w:lineRule="exact"/>
              <w:rPr>
                <w:sz w:val="20"/>
                <w:szCs w:val="20"/>
                <w:color w:val="auto"/>
              </w:rPr>
            </w:pPr>
            <w:r>
              <w:rPr>
                <w:rFonts w:ascii="Arial" w:cs="Arial" w:eastAsia="Arial" w:hAnsi="Arial"/>
                <w:sz w:val="15"/>
                <w:szCs w:val="15"/>
                <w:b w:val="1"/>
                <w:bCs w:val="1"/>
                <w:color w:val="auto"/>
              </w:rPr>
              <w:t>NET INCOME</w:t>
            </w:r>
          </w:p>
        </w:tc>
        <w:tc>
          <w:tcPr>
            <w:tcW w:w="1100" w:type="dxa"/>
            <w:vAlign w:val="bottom"/>
            <w:gridSpan w:val="5"/>
          </w:tcPr>
          <w:p>
            <w:pPr>
              <w:jc w:val="right"/>
              <w:spacing w:after="0" w:line="167" w:lineRule="exact"/>
              <w:rPr>
                <w:sz w:val="20"/>
                <w:szCs w:val="20"/>
                <w:color w:val="auto"/>
              </w:rPr>
            </w:pPr>
            <w:r>
              <w:rPr>
                <w:rFonts w:ascii="Arial" w:cs="Arial" w:eastAsia="Arial" w:hAnsi="Arial"/>
                <w:sz w:val="15"/>
                <w:szCs w:val="15"/>
                <w:b w:val="1"/>
                <w:bCs w:val="1"/>
                <w:color w:val="auto"/>
              </w:rPr>
              <w:t>38,039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spacing w:after="0" w:line="167" w:lineRule="exact"/>
              <w:rPr>
                <w:sz w:val="20"/>
                <w:szCs w:val="20"/>
                <w:color w:val="auto"/>
              </w:rPr>
            </w:pPr>
            <w:r>
              <w:rPr>
                <w:rFonts w:ascii="Arial" w:cs="Arial" w:eastAsia="Arial" w:hAnsi="Arial"/>
                <w:sz w:val="15"/>
                <w:szCs w:val="15"/>
                <w:b w:val="1"/>
                <w:bCs w:val="1"/>
                <w:color w:val="auto"/>
              </w:rPr>
              <w:t>50,556</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7"/>
          </w:tcPr>
          <w:p>
            <w:pPr>
              <w:jc w:val="right"/>
              <w:ind w:right="40"/>
              <w:spacing w:after="0" w:line="167" w:lineRule="exact"/>
              <w:rPr>
                <w:sz w:val="20"/>
                <w:szCs w:val="20"/>
                <w:color w:val="auto"/>
              </w:rPr>
            </w:pPr>
            <w:r>
              <w:rPr>
                <w:rFonts w:ascii="Arial" w:cs="Arial" w:eastAsia="Arial" w:hAnsi="Arial"/>
                <w:sz w:val="15"/>
                <w:szCs w:val="15"/>
                <w:b w:val="1"/>
                <w:bCs w:val="1"/>
                <w:color w:val="auto"/>
              </w:rPr>
              <w:t>49,461</w:t>
            </w:r>
          </w:p>
        </w:tc>
        <w:tc>
          <w:tcPr>
            <w:tcW w:w="260" w:type="dxa"/>
            <w:vAlign w:val="bottom"/>
          </w:tcPr>
          <w:p>
            <w:pPr>
              <w:spacing w:after="0"/>
              <w:rPr>
                <w:sz w:val="14"/>
                <w:szCs w:val="14"/>
                <w:color w:val="auto"/>
              </w:rPr>
            </w:pPr>
          </w:p>
        </w:tc>
        <w:tc>
          <w:tcPr>
            <w:tcW w:w="134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141,511</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194,851</w:t>
            </w:r>
          </w:p>
        </w:tc>
        <w:tc>
          <w:tcPr>
            <w:tcW w:w="0" w:type="dxa"/>
            <w:vAlign w:val="bottom"/>
          </w:tcPr>
          <w:p>
            <w:pPr>
              <w:spacing w:after="0"/>
              <w:rPr>
                <w:sz w:val="1"/>
                <w:szCs w:val="1"/>
                <w:color w:val="auto"/>
              </w:rPr>
            </w:pPr>
          </w:p>
        </w:tc>
      </w:tr>
      <w:tr>
        <w:trPr>
          <w:trHeight w:val="158"/>
        </w:trPr>
        <w:tc>
          <w:tcPr>
            <w:tcW w:w="48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Minority Interest</w:t>
            </w:r>
          </w:p>
        </w:tc>
        <w:tc>
          <w:tcPr>
            <w:tcW w:w="1220" w:type="dxa"/>
            <w:vAlign w:val="bottom"/>
            <w:gridSpan w:val="7"/>
          </w:tcPr>
          <w:p>
            <w:pPr>
              <w:jc w:val="right"/>
              <w:ind w:right="80"/>
              <w:spacing w:after="0" w:line="158" w:lineRule="exact"/>
              <w:rPr>
                <w:sz w:val="20"/>
                <w:szCs w:val="20"/>
                <w:color w:val="auto"/>
              </w:rPr>
            </w:pPr>
            <w:r>
              <w:rPr>
                <w:rFonts w:ascii="Arial" w:cs="Arial" w:eastAsia="Arial" w:hAnsi="Arial"/>
                <w:sz w:val="15"/>
                <w:szCs w:val="15"/>
                <w:color w:val="auto"/>
              </w:rPr>
              <w:t>(3,176)</w:t>
            </w:r>
          </w:p>
        </w:tc>
        <w:tc>
          <w:tcPr>
            <w:tcW w:w="1600" w:type="dxa"/>
            <w:vAlign w:val="bottom"/>
            <w:gridSpan w:val="8"/>
          </w:tcPr>
          <w:p>
            <w:pPr>
              <w:jc w:val="right"/>
              <w:ind w:right="300"/>
              <w:spacing w:after="0" w:line="158" w:lineRule="exact"/>
              <w:rPr>
                <w:sz w:val="20"/>
                <w:szCs w:val="20"/>
                <w:color w:val="auto"/>
              </w:rPr>
            </w:pPr>
            <w:r>
              <w:rPr>
                <w:rFonts w:ascii="Arial" w:cs="Arial" w:eastAsia="Arial" w:hAnsi="Arial"/>
                <w:sz w:val="15"/>
                <w:szCs w:val="15"/>
                <w:color w:val="auto"/>
              </w:rPr>
              <w:t>(2,990)</w:t>
            </w:r>
          </w:p>
        </w:tc>
        <w:tc>
          <w:tcPr>
            <w:tcW w:w="1340" w:type="dxa"/>
            <w:vAlign w:val="bottom"/>
            <w:gridSpan w:val="8"/>
          </w:tcPr>
          <w:p>
            <w:pPr>
              <w:jc w:val="right"/>
              <w:ind w:right="260"/>
              <w:spacing w:after="0" w:line="158" w:lineRule="exact"/>
              <w:rPr>
                <w:sz w:val="20"/>
                <w:szCs w:val="20"/>
                <w:color w:val="auto"/>
              </w:rPr>
            </w:pPr>
            <w:r>
              <w:rPr>
                <w:rFonts w:ascii="Arial" w:cs="Arial" w:eastAsia="Arial" w:hAnsi="Arial"/>
                <w:sz w:val="15"/>
                <w:szCs w:val="15"/>
                <w:color w:val="auto"/>
              </w:rPr>
              <w:t>(5,124)</w:t>
            </w:r>
          </w:p>
        </w:tc>
        <w:tc>
          <w:tcPr>
            <w:tcW w:w="134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(10,764)</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(12,968)</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5"/>
                <w:szCs w:val="15"/>
                <w:b w:val="1"/>
                <w:bCs w:val="1"/>
                <w:color w:val="auto"/>
              </w:rPr>
              <w:t>NET INCOME ATTRIBUTABLE TO HOME OFFICE</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34,862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47,566</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5"/>
                <w:szCs w:val="15"/>
                <w:b w:val="1"/>
                <w:bCs w:val="1"/>
                <w:color w:val="auto"/>
              </w:rPr>
              <w:t>44,338</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130,747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181,883</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(1)Income from recoveries of charged-off loans has been reclassified within Provisions for loan losses.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(2)Previously reported as part of personnel expenses.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3</w:t>
      </w:r>
    </w:p>
    <w:p>
      <w:pPr>
        <w:jc w:val="center"/>
        <w:spacing w:after="0"/>
        <w:rPr>
          <w:sz w:val="20"/>
          <w:szCs w:val="20"/>
          <w:color w:val="auto"/>
        </w:rPr>
      </w:pPr>
      <w:r>
        <w:rPr>
          <w:rFonts w:ascii="Arial" w:cs="Arial" w:eastAsia="Arial" w:hAnsi="Arial"/>
          <w:sz w:val="22"/>
          <w:szCs w:val="22"/>
          <w:b w:val="1"/>
          <w:bCs w:val="1"/>
          <w:color w:val="auto"/>
        </w:rPr>
        <w:t>SELECTED FINANCIAL INDICATORS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2"/>
              </w:rPr>
              <w:t>Three months ended</w:t>
            </w:r>
          </w:p>
        </w:tc>
        <w:tc>
          <w:tcPr>
            <w:tcW w:w="1320" w:type="dxa"/>
            <w:vAlign w:val="bottom"/>
            <w:tcBorders>
              <w:top w:val="single" w:sz="8" w:color="auto"/>
              <w:bottom w:val="single" w:sz="8" w:color="auto"/>
            </w:tcBorders>
          </w:tcPr>
          <w:p>
            <w:pPr>
              <w:spacing w:after="0"/>
              <w:rPr>
                <w:sz w:val="16"/>
                <w:szCs w:val="16"/>
                <w:color w:val="auto"/>
              </w:rPr>
            </w:pPr>
          </w:p>
        </w:tc>
        <w:tc>
          <w:tcPr>
            <w:tcW w:w="2460" w:type="dxa"/>
            <w:vAlign w:val="bottom"/>
            <w:tcBorders>
              <w:top w:val="single" w:sz="8" w:color="auto"/>
              <w:bottom w:val="single" w:sz="8" w:color="auto"/>
            </w:tcBorders>
            <w:gridSpan w:val="2"/>
          </w:tcPr>
          <w:p>
            <w:pPr>
              <w:jc w:val="right"/>
              <w:ind w:right="506"/>
              <w:spacing w:after="0"/>
              <w:rPr>
                <w:sz w:val="20"/>
                <w:szCs w:val="20"/>
                <w:color w:val="auto"/>
              </w:rPr>
            </w:pPr>
            <w:r>
              <w:rPr>
                <w:rFonts w:ascii="Arial" w:cs="Arial" w:eastAsia="Arial" w:hAnsi="Arial"/>
                <w:sz w:val="15"/>
                <w:szCs w:val="15"/>
                <w:b w:val="1"/>
                <w:bCs w:val="1"/>
                <w:color w:val="auto"/>
              </w:rPr>
              <w:t>Twelve months ended</w:t>
            </w:r>
          </w:p>
        </w:tc>
        <w:tc>
          <w:tcPr>
            <w:tcW w:w="0" w:type="dxa"/>
            <w:vAlign w:val="bottom"/>
          </w:tcPr>
          <w:p>
            <w:pPr>
              <w:spacing w:after="0"/>
              <w:rPr>
                <w:sz w:val="1"/>
                <w:szCs w:val="1"/>
                <w:color w:val="auto"/>
              </w:rPr>
            </w:pPr>
          </w:p>
        </w:tc>
      </w:tr>
      <w:tr>
        <w:trPr>
          <w:trHeight w:val="169"/>
        </w:trPr>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6"/>
              <w:spacing w:after="0" w:line="169" w:lineRule="exact"/>
              <w:rPr>
                <w:sz w:val="20"/>
                <w:szCs w:val="20"/>
                <w:color w:val="auto"/>
              </w:rPr>
            </w:pPr>
            <w:r>
              <w:rPr>
                <w:rFonts w:ascii="Arial" w:cs="Arial" w:eastAsia="Arial" w:hAnsi="Arial"/>
                <w:sz w:val="15"/>
                <w:szCs w:val="15"/>
                <w:b w:val="1"/>
                <w:bCs w:val="1"/>
                <w:color w:val="auto"/>
              </w:rPr>
              <w:t>31.12.04</w:t>
            </w:r>
          </w:p>
        </w:tc>
        <w:tc>
          <w:tcPr>
            <w:tcW w:w="1620" w:type="dxa"/>
            <w:vAlign w:val="bottom"/>
            <w:tcBorders>
              <w:bottom w:val="single" w:sz="8" w:color="auto"/>
            </w:tcBorders>
          </w:tcPr>
          <w:p>
            <w:pPr>
              <w:jc w:val="right"/>
              <w:ind w:right="566"/>
              <w:spacing w:after="0" w:line="169" w:lineRule="exact"/>
              <w:rPr>
                <w:sz w:val="20"/>
                <w:szCs w:val="20"/>
                <w:color w:val="auto"/>
              </w:rPr>
            </w:pPr>
            <w:r>
              <w:rPr>
                <w:rFonts w:ascii="Arial" w:cs="Arial" w:eastAsia="Arial" w:hAnsi="Arial"/>
                <w:sz w:val="15"/>
                <w:szCs w:val="15"/>
                <w:b w:val="1"/>
                <w:bCs w:val="1"/>
                <w:color w:val="auto"/>
              </w:rPr>
              <w:t>30.09.05</w:t>
            </w:r>
          </w:p>
        </w:tc>
        <w:tc>
          <w:tcPr>
            <w:tcW w:w="1320" w:type="dxa"/>
            <w:vAlign w:val="bottom"/>
            <w:tcBorders>
              <w:bottom w:val="single" w:sz="8" w:color="auto"/>
            </w:tcBorders>
          </w:tcPr>
          <w:p>
            <w:pPr>
              <w:jc w:val="right"/>
              <w:ind w:right="506"/>
              <w:spacing w:after="0" w:line="169" w:lineRule="exact"/>
              <w:rPr>
                <w:sz w:val="20"/>
                <w:szCs w:val="20"/>
                <w:color w:val="auto"/>
              </w:rPr>
            </w:pPr>
            <w:r>
              <w:rPr>
                <w:rFonts w:ascii="Arial" w:cs="Arial" w:eastAsia="Arial" w:hAnsi="Arial"/>
                <w:sz w:val="15"/>
                <w:szCs w:val="15"/>
                <w:b w:val="1"/>
                <w:bCs w:val="1"/>
                <w:color w:val="auto"/>
              </w:rPr>
              <w:t>31.12.05</w:t>
            </w:r>
          </w:p>
        </w:tc>
        <w:tc>
          <w:tcPr>
            <w:tcW w:w="1340" w:type="dxa"/>
            <w:vAlign w:val="bottom"/>
            <w:tcBorders>
              <w:bottom w:val="single" w:sz="8" w:color="auto"/>
            </w:tcBorders>
          </w:tcPr>
          <w:p>
            <w:pPr>
              <w:jc w:val="right"/>
              <w:ind w:right="486"/>
              <w:spacing w:after="0" w:line="169" w:lineRule="exact"/>
              <w:rPr>
                <w:sz w:val="20"/>
                <w:szCs w:val="20"/>
                <w:color w:val="auto"/>
              </w:rPr>
            </w:pPr>
            <w:r>
              <w:rPr>
                <w:rFonts w:ascii="Arial" w:cs="Arial" w:eastAsia="Arial" w:hAnsi="Arial"/>
                <w:sz w:val="15"/>
                <w:szCs w:val="15"/>
                <w:b w:val="1"/>
                <w:bCs w:val="1"/>
                <w:color w:val="auto"/>
              </w:rPr>
              <w:t>31.12.04</w:t>
            </w: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31.12.05</w:t>
            </w:r>
          </w:p>
        </w:tc>
        <w:tc>
          <w:tcPr>
            <w:tcW w:w="0" w:type="dxa"/>
            <w:vAlign w:val="bottom"/>
          </w:tcPr>
          <w:p>
            <w:pPr>
              <w:spacing w:after="0"/>
              <w:rPr>
                <w:sz w:val="1"/>
                <w:szCs w:val="1"/>
                <w:color w:val="auto"/>
              </w:rPr>
            </w:pPr>
          </w:p>
        </w:tc>
      </w:tr>
      <w:tr>
        <w:trPr>
          <w:trHeight w:val="318"/>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Profitability</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0.44</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0.60</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0.56</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1.64</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46"/>
        </w:trPr>
        <w:tc>
          <w:tcPr>
            <w:tcW w:w="78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Net income</w:t>
            </w:r>
          </w:p>
        </w:tc>
        <w:tc>
          <w:tcPr>
            <w:tcW w:w="4040" w:type="dxa"/>
            <w:vAlign w:val="bottom"/>
            <w:gridSpan w:val="5"/>
          </w:tcPr>
          <w:p>
            <w:pPr>
              <w:spacing w:after="0" w:line="146" w:lineRule="exact"/>
              <w:rPr>
                <w:sz w:val="20"/>
                <w:szCs w:val="20"/>
                <w:color w:val="auto"/>
              </w:rPr>
            </w:pPr>
            <w:r>
              <w:rPr>
                <w:rFonts w:ascii="Arial" w:cs="Arial" w:eastAsia="Arial" w:hAnsi="Arial"/>
                <w:sz w:val="15"/>
                <w:szCs w:val="15"/>
                <w:color w:val="auto"/>
              </w:rPr>
              <w:t>per common share (US$ per share)(1)</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spacing w:after="0" w:line="162" w:lineRule="exact"/>
              <w:rPr>
                <w:sz w:val="20"/>
                <w:szCs w:val="20"/>
                <w:color w:val="auto"/>
              </w:rPr>
            </w:pPr>
            <w:r>
              <w:rPr>
                <w:rFonts w:ascii="Arial" w:cs="Arial" w:eastAsia="Arial" w:hAnsi="Arial"/>
                <w:sz w:val="15"/>
                <w:szCs w:val="15"/>
                <w:color w:val="auto"/>
              </w:rPr>
              <w:t>Net interest margin on interest earning assets (2)</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5.72%</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5.76%</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5.44%</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5.38%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5.59%</w:t>
            </w:r>
          </w:p>
        </w:tc>
        <w:tc>
          <w:tcPr>
            <w:tcW w:w="0" w:type="dxa"/>
            <w:vAlign w:val="bottom"/>
          </w:tcPr>
          <w:p>
            <w:pPr>
              <w:spacing w:after="0"/>
              <w:rPr>
                <w:sz w:val="1"/>
                <w:szCs w:val="1"/>
                <w:color w:val="auto"/>
              </w:rPr>
            </w:pPr>
          </w:p>
        </w:tc>
      </w:tr>
      <w:tr>
        <w:trPr>
          <w:trHeight w:val="162"/>
        </w:trPr>
        <w:tc>
          <w:tcPr>
            <w:tcW w:w="4820" w:type="dxa"/>
            <w:vAlign w:val="bottom"/>
            <w:gridSpan w:val="6"/>
          </w:tcPr>
          <w:p>
            <w:pPr>
              <w:spacing w:after="0" w:line="162" w:lineRule="exact"/>
              <w:rPr>
                <w:sz w:val="20"/>
                <w:szCs w:val="20"/>
                <w:color w:val="auto"/>
              </w:rPr>
            </w:pPr>
            <w:r>
              <w:rPr>
                <w:rFonts w:ascii="Arial" w:cs="Arial" w:eastAsia="Arial" w:hAnsi="Arial"/>
                <w:sz w:val="15"/>
                <w:szCs w:val="15"/>
                <w:color w:val="auto"/>
              </w:rPr>
              <w:t>Return on average total assets (2)(3)</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1.56%</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1.98%</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1.70%</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1.52%</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62"/>
        </w:trPr>
        <w:tc>
          <w:tcPr>
            <w:tcW w:w="4820" w:type="dxa"/>
            <w:vAlign w:val="bottom"/>
            <w:gridSpan w:val="6"/>
          </w:tcPr>
          <w:p>
            <w:pPr>
              <w:spacing w:after="0" w:line="162" w:lineRule="exact"/>
              <w:rPr>
                <w:sz w:val="20"/>
                <w:szCs w:val="20"/>
                <w:color w:val="auto"/>
              </w:rPr>
            </w:pPr>
            <w:r>
              <w:rPr>
                <w:rFonts w:ascii="Arial" w:cs="Arial" w:eastAsia="Arial" w:hAnsi="Arial"/>
                <w:sz w:val="15"/>
                <w:szCs w:val="15"/>
                <w:color w:val="auto"/>
              </w:rPr>
              <w:t>Return on average shareholders' equity (2)(3)</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13.49%</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16.80%</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15.02%</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13.55%</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16.39%</w:t>
            </w:r>
          </w:p>
        </w:tc>
        <w:tc>
          <w:tcPr>
            <w:tcW w:w="0" w:type="dxa"/>
            <w:vAlign w:val="bottom"/>
          </w:tcPr>
          <w:p>
            <w:pPr>
              <w:spacing w:after="0"/>
              <w:rPr>
                <w:sz w:val="1"/>
                <w:szCs w:val="1"/>
                <w:color w:val="auto"/>
              </w:rPr>
            </w:pPr>
          </w:p>
        </w:tc>
      </w:tr>
      <w:tr>
        <w:trPr>
          <w:trHeight w:val="188"/>
        </w:trPr>
        <w:tc>
          <w:tcPr>
            <w:tcW w:w="4820" w:type="dxa"/>
            <w:vAlign w:val="bottom"/>
            <w:gridSpan w:val="6"/>
          </w:tcPr>
          <w:p>
            <w:pPr>
              <w:spacing w:after="0"/>
              <w:rPr>
                <w:sz w:val="20"/>
                <w:szCs w:val="20"/>
                <w:color w:val="auto"/>
              </w:rPr>
            </w:pPr>
            <w:r>
              <w:rPr>
                <w:rFonts w:ascii="Arial" w:cs="Arial" w:eastAsia="Arial" w:hAnsi="Arial"/>
                <w:sz w:val="15"/>
                <w:szCs w:val="15"/>
                <w:color w:val="auto"/>
              </w:rPr>
              <w:t>No. of outstanding shares (millions)(4)</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79.76</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79.76</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79.76</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79.76</w:t>
            </w:r>
          </w:p>
        </w:tc>
        <w:tc>
          <w:tcPr>
            <w:tcW w:w="1120" w:type="dxa"/>
            <w:vAlign w:val="bottom"/>
          </w:tcPr>
          <w:p>
            <w:pPr>
              <w:jc w:val="right"/>
              <w:spacing w:after="0"/>
              <w:rPr>
                <w:sz w:val="20"/>
                <w:szCs w:val="20"/>
                <w:color w:val="auto"/>
              </w:rPr>
            </w:pPr>
            <w:r>
              <w:rPr>
                <w:rFonts w:ascii="Arial" w:cs="Arial" w:eastAsia="Arial" w:hAnsi="Arial"/>
                <w:sz w:val="15"/>
                <w:szCs w:val="15"/>
                <w:color w:val="auto"/>
              </w:rPr>
              <w:t>79.76</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Quality of loan portfolio</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3.50%</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2.53%</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1.94%</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3.50%</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20" w:type="dxa"/>
            <w:vAlign w:val="bottom"/>
            <w:gridSpan w:val="6"/>
          </w:tcPr>
          <w:p>
            <w:pPr>
              <w:ind w:left="40"/>
              <w:spacing w:after="0" w:line="146" w:lineRule="exact"/>
              <w:rPr>
                <w:sz w:val="20"/>
                <w:szCs w:val="20"/>
                <w:color w:val="auto"/>
              </w:rPr>
            </w:pPr>
            <w:r>
              <w:rPr>
                <w:rFonts w:ascii="Arial" w:cs="Arial" w:eastAsia="Arial" w:hAnsi="Arial"/>
                <w:sz w:val="15"/>
                <w:szCs w:val="15"/>
                <w:color w:val="auto"/>
              </w:rPr>
              <w:t>Past due loans as a percentage of total loans</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200"/>
              <w:spacing w:after="0" w:line="162" w:lineRule="exact"/>
              <w:rPr>
                <w:sz w:val="20"/>
                <w:szCs w:val="20"/>
                <w:color w:val="auto"/>
              </w:rPr>
            </w:pPr>
            <w:r>
              <w:rPr>
                <w:rFonts w:ascii="Arial" w:cs="Arial" w:eastAsia="Arial" w:hAnsi="Arial"/>
                <w:sz w:val="15"/>
                <w:szCs w:val="15"/>
                <w:color w:val="auto"/>
              </w:rPr>
              <w:t>total past due loans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158.01%</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172.39%</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202.78%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158.01%</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202.78%</w:t>
            </w: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gridSpan w:val="6"/>
          </w:tcPr>
          <w:p>
            <w:pPr>
              <w:ind w:left="200"/>
              <w:spacing w:after="0"/>
              <w:rPr>
                <w:sz w:val="20"/>
                <w:szCs w:val="20"/>
                <w:color w:val="auto"/>
              </w:rPr>
            </w:pPr>
            <w:r>
              <w:rPr>
                <w:rFonts w:ascii="Arial" w:cs="Arial" w:eastAsia="Arial" w:hAnsi="Arial"/>
                <w:sz w:val="15"/>
                <w:szCs w:val="15"/>
                <w:color w:val="auto"/>
              </w:rPr>
              <w:t>total loans</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5.52%</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4.36%</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3.94%</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5.52%</w:t>
            </w:r>
          </w:p>
        </w:tc>
        <w:tc>
          <w:tcPr>
            <w:tcW w:w="1120" w:type="dxa"/>
            <w:vAlign w:val="bottom"/>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94"/>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8"/>
              </w:rPr>
              <w:t>Operating efficiency</w:t>
            </w:r>
          </w:p>
        </w:tc>
        <w:tc>
          <w:tcPr>
            <w:tcW w:w="3520" w:type="dxa"/>
            <w:vAlign w:val="bottom"/>
            <w:gridSpan w:val="3"/>
          </w:tcPr>
          <w:p>
            <w:pPr>
              <w:spacing w:after="0"/>
              <w:rPr>
                <w:sz w:val="24"/>
                <w:szCs w:val="24"/>
                <w:color w:val="auto"/>
              </w:rPr>
            </w:pP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48.30%</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41.73%</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44.52%</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48.61%</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42.97%</w:t>
            </w:r>
          </w:p>
        </w:tc>
        <w:tc>
          <w:tcPr>
            <w:tcW w:w="0" w:type="dxa"/>
            <w:vAlign w:val="bottom"/>
          </w:tcPr>
          <w:p>
            <w:pPr>
              <w:spacing w:after="0"/>
              <w:rPr>
                <w:sz w:val="1"/>
                <w:szCs w:val="1"/>
                <w:color w:val="auto"/>
              </w:rPr>
            </w:pPr>
          </w:p>
        </w:tc>
      </w:tr>
      <w:tr>
        <w:trPr>
          <w:trHeight w:val="146"/>
        </w:trPr>
        <w:tc>
          <w:tcPr>
            <w:tcW w:w="4820" w:type="dxa"/>
            <w:vAlign w:val="bottom"/>
            <w:gridSpan w:val="6"/>
          </w:tcPr>
          <w:p>
            <w:pPr>
              <w:spacing w:after="0" w:line="146" w:lineRule="exact"/>
              <w:rPr>
                <w:sz w:val="20"/>
                <w:szCs w:val="20"/>
                <w:color w:val="auto"/>
              </w:rPr>
            </w:pPr>
            <w:r>
              <w:rPr>
                <w:rFonts w:ascii="Arial" w:cs="Arial" w:eastAsia="Arial" w:hAnsi="Arial"/>
                <w:sz w:val="15"/>
                <w:szCs w:val="15"/>
                <w:color w:val="auto"/>
              </w:rPr>
              <w:t>Oper. expense as a percent. of total income (5)</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20" w:type="dxa"/>
            <w:vAlign w:val="bottom"/>
            <w:gridSpan w:val="6"/>
          </w:tcPr>
          <w:p>
            <w:pPr>
              <w:spacing w:after="0"/>
              <w:rPr>
                <w:sz w:val="20"/>
                <w:szCs w:val="20"/>
                <w:color w:val="auto"/>
              </w:rPr>
            </w:pPr>
            <w:r>
              <w:rPr>
                <w:rFonts w:ascii="Arial" w:cs="Arial" w:eastAsia="Arial" w:hAnsi="Arial"/>
                <w:sz w:val="15"/>
                <w:szCs w:val="15"/>
                <w:color w:val="auto"/>
              </w:rPr>
              <w:t>Oper. expense as a percent. of av. tot. assets(2)(3)(5)</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4.82%</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3.98%</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4.02%</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4.53%</w:t>
            </w:r>
          </w:p>
        </w:tc>
        <w:tc>
          <w:tcPr>
            <w:tcW w:w="1120" w:type="dxa"/>
            <w:vAlign w:val="bottom"/>
          </w:tcPr>
          <w:p>
            <w:pPr>
              <w:jc w:val="right"/>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Capital adequacy</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835.2</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849.5</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851.6</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835.2</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851.6</w:t>
            </w:r>
          </w:p>
        </w:tc>
        <w:tc>
          <w:tcPr>
            <w:tcW w:w="0" w:type="dxa"/>
            <w:vAlign w:val="bottom"/>
          </w:tcPr>
          <w:p>
            <w:pPr>
              <w:spacing w:after="0"/>
              <w:rPr>
                <w:sz w:val="1"/>
                <w:szCs w:val="1"/>
                <w:color w:val="auto"/>
              </w:rPr>
            </w:pPr>
          </w:p>
        </w:tc>
      </w:tr>
      <w:tr>
        <w:trPr>
          <w:trHeight w:val="146"/>
        </w:trPr>
        <w:tc>
          <w:tcPr>
            <w:tcW w:w="1120" w:type="dxa"/>
            <w:vAlign w:val="bottom"/>
            <w:tcBorders>
              <w:top w:val="single" w:sz="8" w:color="auto"/>
            </w:tcBorders>
            <w:gridSpan w:val="2"/>
          </w:tcPr>
          <w:p>
            <w:pPr>
              <w:ind w:left="40"/>
              <w:spacing w:after="0" w:line="146" w:lineRule="exact"/>
              <w:rPr>
                <w:sz w:val="20"/>
                <w:szCs w:val="20"/>
                <w:color w:val="auto"/>
              </w:rPr>
            </w:pPr>
            <w:r>
              <w:rPr>
                <w:rFonts w:ascii="Arial" w:cs="Arial" w:eastAsia="Arial" w:hAnsi="Arial"/>
                <w:sz w:val="15"/>
                <w:szCs w:val="15"/>
                <w:color w:val="auto"/>
                <w:w w:val="96"/>
              </w:rPr>
              <w:t>Total Regulatory</w:t>
            </w:r>
          </w:p>
        </w:tc>
        <w:tc>
          <w:tcPr>
            <w:tcW w:w="3700" w:type="dxa"/>
            <w:vAlign w:val="bottom"/>
            <w:gridSpan w:val="4"/>
          </w:tcPr>
          <w:p>
            <w:pPr>
              <w:spacing w:after="0" w:line="146" w:lineRule="exact"/>
              <w:rPr>
                <w:sz w:val="20"/>
                <w:szCs w:val="20"/>
                <w:color w:val="auto"/>
              </w:rPr>
            </w:pPr>
            <w:r>
              <w:rPr>
                <w:rFonts w:ascii="Arial" w:cs="Arial" w:eastAsia="Arial" w:hAnsi="Arial"/>
                <w:sz w:val="15"/>
                <w:szCs w:val="15"/>
                <w:color w:val="auto"/>
              </w:rPr>
              <w:t>Capital (US$Mn)</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Tier I Capital (US$Mn)</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733.5</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765.8</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771.4</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733.5</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771.4</w:t>
            </w:r>
          </w:p>
        </w:tc>
        <w:tc>
          <w:tcPr>
            <w:tcW w:w="0" w:type="dxa"/>
            <w:vAlign w:val="bottom"/>
          </w:tcPr>
          <w:p>
            <w:pPr>
              <w:spacing w:after="0"/>
              <w:rPr>
                <w:sz w:val="1"/>
                <w:szCs w:val="1"/>
                <w:color w:val="auto"/>
              </w:rPr>
            </w:pPr>
          </w:p>
        </w:tc>
      </w:tr>
      <w:tr>
        <w:trPr>
          <w:trHeight w:val="188"/>
        </w:trPr>
        <w:tc>
          <w:tcPr>
            <w:tcW w:w="4820" w:type="dxa"/>
            <w:vAlign w:val="bottom"/>
            <w:gridSpan w:val="6"/>
          </w:tcPr>
          <w:p>
            <w:pPr>
              <w:ind w:left="40"/>
              <w:spacing w:after="0"/>
              <w:rPr>
                <w:sz w:val="20"/>
                <w:szCs w:val="20"/>
                <w:color w:val="auto"/>
              </w:rPr>
            </w:pPr>
            <w:r>
              <w:rPr>
                <w:rFonts w:ascii="Arial" w:cs="Arial" w:eastAsia="Arial" w:hAnsi="Arial"/>
                <w:sz w:val="15"/>
                <w:szCs w:val="15"/>
                <w:color w:val="auto"/>
              </w:rPr>
              <w:t>Regulatory capital / risk-weighted assets (6)</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12.87%</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12.94%</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13.16%</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12.87%</w:t>
            </w:r>
          </w:p>
        </w:tc>
        <w:tc>
          <w:tcPr>
            <w:tcW w:w="1120" w:type="dxa"/>
            <w:vAlign w:val="bottom"/>
          </w:tcPr>
          <w:p>
            <w:pPr>
              <w:jc w:val="right"/>
              <w:spacing w:after="0"/>
              <w:rPr>
                <w:sz w:val="20"/>
                <w:szCs w:val="20"/>
                <w:color w:val="auto"/>
              </w:rPr>
            </w:pPr>
            <w:r>
              <w:rPr>
                <w:rFonts w:ascii="Arial" w:cs="Arial" w:eastAsia="Arial" w:hAnsi="Arial"/>
                <w:sz w:val="15"/>
                <w:szCs w:val="15"/>
                <w:color w:val="auto"/>
              </w:rPr>
              <w:t>13.16%</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Average balances </w:t>
            </w: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Mn) (3)</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7,416.1</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7,896.6</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8,624.9</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7,115.7</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7,858.6</w:t>
            </w:r>
          </w:p>
        </w:tc>
        <w:tc>
          <w:tcPr>
            <w:tcW w:w="0" w:type="dxa"/>
            <w:vAlign w:val="bottom"/>
          </w:tcPr>
          <w:p>
            <w:pPr>
              <w:spacing w:after="0"/>
              <w:rPr>
                <w:sz w:val="1"/>
                <w:szCs w:val="1"/>
                <w:color w:val="auto"/>
              </w:rPr>
            </w:pPr>
          </w:p>
        </w:tc>
      </w:tr>
      <w:tr>
        <w:trPr>
          <w:trHeight w:val="146"/>
        </w:trPr>
        <w:tc>
          <w:tcPr>
            <w:tcW w:w="1940" w:type="dxa"/>
            <w:vAlign w:val="bottom"/>
            <w:tcBorders>
              <w:top w:val="single" w:sz="8" w:color="auto"/>
            </w:tcBorders>
            <w:gridSpan w:val="5"/>
          </w:tcPr>
          <w:p>
            <w:pPr>
              <w:ind w:left="40"/>
              <w:spacing w:after="0" w:line="146" w:lineRule="exact"/>
              <w:rPr>
                <w:sz w:val="20"/>
                <w:szCs w:val="20"/>
                <w:color w:val="auto"/>
              </w:rPr>
            </w:pPr>
            <w:r>
              <w:rPr>
                <w:rFonts w:ascii="Arial" w:cs="Arial" w:eastAsia="Arial" w:hAnsi="Arial"/>
                <w:sz w:val="15"/>
                <w:szCs w:val="15"/>
                <w:color w:val="auto"/>
              </w:rPr>
              <w:t>Interest earning assets</w:t>
            </w:r>
          </w:p>
        </w:tc>
        <w:tc>
          <w:tcPr>
            <w:tcW w:w="28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Total Assets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8,954.0</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9,631.0</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10,425.5</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8,586.3</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9,532.4</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gridSpan w:val="6"/>
          </w:tcPr>
          <w:p>
            <w:pPr>
              <w:ind w:left="40"/>
              <w:spacing w:after="0" w:line="172" w:lineRule="exact"/>
              <w:rPr>
                <w:sz w:val="20"/>
                <w:szCs w:val="20"/>
                <w:color w:val="auto"/>
              </w:rPr>
            </w:pPr>
            <w:r>
              <w:rPr>
                <w:rFonts w:ascii="Arial" w:cs="Arial" w:eastAsia="Arial" w:hAnsi="Arial"/>
                <w:sz w:val="15"/>
                <w:szCs w:val="15"/>
                <w:color w:val="auto"/>
              </w:rPr>
              <w:t>Net equity</w:t>
            </w:r>
          </w:p>
        </w:tc>
        <w:tc>
          <w:tcPr>
            <w:tcW w:w="12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1,033.4</w:t>
            </w:r>
          </w:p>
        </w:tc>
        <w:tc>
          <w:tcPr>
            <w:tcW w:w="1620" w:type="dxa"/>
            <w:vAlign w:val="bottom"/>
            <w:tcBorders>
              <w:bottom w:val="single" w:sz="8" w:color="auto"/>
            </w:tcBorders>
          </w:tcPr>
          <w:p>
            <w:pPr>
              <w:jc w:val="right"/>
              <w:ind w:right="266"/>
              <w:spacing w:after="0" w:line="172" w:lineRule="exact"/>
              <w:rPr>
                <w:sz w:val="20"/>
                <w:szCs w:val="20"/>
                <w:color w:val="auto"/>
              </w:rPr>
            </w:pPr>
            <w:r>
              <w:rPr>
                <w:rFonts w:ascii="Arial" w:cs="Arial" w:eastAsia="Arial" w:hAnsi="Arial"/>
                <w:sz w:val="15"/>
                <w:szCs w:val="15"/>
                <w:color w:val="auto"/>
              </w:rPr>
              <w:t>1,132.4</w:t>
            </w:r>
          </w:p>
        </w:tc>
        <w:tc>
          <w:tcPr>
            <w:tcW w:w="1320" w:type="dxa"/>
            <w:vAlign w:val="bottom"/>
            <w:tcBorders>
              <w:bottom w:val="single" w:sz="8" w:color="auto"/>
            </w:tcBorders>
          </w:tcPr>
          <w:p>
            <w:pPr>
              <w:jc w:val="right"/>
              <w:ind w:right="206"/>
              <w:spacing w:after="0" w:line="172" w:lineRule="exact"/>
              <w:rPr>
                <w:sz w:val="20"/>
                <w:szCs w:val="20"/>
                <w:color w:val="auto"/>
              </w:rPr>
            </w:pPr>
            <w:r>
              <w:rPr>
                <w:rFonts w:ascii="Arial" w:cs="Arial" w:eastAsia="Arial" w:hAnsi="Arial"/>
                <w:sz w:val="15"/>
                <w:szCs w:val="15"/>
                <w:color w:val="auto"/>
              </w:rPr>
              <w:t>1,180.5</w:t>
            </w:r>
          </w:p>
        </w:tc>
        <w:tc>
          <w:tcPr>
            <w:tcW w:w="1340" w:type="dxa"/>
            <w:vAlign w:val="bottom"/>
            <w:tcBorders>
              <w:bottom w:val="single" w:sz="8" w:color="auto"/>
            </w:tcBorders>
          </w:tcPr>
          <w:p>
            <w:pPr>
              <w:jc w:val="right"/>
              <w:ind w:right="186"/>
              <w:spacing w:after="0" w:line="172" w:lineRule="exact"/>
              <w:rPr>
                <w:sz w:val="20"/>
                <w:szCs w:val="20"/>
                <w:color w:val="auto"/>
              </w:rPr>
            </w:pPr>
            <w:r>
              <w:rPr>
                <w:rFonts w:ascii="Arial" w:cs="Arial" w:eastAsia="Arial" w:hAnsi="Arial"/>
                <w:sz w:val="15"/>
                <w:szCs w:val="15"/>
                <w:color w:val="auto"/>
              </w:rPr>
              <w:t>962.1</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1,094.9</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(1)Based on Net Income due to shareholders. Number of shares outstanding of 79.8 million in all periods.</w:t>
      </w:r>
    </w:p>
    <w:p>
      <w:pPr>
        <w:spacing w:after="0" w:line="227" w:lineRule="auto"/>
        <w:rPr>
          <w:sz w:val="20"/>
          <w:szCs w:val="20"/>
          <w:color w:val="auto"/>
        </w:rPr>
      </w:pPr>
      <w:r>
        <w:rPr>
          <w:rFonts w:ascii="Arial" w:cs="Arial" w:eastAsia="Arial" w:hAnsi="Arial"/>
          <w:sz w:val="15"/>
          <w:szCs w:val="15"/>
          <w:i w:val="1"/>
          <w:iCs w:val="1"/>
          <w:color w:val="auto"/>
        </w:rPr>
        <w:t>(2)Ratios are annualized.</w:t>
      </w:r>
    </w:p>
    <w:p>
      <w:pPr>
        <w:spacing w:after="0" w:line="226" w:lineRule="auto"/>
        <w:rPr>
          <w:sz w:val="20"/>
          <w:szCs w:val="20"/>
          <w:color w:val="auto"/>
        </w:rPr>
      </w:pPr>
      <w:r>
        <w:rPr>
          <w:rFonts w:ascii="Arial" w:cs="Arial" w:eastAsia="Arial" w:hAnsi="Arial"/>
          <w:sz w:val="15"/>
          <w:szCs w:val="15"/>
          <w:i w:val="1"/>
          <w:iCs w:val="1"/>
          <w:color w:val="auto"/>
        </w:rPr>
        <w:t>(3)Averages are determined as the average of period-beginning and period-ending balances.</w:t>
      </w:r>
    </w:p>
    <w:p>
      <w:pPr>
        <w:spacing w:after="0" w:line="225" w:lineRule="auto"/>
        <w:rPr>
          <w:sz w:val="20"/>
          <w:szCs w:val="20"/>
          <w:color w:val="auto"/>
        </w:rPr>
      </w:pPr>
      <w:r>
        <w:rPr>
          <w:rFonts w:ascii="Arial" w:cs="Arial" w:eastAsia="Arial" w:hAnsi="Arial"/>
          <w:sz w:val="15"/>
          <w:szCs w:val="15"/>
          <w:i w:val="1"/>
          <w:iCs w:val="1"/>
          <w:color w:val="auto"/>
        </w:rPr>
        <w:t>(4)Net of treasury shares. The total number of shares was of 94.38 million.</w:t>
      </w:r>
    </w:p>
    <w:p>
      <w:pPr>
        <w:spacing w:after="0" w:line="226" w:lineRule="auto"/>
        <w:rPr>
          <w:sz w:val="20"/>
          <w:szCs w:val="20"/>
          <w:color w:val="auto"/>
        </w:rPr>
      </w:pPr>
      <w:r>
        <w:rPr>
          <w:rFonts w:ascii="Arial" w:cs="Arial" w:eastAsia="Arial" w:hAnsi="Arial"/>
          <w:sz w:val="15"/>
          <w:szCs w:val="15"/>
          <w:i w:val="1"/>
          <w:iCs w:val="1"/>
          <w:color w:val="auto"/>
        </w:rPr>
        <w:t>(5)Total income includes net interest income and other income.</w:t>
      </w:r>
    </w:p>
    <w:p>
      <w:pPr>
        <w:ind w:left="160"/>
        <w:spacing w:after="0" w:line="225" w:lineRule="auto"/>
        <w:rPr>
          <w:sz w:val="20"/>
          <w:szCs w:val="20"/>
          <w:color w:val="auto"/>
        </w:rPr>
      </w:pPr>
      <w:r>
        <w:rPr>
          <w:rFonts w:ascii="Arial" w:cs="Arial" w:eastAsia="Arial" w:hAnsi="Arial"/>
          <w:sz w:val="15"/>
          <w:szCs w:val="15"/>
          <w:i w:val="1"/>
          <w:iCs w:val="1"/>
          <w:color w:val="auto"/>
        </w:rPr>
        <w:t>Operating expense does not include Other expenses and Merger costs.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(6)Risk-weighted assets include market risk assets.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jc w:val="center"/>
        <w:spacing w:after="0" w:line="230"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U.S.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780" w:type="dxa"/>
            <w:vAlign w:val="bottom"/>
            <w:tcBorders>
              <w:top w:val="single" w:sz="8" w:color="auto"/>
              <w:bottom w:val="single" w:sz="8" w:color="auto"/>
            </w:tcBorders>
            <w:gridSpan w:val="3"/>
          </w:tcPr>
          <w:p>
            <w:pPr>
              <w:jc w:val="center"/>
              <w:ind w:right="1820"/>
              <w:spacing w:after="0"/>
              <w:rPr>
                <w:sz w:val="20"/>
                <w:szCs w:val="20"/>
                <w:color w:val="auto"/>
              </w:rPr>
            </w:pPr>
            <w:r>
              <w:rPr>
                <w:rFonts w:ascii="Arial" w:cs="Arial" w:eastAsia="Arial" w:hAnsi="Arial"/>
                <w:sz w:val="15"/>
                <w:szCs w:val="15"/>
                <w:b w:val="1"/>
                <w:bCs w:val="1"/>
                <w:color w:val="auto"/>
                <w:w w:val="93"/>
              </w:rPr>
              <w:t>ASSETS</w:t>
            </w:r>
          </w:p>
        </w:tc>
        <w:tc>
          <w:tcPr>
            <w:tcW w:w="1680" w:type="dxa"/>
            <w:vAlign w:val="bottom"/>
            <w:tcBorders>
              <w:top w:val="single" w:sz="8" w:color="auto"/>
              <w:bottom w:val="single" w:sz="8" w:color="auto"/>
            </w:tcBorders>
            <w:gridSpan w:val="3"/>
          </w:tcPr>
          <w:p>
            <w:pPr>
              <w:jc w:val="right"/>
              <w:ind w:right="386"/>
              <w:spacing w:after="0"/>
              <w:rPr>
                <w:sz w:val="20"/>
                <w:szCs w:val="20"/>
                <w:color w:val="auto"/>
              </w:rPr>
            </w:pPr>
            <w:r>
              <w:rPr>
                <w:rFonts w:ascii="Arial" w:cs="Arial" w:eastAsia="Arial" w:hAnsi="Arial"/>
                <w:sz w:val="15"/>
                <w:szCs w:val="15"/>
                <w:b w:val="1"/>
                <w:bCs w:val="1"/>
                <w:color w:val="auto"/>
              </w:rPr>
              <w:t>30.09.04</w:t>
            </w:r>
          </w:p>
        </w:tc>
        <w:tc>
          <w:tcPr>
            <w:tcW w:w="3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386"/>
              <w:spacing w:after="0"/>
              <w:rPr>
                <w:sz w:val="20"/>
                <w:szCs w:val="20"/>
                <w:color w:val="auto"/>
              </w:rPr>
            </w:pPr>
            <w:r>
              <w:rPr>
                <w:rFonts w:ascii="Arial" w:cs="Arial" w:eastAsia="Arial" w:hAnsi="Arial"/>
                <w:sz w:val="15"/>
                <w:szCs w:val="15"/>
                <w:b w:val="1"/>
                <w:bCs w:val="1"/>
                <w:color w:val="auto"/>
              </w:rPr>
              <w:t>31.12.04</w:t>
            </w:r>
          </w:p>
        </w:tc>
        <w:tc>
          <w:tcPr>
            <w:tcW w:w="3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3"/>
          </w:tcPr>
          <w:p>
            <w:pPr>
              <w:jc w:val="right"/>
              <w:ind w:right="386"/>
              <w:spacing w:after="0"/>
              <w:rPr>
                <w:sz w:val="20"/>
                <w:szCs w:val="20"/>
                <w:color w:val="auto"/>
              </w:rPr>
            </w:pPr>
            <w:r>
              <w:rPr>
                <w:rFonts w:ascii="Arial" w:cs="Arial" w:eastAsia="Arial" w:hAnsi="Arial"/>
                <w:sz w:val="15"/>
                <w:szCs w:val="15"/>
                <w:b w:val="1"/>
                <w:bCs w:val="1"/>
                <w:color w:val="auto"/>
              </w:rPr>
              <w:t>30.09.05</w:t>
            </w:r>
          </w:p>
        </w:tc>
        <w:tc>
          <w:tcPr>
            <w:tcW w:w="3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3"/>
          </w:tcPr>
          <w:p>
            <w:pPr>
              <w:jc w:val="right"/>
              <w:ind w:right="386"/>
              <w:spacing w:after="0"/>
              <w:rPr>
                <w:sz w:val="20"/>
                <w:szCs w:val="20"/>
                <w:color w:val="auto"/>
              </w:rPr>
            </w:pPr>
            <w:r>
              <w:rPr>
                <w:rFonts w:ascii="Arial" w:cs="Arial" w:eastAsia="Arial" w:hAnsi="Arial"/>
                <w:sz w:val="15"/>
                <w:szCs w:val="15"/>
                <w:b w:val="1"/>
                <w:bCs w:val="1"/>
                <w:color w:val="auto"/>
              </w:rPr>
              <w:t>31.12.05</w:t>
            </w:r>
          </w:p>
        </w:tc>
        <w:tc>
          <w:tcPr>
            <w:tcW w:w="40" w:type="dxa"/>
            <w:vAlign w:val="bottom"/>
            <w:tcBorders>
              <w:top w:val="single" w:sz="8" w:color="auto"/>
              <w:bottom w:val="single" w:sz="8" w:color="auto"/>
            </w:tcBorders>
          </w:tcPr>
          <w:p>
            <w:pPr>
              <w:spacing w:after="0"/>
              <w:rPr>
                <w:sz w:val="16"/>
                <w:szCs w:val="16"/>
                <w:color w:val="auto"/>
              </w:rPr>
            </w:pPr>
          </w:p>
        </w:tc>
      </w:tr>
      <w:tr>
        <w:trPr>
          <w:trHeight w:val="318"/>
        </w:trPr>
        <w:tc>
          <w:tcPr>
            <w:tcW w:w="4580" w:type="dxa"/>
            <w:vAlign w:val="bottom"/>
            <w:gridSpan w:val="6"/>
          </w:tcPr>
          <w:p>
            <w:pPr>
              <w:spacing w:after="0"/>
              <w:rPr>
                <w:sz w:val="20"/>
                <w:szCs w:val="20"/>
                <w:color w:val="auto"/>
              </w:rPr>
            </w:pPr>
            <w:r>
              <w:rPr>
                <w:rFonts w:ascii="Arial" w:cs="Arial" w:eastAsia="Arial" w:hAnsi="Arial"/>
                <w:sz w:val="15"/>
                <w:szCs w:val="15"/>
                <w:color w:val="auto"/>
              </w:rPr>
              <w:t>CASH AND DUE FROM BANKS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1,682.</w:t>
            </w:r>
            <w:r>
              <w:rPr>
                <w:rFonts w:ascii="Arial" w:cs="Arial" w:eastAsia="Arial" w:hAnsi="Arial"/>
                <w:sz w:val="15"/>
                <w:szCs w:val="15"/>
                <w:u w:val="single" w:color="auto"/>
                <w:color w:val="auto"/>
              </w:rPr>
              <w:t>189</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1,708.</w:t>
            </w:r>
            <w:r>
              <w:rPr>
                <w:rFonts w:ascii="Arial" w:cs="Arial" w:eastAsia="Arial" w:hAnsi="Arial"/>
                <w:sz w:val="15"/>
                <w:szCs w:val="15"/>
                <w:u w:val="single" w:color="auto"/>
                <w:color w:val="auto"/>
              </w:rPr>
              <w:t>916</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1,666.</w:t>
            </w:r>
            <w:r>
              <w:rPr>
                <w:rFonts w:ascii="Arial" w:cs="Arial" w:eastAsia="Arial" w:hAnsi="Arial"/>
                <w:sz w:val="15"/>
                <w:szCs w:val="15"/>
                <w:u w:val="single" w:color="auto"/>
                <w:color w:val="auto"/>
              </w:rPr>
              <w:t>248</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2,453.</w:t>
            </w:r>
            <w:r>
              <w:rPr>
                <w:rFonts w:ascii="Arial" w:cs="Arial" w:eastAsia="Arial" w:hAnsi="Arial"/>
                <w:sz w:val="15"/>
                <w:szCs w:val="15"/>
                <w:u w:val="single" w:color="auto"/>
                <w:color w:val="auto"/>
              </w:rPr>
              <w:t>264</w:t>
            </w:r>
          </w:p>
        </w:tc>
        <w:tc>
          <w:tcPr>
            <w:tcW w:w="40" w:type="dxa"/>
            <w:vAlign w:val="bottom"/>
          </w:tcPr>
          <w:p>
            <w:pPr>
              <w:spacing w:after="0"/>
              <w:rPr>
                <w:sz w:val="24"/>
                <w:szCs w:val="24"/>
                <w:color w:val="auto"/>
              </w:rPr>
            </w:pPr>
          </w:p>
        </w:tc>
      </w:tr>
      <w:tr>
        <w:trPr>
          <w:trHeight w:val="146"/>
        </w:trPr>
        <w:tc>
          <w:tcPr>
            <w:tcW w:w="2100" w:type="dxa"/>
            <w:vAlign w:val="bottom"/>
            <w:tcBorders>
              <w:top w:val="single" w:sz="8" w:color="auto"/>
            </w:tcBorders>
            <w:gridSpan w:val="4"/>
          </w:tcPr>
          <w:p>
            <w:pPr>
              <w:ind w:left="40"/>
              <w:spacing w:after="0" w:line="146" w:lineRule="exact"/>
              <w:rPr>
                <w:sz w:val="20"/>
                <w:szCs w:val="20"/>
                <w:color w:val="auto"/>
              </w:rPr>
            </w:pPr>
            <w:r>
              <w:rPr>
                <w:rFonts w:ascii="Arial" w:cs="Arial" w:eastAsia="Arial" w:hAnsi="Arial"/>
                <w:sz w:val="15"/>
                <w:szCs w:val="15"/>
                <w:color w:val="auto"/>
              </w:rPr>
              <w:t>Cash and Checks</w:t>
            </w: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237.400</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250.325</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303.547</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359.677</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Deposits in Central Bank of Peru</w:t>
            </w:r>
          </w:p>
        </w:tc>
        <w:tc>
          <w:tcPr>
            <w:tcW w:w="2060" w:type="dxa"/>
            <w:vAlign w:val="bottom"/>
            <w:gridSpan w:val="4"/>
          </w:tcPr>
          <w:p>
            <w:pPr>
              <w:jc w:val="right"/>
              <w:ind w:right="380"/>
              <w:spacing w:after="0" w:line="162" w:lineRule="exact"/>
              <w:rPr>
                <w:sz w:val="20"/>
                <w:szCs w:val="20"/>
                <w:color w:val="auto"/>
              </w:rPr>
            </w:pPr>
            <w:r>
              <w:rPr>
                <w:rFonts w:ascii="Arial" w:cs="Arial" w:eastAsia="Arial" w:hAnsi="Arial"/>
                <w:sz w:val="15"/>
                <w:szCs w:val="15"/>
                <w:color w:val="auto"/>
              </w:rPr>
              <w:t>1,050.419</w:t>
            </w:r>
          </w:p>
        </w:tc>
        <w:tc>
          <w:tcPr>
            <w:tcW w:w="1720" w:type="dxa"/>
            <w:vAlign w:val="bottom"/>
            <w:gridSpan w:val="3"/>
          </w:tcPr>
          <w:p>
            <w:pPr>
              <w:jc w:val="right"/>
              <w:ind w:right="380"/>
              <w:spacing w:after="0" w:line="162" w:lineRule="exact"/>
              <w:rPr>
                <w:sz w:val="20"/>
                <w:szCs w:val="20"/>
                <w:color w:val="auto"/>
              </w:rPr>
            </w:pPr>
            <w:r>
              <w:rPr>
                <w:rFonts w:ascii="Arial" w:cs="Arial" w:eastAsia="Arial" w:hAnsi="Arial"/>
                <w:sz w:val="15"/>
                <w:szCs w:val="15"/>
                <w:color w:val="auto"/>
              </w:rPr>
              <w:t>1,102.491</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1,071.473</w:t>
            </w:r>
          </w:p>
        </w:tc>
        <w:tc>
          <w:tcPr>
            <w:tcW w:w="36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1,599.153</w:t>
            </w:r>
          </w:p>
        </w:tc>
        <w:tc>
          <w:tcPr>
            <w:tcW w:w="40" w:type="dxa"/>
            <w:vAlign w:val="bottom"/>
          </w:tcPr>
          <w:p>
            <w:pPr>
              <w:spacing w:after="0"/>
              <w:rPr>
                <w:sz w:val="14"/>
                <w:szCs w:val="14"/>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Deposits with local and foreign banks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394.370</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356.100</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291.228</w:t>
            </w:r>
          </w:p>
        </w:tc>
        <w:tc>
          <w:tcPr>
            <w:tcW w:w="3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494.434</w:t>
            </w:r>
          </w:p>
        </w:tc>
        <w:tc>
          <w:tcPr>
            <w:tcW w:w="40" w:type="dxa"/>
            <w:vAlign w:val="bottom"/>
          </w:tcPr>
          <w:p>
            <w:pPr>
              <w:spacing w:after="0"/>
              <w:rPr>
                <w:sz w:val="16"/>
                <w:szCs w:val="16"/>
                <w:color w:val="auto"/>
              </w:rPr>
            </w:pPr>
          </w:p>
        </w:tc>
      </w:tr>
      <w:tr>
        <w:trPr>
          <w:trHeight w:val="324"/>
        </w:trPr>
        <w:tc>
          <w:tcPr>
            <w:tcW w:w="4580" w:type="dxa"/>
            <w:vAlign w:val="bottom"/>
            <w:gridSpan w:val="6"/>
          </w:tcPr>
          <w:p>
            <w:pPr>
              <w:spacing w:after="0"/>
              <w:rPr>
                <w:sz w:val="20"/>
                <w:szCs w:val="20"/>
                <w:color w:val="auto"/>
              </w:rPr>
            </w:pPr>
            <w:r>
              <w:rPr>
                <w:rFonts w:ascii="Arial" w:cs="Arial" w:eastAsia="Arial" w:hAnsi="Arial"/>
                <w:sz w:val="15"/>
                <w:szCs w:val="15"/>
                <w:color w:val="auto"/>
              </w:rPr>
              <w:t>TRADING SECURITIES, net</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54.936</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46.962</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63.796</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21.149</w:t>
            </w:r>
          </w:p>
        </w:tc>
        <w:tc>
          <w:tcPr>
            <w:tcW w:w="40" w:type="dxa"/>
            <w:vAlign w:val="bottom"/>
          </w:tcPr>
          <w:p>
            <w:pPr>
              <w:spacing w:after="0"/>
              <w:rPr>
                <w:sz w:val="24"/>
                <w:szCs w:val="24"/>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color w:val="auto"/>
              </w:rPr>
              <w:t>LOANS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4,090.</w:t>
            </w:r>
            <w:r>
              <w:rPr>
                <w:rFonts w:ascii="Arial" w:cs="Arial" w:eastAsia="Arial" w:hAnsi="Arial"/>
                <w:sz w:val="15"/>
                <w:szCs w:val="15"/>
                <w:u w:val="single" w:color="auto"/>
                <w:color w:val="auto"/>
              </w:rPr>
              <w:t>347</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4,098.</w:t>
            </w:r>
            <w:r>
              <w:rPr>
                <w:rFonts w:ascii="Arial" w:cs="Arial" w:eastAsia="Arial" w:hAnsi="Arial"/>
                <w:sz w:val="15"/>
                <w:szCs w:val="15"/>
                <w:u w:val="single" w:color="auto"/>
                <w:color w:val="auto"/>
              </w:rPr>
              <w:t>487</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4,478.</w:t>
            </w:r>
            <w:r>
              <w:rPr>
                <w:rFonts w:ascii="Arial" w:cs="Arial" w:eastAsia="Arial" w:hAnsi="Arial"/>
                <w:sz w:val="15"/>
                <w:szCs w:val="15"/>
                <w:u w:val="single" w:color="auto"/>
                <w:color w:val="auto"/>
              </w:rPr>
              <w:t>503</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4,829.</w:t>
            </w:r>
            <w:r>
              <w:rPr>
                <w:rFonts w:ascii="Arial" w:cs="Arial" w:eastAsia="Arial" w:hAnsi="Arial"/>
                <w:sz w:val="15"/>
                <w:szCs w:val="15"/>
                <w:u w:val="single" w:color="auto"/>
                <w:color w:val="auto"/>
              </w:rPr>
              <w:t>633</w:t>
            </w:r>
          </w:p>
        </w:tc>
        <w:tc>
          <w:tcPr>
            <w:tcW w:w="40" w:type="dxa"/>
            <w:vAlign w:val="bottom"/>
          </w:tcPr>
          <w:p>
            <w:pPr>
              <w:spacing w:after="0"/>
              <w:rPr>
                <w:sz w:val="24"/>
                <w:szCs w:val="24"/>
                <w:color w:val="auto"/>
              </w:rPr>
            </w:pPr>
          </w:p>
        </w:tc>
      </w:tr>
      <w:tr>
        <w:trPr>
          <w:trHeight w:val="146"/>
        </w:trPr>
        <w:tc>
          <w:tcPr>
            <w:tcW w:w="500" w:type="dxa"/>
            <w:vAlign w:val="bottom"/>
            <w:tcBorders>
              <w:top w:val="single" w:sz="8" w:color="auto"/>
            </w:tcBorders>
          </w:tcPr>
          <w:p>
            <w:pPr>
              <w:ind w:left="40"/>
              <w:spacing w:after="0" w:line="146" w:lineRule="exact"/>
              <w:rPr>
                <w:sz w:val="20"/>
                <w:szCs w:val="20"/>
                <w:color w:val="auto"/>
              </w:rPr>
            </w:pPr>
            <w:r>
              <w:rPr>
                <w:rFonts w:ascii="Arial" w:cs="Arial" w:eastAsia="Arial" w:hAnsi="Arial"/>
                <w:sz w:val="15"/>
                <w:szCs w:val="15"/>
                <w:color w:val="auto"/>
                <w:w w:val="87"/>
              </w:rPr>
              <w:t>Current</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3"/>
              </w:rPr>
              <w:t>3,886.635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3"/>
              </w:rPr>
              <w:t>3,947.586</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4,364.338</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4,735.926</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Past Due</w:t>
            </w:r>
          </w:p>
        </w:tc>
        <w:tc>
          <w:tcPr>
            <w:tcW w:w="2060" w:type="dxa"/>
            <w:vAlign w:val="bottom"/>
            <w:gridSpan w:val="4"/>
          </w:tcPr>
          <w:p>
            <w:pPr>
              <w:jc w:val="right"/>
              <w:ind w:right="380"/>
              <w:spacing w:after="0" w:line="162" w:lineRule="exact"/>
              <w:rPr>
                <w:sz w:val="20"/>
                <w:szCs w:val="20"/>
                <w:color w:val="auto"/>
              </w:rPr>
            </w:pPr>
            <w:r>
              <w:rPr>
                <w:rFonts w:ascii="Arial" w:cs="Arial" w:eastAsia="Arial" w:hAnsi="Arial"/>
                <w:sz w:val="15"/>
                <w:szCs w:val="15"/>
                <w:color w:val="auto"/>
              </w:rPr>
              <w:t>203.712</w:t>
            </w:r>
          </w:p>
        </w:tc>
        <w:tc>
          <w:tcPr>
            <w:tcW w:w="1720" w:type="dxa"/>
            <w:vAlign w:val="bottom"/>
            <w:gridSpan w:val="3"/>
          </w:tcPr>
          <w:p>
            <w:pPr>
              <w:jc w:val="right"/>
              <w:ind w:right="380"/>
              <w:spacing w:after="0" w:line="162" w:lineRule="exact"/>
              <w:rPr>
                <w:sz w:val="20"/>
                <w:szCs w:val="20"/>
                <w:color w:val="auto"/>
              </w:rPr>
            </w:pPr>
            <w:r>
              <w:rPr>
                <w:rFonts w:ascii="Arial" w:cs="Arial" w:eastAsia="Arial" w:hAnsi="Arial"/>
                <w:sz w:val="15"/>
                <w:szCs w:val="15"/>
                <w:color w:val="auto"/>
              </w:rPr>
              <w:t>150.901</w:t>
            </w:r>
          </w:p>
        </w:tc>
        <w:tc>
          <w:tcPr>
            <w:tcW w:w="1700" w:type="dxa"/>
            <w:vAlign w:val="bottom"/>
            <w:gridSpan w:val="4"/>
          </w:tcPr>
          <w:p>
            <w:pPr>
              <w:jc w:val="right"/>
              <w:ind w:right="360"/>
              <w:spacing w:after="0" w:line="162" w:lineRule="exact"/>
              <w:rPr>
                <w:sz w:val="20"/>
                <w:szCs w:val="20"/>
                <w:color w:val="auto"/>
              </w:rPr>
            </w:pPr>
            <w:r>
              <w:rPr>
                <w:rFonts w:ascii="Arial" w:cs="Arial" w:eastAsia="Arial" w:hAnsi="Arial"/>
                <w:sz w:val="15"/>
                <w:szCs w:val="15"/>
                <w:color w:val="auto"/>
              </w:rPr>
              <w:t>114.165</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93.707</w:t>
            </w:r>
          </w:p>
        </w:tc>
        <w:tc>
          <w:tcPr>
            <w:tcW w:w="40" w:type="dxa"/>
            <w:vAlign w:val="bottom"/>
          </w:tcPr>
          <w:p>
            <w:pPr>
              <w:spacing w:after="0"/>
              <w:rPr>
                <w:sz w:val="14"/>
                <w:szCs w:val="14"/>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Less - Reserve for possible loan losses</w:t>
            </w:r>
          </w:p>
        </w:tc>
        <w:tc>
          <w:tcPr>
            <w:tcW w:w="2060" w:type="dxa"/>
            <w:vAlign w:val="bottom"/>
            <w:gridSpan w:val="4"/>
          </w:tcPr>
          <w:p>
            <w:pPr>
              <w:jc w:val="right"/>
              <w:ind w:right="340"/>
              <w:spacing w:after="0" w:line="162" w:lineRule="exact"/>
              <w:rPr>
                <w:sz w:val="20"/>
                <w:szCs w:val="20"/>
                <w:color w:val="auto"/>
              </w:rPr>
            </w:pPr>
            <w:r>
              <w:rPr>
                <w:rFonts w:ascii="Arial" w:cs="Arial" w:eastAsia="Arial" w:hAnsi="Arial"/>
                <w:sz w:val="15"/>
                <w:szCs w:val="15"/>
                <w:color w:val="auto"/>
              </w:rPr>
              <w:t>(273.241)</w:t>
            </w:r>
          </w:p>
        </w:tc>
        <w:tc>
          <w:tcPr>
            <w:tcW w:w="172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(241.189)</w:t>
            </w:r>
          </w:p>
        </w:tc>
        <w:tc>
          <w:tcPr>
            <w:tcW w:w="1700" w:type="dxa"/>
            <w:vAlign w:val="bottom"/>
            <w:gridSpan w:val="4"/>
          </w:tcPr>
          <w:p>
            <w:pPr>
              <w:jc w:val="right"/>
              <w:ind w:right="320"/>
              <w:spacing w:after="0" w:line="162" w:lineRule="exact"/>
              <w:rPr>
                <w:sz w:val="20"/>
                <w:szCs w:val="20"/>
                <w:color w:val="auto"/>
              </w:rPr>
            </w:pPr>
            <w:r>
              <w:rPr>
                <w:rFonts w:ascii="Arial" w:cs="Arial" w:eastAsia="Arial" w:hAnsi="Arial"/>
                <w:sz w:val="15"/>
                <w:szCs w:val="15"/>
                <w:color w:val="auto"/>
              </w:rPr>
              <w:t>(200.068)</w:t>
            </w:r>
          </w:p>
        </w:tc>
        <w:tc>
          <w:tcPr>
            <w:tcW w:w="13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(194.586)</w:t>
            </w:r>
          </w:p>
        </w:tc>
      </w:tr>
      <w:tr>
        <w:trPr>
          <w:trHeight w:val="158"/>
        </w:trPr>
        <w:tc>
          <w:tcPr>
            <w:tcW w:w="4580" w:type="dxa"/>
            <w:vAlign w:val="bottom"/>
            <w:gridSpan w:val="6"/>
          </w:tcPr>
          <w:p>
            <w:pPr>
              <w:spacing w:after="0" w:line="158" w:lineRule="exact"/>
              <w:rPr>
                <w:sz w:val="20"/>
                <w:szCs w:val="20"/>
                <w:color w:val="auto"/>
              </w:rPr>
            </w:pPr>
            <w:r>
              <w:rPr>
                <w:rFonts w:ascii="Arial" w:cs="Arial" w:eastAsia="Arial" w:hAnsi="Arial"/>
                <w:sz w:val="15"/>
                <w:szCs w:val="15"/>
                <w:color w:val="auto"/>
              </w:rPr>
              <w:t>LOANS NET</w:t>
            </w:r>
          </w:p>
        </w:tc>
        <w:tc>
          <w:tcPr>
            <w:tcW w:w="2060" w:type="dxa"/>
            <w:vAlign w:val="bottom"/>
            <w:gridSpan w:val="4"/>
          </w:tcPr>
          <w:p>
            <w:pPr>
              <w:jc w:val="right"/>
              <w:ind w:right="380"/>
              <w:spacing w:after="0" w:line="158" w:lineRule="exact"/>
              <w:rPr>
                <w:sz w:val="20"/>
                <w:szCs w:val="20"/>
                <w:color w:val="auto"/>
              </w:rPr>
            </w:pPr>
            <w:r>
              <w:rPr>
                <w:rFonts w:ascii="Arial" w:cs="Arial" w:eastAsia="Arial" w:hAnsi="Arial"/>
                <w:sz w:val="15"/>
                <w:szCs w:val="15"/>
                <w:color w:val="auto"/>
              </w:rPr>
              <w:t>3,817.</w:t>
            </w:r>
            <w:r>
              <w:rPr>
                <w:rFonts w:ascii="Arial" w:cs="Arial" w:eastAsia="Arial" w:hAnsi="Arial"/>
                <w:sz w:val="15"/>
                <w:szCs w:val="15"/>
                <w:u w:val="single" w:color="auto"/>
                <w:color w:val="auto"/>
              </w:rPr>
              <w:t>106</w:t>
            </w:r>
          </w:p>
        </w:tc>
        <w:tc>
          <w:tcPr>
            <w:tcW w:w="1720" w:type="dxa"/>
            <w:vAlign w:val="bottom"/>
            <w:gridSpan w:val="3"/>
          </w:tcPr>
          <w:p>
            <w:pPr>
              <w:jc w:val="right"/>
              <w:ind w:right="380"/>
              <w:spacing w:after="0" w:line="158" w:lineRule="exact"/>
              <w:rPr>
                <w:sz w:val="20"/>
                <w:szCs w:val="20"/>
                <w:color w:val="auto"/>
              </w:rPr>
            </w:pPr>
            <w:r>
              <w:rPr>
                <w:rFonts w:ascii="Arial" w:cs="Arial" w:eastAsia="Arial" w:hAnsi="Arial"/>
                <w:sz w:val="15"/>
                <w:szCs w:val="15"/>
                <w:color w:val="auto"/>
              </w:rPr>
              <w:t>3,857.</w:t>
            </w:r>
            <w:r>
              <w:rPr>
                <w:rFonts w:ascii="Arial" w:cs="Arial" w:eastAsia="Arial" w:hAnsi="Arial"/>
                <w:sz w:val="15"/>
                <w:szCs w:val="15"/>
                <w:u w:val="single" w:color="auto"/>
                <w:color w:val="auto"/>
              </w:rPr>
              <w:t>298</w:t>
            </w:r>
          </w:p>
        </w:tc>
        <w:tc>
          <w:tcPr>
            <w:tcW w:w="13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4,278.</w:t>
            </w:r>
            <w:r>
              <w:rPr>
                <w:rFonts w:ascii="Arial" w:cs="Arial" w:eastAsia="Arial" w:hAnsi="Arial"/>
                <w:sz w:val="15"/>
                <w:szCs w:val="15"/>
                <w:u w:val="single" w:color="auto"/>
                <w:color w:val="auto"/>
              </w:rPr>
              <w:t>435</w:t>
            </w:r>
          </w:p>
        </w:tc>
        <w:tc>
          <w:tcPr>
            <w:tcW w:w="360" w:type="dxa"/>
            <w:vAlign w:val="bottom"/>
          </w:tcPr>
          <w:p>
            <w:pPr>
              <w:spacing w:after="0"/>
              <w:rPr>
                <w:sz w:val="13"/>
                <w:szCs w:val="13"/>
                <w:color w:val="auto"/>
              </w:rPr>
            </w:pPr>
          </w:p>
        </w:tc>
        <w:tc>
          <w:tcPr>
            <w:tcW w:w="132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4,635.</w:t>
            </w:r>
            <w:r>
              <w:rPr>
                <w:rFonts w:ascii="Arial" w:cs="Arial" w:eastAsia="Arial" w:hAnsi="Arial"/>
                <w:sz w:val="15"/>
                <w:szCs w:val="15"/>
                <w:u w:val="single" w:color="auto"/>
                <w:color w:val="auto"/>
              </w:rPr>
              <w:t>047</w:t>
            </w:r>
          </w:p>
        </w:tc>
        <w:tc>
          <w:tcPr>
            <w:tcW w:w="40" w:type="dxa"/>
            <w:vAlign w:val="bottom"/>
          </w:tcPr>
          <w:p>
            <w:pPr>
              <w:spacing w:after="0"/>
              <w:rPr>
                <w:sz w:val="13"/>
                <w:szCs w:val="13"/>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4580" w:type="dxa"/>
            <w:vAlign w:val="bottom"/>
            <w:gridSpan w:val="6"/>
          </w:tcPr>
          <w:p>
            <w:pPr>
              <w:spacing w:after="0"/>
              <w:rPr>
                <w:sz w:val="20"/>
                <w:szCs w:val="20"/>
                <w:color w:val="auto"/>
              </w:rPr>
            </w:pPr>
            <w:r>
              <w:rPr>
                <w:rFonts w:ascii="Arial" w:cs="Arial" w:eastAsia="Arial" w:hAnsi="Arial"/>
                <w:sz w:val="15"/>
                <w:szCs w:val="15"/>
                <w:color w:val="auto"/>
              </w:rPr>
              <w:t>INVESTMENT SECURITIES AVAIL. FOR SALE</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933.051</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1,127.150</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1,601.828</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1,684.823</w:t>
            </w:r>
          </w:p>
        </w:tc>
        <w:tc>
          <w:tcPr>
            <w:tcW w:w="40" w:type="dxa"/>
            <w:vAlign w:val="bottom"/>
          </w:tcPr>
          <w:p>
            <w:pPr>
              <w:spacing w:after="0"/>
              <w:rPr>
                <w:sz w:val="24"/>
                <w:szCs w:val="24"/>
                <w:color w:val="auto"/>
              </w:rPr>
            </w:pPr>
          </w:p>
        </w:tc>
      </w:tr>
      <w:tr>
        <w:trPr>
          <w:trHeight w:val="162"/>
        </w:trPr>
        <w:tc>
          <w:tcPr>
            <w:tcW w:w="4580" w:type="dxa"/>
            <w:vAlign w:val="bottom"/>
            <w:gridSpan w:val="6"/>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2060" w:type="dxa"/>
            <w:vAlign w:val="bottom"/>
            <w:gridSpan w:val="4"/>
          </w:tcPr>
          <w:p>
            <w:pPr>
              <w:jc w:val="right"/>
              <w:ind w:right="380"/>
              <w:spacing w:after="0" w:line="162" w:lineRule="exact"/>
              <w:rPr>
                <w:sz w:val="20"/>
                <w:szCs w:val="20"/>
                <w:color w:val="auto"/>
              </w:rPr>
            </w:pPr>
            <w:r>
              <w:rPr>
                <w:rFonts w:ascii="Arial" w:cs="Arial" w:eastAsia="Arial" w:hAnsi="Arial"/>
                <w:sz w:val="15"/>
                <w:szCs w:val="15"/>
                <w:color w:val="auto"/>
              </w:rPr>
              <w:t>197.912</w:t>
            </w:r>
          </w:p>
        </w:tc>
        <w:tc>
          <w:tcPr>
            <w:tcW w:w="1720" w:type="dxa"/>
            <w:vAlign w:val="bottom"/>
            <w:gridSpan w:val="3"/>
          </w:tcPr>
          <w:p>
            <w:pPr>
              <w:jc w:val="right"/>
              <w:ind w:right="380"/>
              <w:spacing w:after="0" w:line="162" w:lineRule="exact"/>
              <w:rPr>
                <w:sz w:val="20"/>
                <w:szCs w:val="20"/>
                <w:color w:val="auto"/>
              </w:rPr>
            </w:pPr>
            <w:r>
              <w:rPr>
                <w:rFonts w:ascii="Arial" w:cs="Arial" w:eastAsia="Arial" w:hAnsi="Arial"/>
                <w:sz w:val="15"/>
                <w:szCs w:val="15"/>
                <w:color w:val="auto"/>
              </w:rPr>
              <w:t>214.278</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202.410</w:t>
            </w:r>
          </w:p>
        </w:tc>
        <w:tc>
          <w:tcPr>
            <w:tcW w:w="36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201.122</w:t>
            </w:r>
          </w:p>
        </w:tc>
        <w:tc>
          <w:tcPr>
            <w:tcW w:w="40" w:type="dxa"/>
            <w:vAlign w:val="bottom"/>
          </w:tcPr>
          <w:p>
            <w:pPr>
              <w:spacing w:after="0"/>
              <w:rPr>
                <w:sz w:val="14"/>
                <w:szCs w:val="14"/>
                <w:color w:val="auto"/>
              </w:rPr>
            </w:pPr>
          </w:p>
        </w:tc>
      </w:tr>
      <w:tr>
        <w:trPr>
          <w:trHeight w:val="188"/>
        </w:trPr>
        <w:tc>
          <w:tcPr>
            <w:tcW w:w="4580" w:type="dxa"/>
            <w:vAlign w:val="bottom"/>
            <w:gridSpan w:val="6"/>
          </w:tcPr>
          <w:p>
            <w:pPr>
              <w:spacing w:after="0"/>
              <w:rPr>
                <w:sz w:val="20"/>
                <w:szCs w:val="20"/>
                <w:color w:val="auto"/>
              </w:rPr>
            </w:pPr>
            <w:r>
              <w:rPr>
                <w:rFonts w:ascii="Arial" w:cs="Arial" w:eastAsia="Arial" w:hAnsi="Arial"/>
                <w:sz w:val="15"/>
                <w:szCs w:val="15"/>
                <w:color w:val="auto"/>
              </w:rPr>
              <w:t>OTHER ASSETS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274.203</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356.133</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370.974</w:t>
            </w:r>
          </w:p>
        </w:tc>
        <w:tc>
          <w:tcPr>
            <w:tcW w:w="3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321.419</w:t>
            </w:r>
          </w:p>
        </w:tc>
        <w:tc>
          <w:tcPr>
            <w:tcW w:w="40" w:type="dxa"/>
            <w:vAlign w:val="bottom"/>
          </w:tcPr>
          <w:p>
            <w:pPr>
              <w:spacing w:after="0"/>
              <w:rPr>
                <w:sz w:val="16"/>
                <w:szCs w:val="16"/>
                <w:color w:val="auto"/>
              </w:rPr>
            </w:pP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4"/>
          </w:tcPr>
          <w:p>
            <w:pPr>
              <w:jc w:val="center"/>
              <w:ind w:right="840"/>
              <w:spacing w:after="0"/>
              <w:rPr>
                <w:sz w:val="20"/>
                <w:szCs w:val="20"/>
                <w:color w:val="auto"/>
              </w:rPr>
            </w:pPr>
            <w:r>
              <w:rPr>
                <w:rFonts w:ascii="Arial" w:cs="Arial" w:eastAsia="Arial" w:hAnsi="Arial"/>
                <w:sz w:val="15"/>
                <w:szCs w:val="15"/>
                <w:b w:val="1"/>
                <w:bCs w:val="1"/>
                <w:color w:val="auto"/>
                <w:w w:val="94"/>
              </w:rPr>
              <w:t>TOTAL ASSETS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b w:val="1"/>
                <w:bCs w:val="1"/>
                <w:color w:val="auto"/>
              </w:rPr>
              <w:t>6,959.397</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b w:val="1"/>
                <w:bCs w:val="1"/>
                <w:color w:val="auto"/>
              </w:rPr>
              <w:t>7,310.737</w:t>
            </w: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rPr>
              <w:t>8,183.691</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b w:val="1"/>
                <w:bCs w:val="1"/>
                <w:color w:val="auto"/>
              </w:rPr>
              <w:t>9,316.825</w:t>
            </w:r>
          </w:p>
        </w:tc>
        <w:tc>
          <w:tcPr>
            <w:tcW w:w="40" w:type="dxa"/>
            <w:vAlign w:val="bottom"/>
          </w:tcPr>
          <w:p>
            <w:pPr>
              <w:spacing w:after="0"/>
              <w:rPr>
                <w:sz w:val="24"/>
                <w:szCs w:val="24"/>
                <w:color w:val="auto"/>
              </w:rPr>
            </w:pPr>
          </w:p>
        </w:tc>
      </w:tr>
      <w:tr>
        <w:trPr>
          <w:trHeight w:val="298"/>
        </w:trPr>
        <w:tc>
          <w:tcPr>
            <w:tcW w:w="500" w:type="dxa"/>
            <w:vAlign w:val="bottom"/>
          </w:tcPr>
          <w:p>
            <w:pPr>
              <w:spacing w:after="0"/>
              <w:rPr>
                <w:sz w:val="24"/>
                <w:szCs w:val="24"/>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5"/>
                <w:szCs w:val="15"/>
                <w:b w:val="1"/>
                <w:bCs w:val="1"/>
                <w:color w:val="auto"/>
              </w:rPr>
              <w:t>LIABILITIES AND SHAREHOLDERS' EQUITY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8"/>
        </w:trPr>
        <w:tc>
          <w:tcPr>
            <w:tcW w:w="4580" w:type="dxa"/>
            <w:vAlign w:val="bottom"/>
            <w:gridSpan w:val="6"/>
          </w:tcPr>
          <w:p>
            <w:pPr>
              <w:spacing w:after="0" w:line="158" w:lineRule="exact"/>
              <w:rPr>
                <w:sz w:val="20"/>
                <w:szCs w:val="20"/>
                <w:color w:val="auto"/>
              </w:rPr>
            </w:pPr>
            <w:r>
              <w:rPr>
                <w:rFonts w:ascii="Arial" w:cs="Arial" w:eastAsia="Arial" w:hAnsi="Arial"/>
                <w:sz w:val="15"/>
                <w:szCs w:val="15"/>
                <w:color w:val="auto"/>
              </w:rPr>
              <w:t>DEPOSITS AND OBLIGATIONS:</w:t>
            </w:r>
          </w:p>
        </w:tc>
        <w:tc>
          <w:tcPr>
            <w:tcW w:w="2060" w:type="dxa"/>
            <w:vAlign w:val="bottom"/>
            <w:gridSpan w:val="4"/>
          </w:tcPr>
          <w:p>
            <w:pPr>
              <w:jc w:val="right"/>
              <w:ind w:right="380"/>
              <w:spacing w:after="0" w:line="158" w:lineRule="exact"/>
              <w:rPr>
                <w:sz w:val="20"/>
                <w:szCs w:val="20"/>
                <w:color w:val="auto"/>
              </w:rPr>
            </w:pPr>
            <w:r>
              <w:rPr>
                <w:rFonts w:ascii="Arial" w:cs="Arial" w:eastAsia="Arial" w:hAnsi="Arial"/>
                <w:sz w:val="15"/>
                <w:szCs w:val="15"/>
                <w:color w:val="auto"/>
              </w:rPr>
              <w:t>5,466.</w:t>
            </w:r>
            <w:r>
              <w:rPr>
                <w:rFonts w:ascii="Arial" w:cs="Arial" w:eastAsia="Arial" w:hAnsi="Arial"/>
                <w:sz w:val="15"/>
                <w:szCs w:val="15"/>
                <w:u w:val="single" w:color="auto"/>
                <w:color w:val="auto"/>
              </w:rPr>
              <w:t>052</w:t>
            </w:r>
          </w:p>
        </w:tc>
        <w:tc>
          <w:tcPr>
            <w:tcW w:w="1720" w:type="dxa"/>
            <w:vAlign w:val="bottom"/>
            <w:gridSpan w:val="3"/>
          </w:tcPr>
          <w:p>
            <w:pPr>
              <w:jc w:val="right"/>
              <w:ind w:right="380"/>
              <w:spacing w:after="0" w:line="158" w:lineRule="exact"/>
              <w:rPr>
                <w:sz w:val="20"/>
                <w:szCs w:val="20"/>
                <w:color w:val="auto"/>
              </w:rPr>
            </w:pPr>
            <w:r>
              <w:rPr>
                <w:rFonts w:ascii="Arial" w:cs="Arial" w:eastAsia="Arial" w:hAnsi="Arial"/>
                <w:sz w:val="15"/>
                <w:szCs w:val="15"/>
                <w:color w:val="auto"/>
              </w:rPr>
              <w:t>5,553.</w:t>
            </w:r>
            <w:r>
              <w:rPr>
                <w:rFonts w:ascii="Arial" w:cs="Arial" w:eastAsia="Arial" w:hAnsi="Arial"/>
                <w:sz w:val="15"/>
                <w:szCs w:val="15"/>
                <w:u w:val="single" w:color="auto"/>
                <w:color w:val="auto"/>
              </w:rPr>
              <w:t>118</w:t>
            </w:r>
          </w:p>
        </w:tc>
        <w:tc>
          <w:tcPr>
            <w:tcW w:w="13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6,168.</w:t>
            </w:r>
            <w:r>
              <w:rPr>
                <w:rFonts w:ascii="Arial" w:cs="Arial" w:eastAsia="Arial" w:hAnsi="Arial"/>
                <w:sz w:val="15"/>
                <w:szCs w:val="15"/>
                <w:u w:val="single" w:color="auto"/>
                <w:color w:val="auto"/>
              </w:rPr>
              <w:t>618</w:t>
            </w:r>
          </w:p>
        </w:tc>
        <w:tc>
          <w:tcPr>
            <w:tcW w:w="360" w:type="dxa"/>
            <w:vAlign w:val="bottom"/>
          </w:tcPr>
          <w:p>
            <w:pPr>
              <w:spacing w:after="0"/>
              <w:rPr>
                <w:sz w:val="13"/>
                <w:szCs w:val="13"/>
                <w:color w:val="auto"/>
              </w:rPr>
            </w:pPr>
          </w:p>
        </w:tc>
        <w:tc>
          <w:tcPr>
            <w:tcW w:w="132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6,652.</w:t>
            </w:r>
            <w:r>
              <w:rPr>
                <w:rFonts w:ascii="Arial" w:cs="Arial" w:eastAsia="Arial" w:hAnsi="Arial"/>
                <w:sz w:val="15"/>
                <w:szCs w:val="15"/>
                <w:u w:val="single" w:color="auto"/>
                <w:color w:val="auto"/>
              </w:rPr>
              <w:t>589</w:t>
            </w:r>
          </w:p>
        </w:tc>
        <w:tc>
          <w:tcPr>
            <w:tcW w:w="40" w:type="dxa"/>
            <w:vAlign w:val="bottom"/>
          </w:tcPr>
          <w:p>
            <w:pPr>
              <w:spacing w:after="0"/>
              <w:rPr>
                <w:sz w:val="13"/>
                <w:szCs w:val="13"/>
                <w:color w:val="auto"/>
              </w:rPr>
            </w:pPr>
          </w:p>
        </w:tc>
      </w:tr>
      <w:tr>
        <w:trPr>
          <w:trHeight w:val="146"/>
        </w:trPr>
        <w:tc>
          <w:tcPr>
            <w:tcW w:w="2120" w:type="dxa"/>
            <w:vAlign w:val="bottom"/>
            <w:tcBorders>
              <w:top w:val="single" w:sz="8" w:color="auto"/>
            </w:tcBorders>
            <w:gridSpan w:val="5"/>
          </w:tcPr>
          <w:p>
            <w:pPr>
              <w:ind w:left="40"/>
              <w:spacing w:after="0" w:line="146" w:lineRule="exact"/>
              <w:rPr>
                <w:sz w:val="20"/>
                <w:szCs w:val="20"/>
                <w:color w:val="auto"/>
              </w:rPr>
            </w:pPr>
            <w:r>
              <w:rPr>
                <w:rFonts w:ascii="Arial" w:cs="Arial" w:eastAsia="Arial" w:hAnsi="Arial"/>
                <w:sz w:val="15"/>
                <w:szCs w:val="15"/>
                <w:color w:val="auto"/>
              </w:rPr>
              <w:t>Demand deposits</w:t>
            </w:r>
          </w:p>
        </w:tc>
        <w:tc>
          <w:tcPr>
            <w:tcW w:w="2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3"/>
              </w:rPr>
              <w:t>1,569.092</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3"/>
              </w:rPr>
              <w:t>1,651.130</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2,011.845</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2,186.313</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Saving accounts</w:t>
            </w:r>
          </w:p>
        </w:tc>
        <w:tc>
          <w:tcPr>
            <w:tcW w:w="2060" w:type="dxa"/>
            <w:vAlign w:val="bottom"/>
            <w:gridSpan w:val="4"/>
          </w:tcPr>
          <w:p>
            <w:pPr>
              <w:jc w:val="right"/>
              <w:ind w:right="380"/>
              <w:spacing w:after="0" w:line="162" w:lineRule="exact"/>
              <w:rPr>
                <w:sz w:val="20"/>
                <w:szCs w:val="20"/>
                <w:color w:val="auto"/>
              </w:rPr>
            </w:pPr>
            <w:r>
              <w:rPr>
                <w:rFonts w:ascii="Arial" w:cs="Arial" w:eastAsia="Arial" w:hAnsi="Arial"/>
                <w:sz w:val="15"/>
                <w:szCs w:val="15"/>
                <w:color w:val="auto"/>
              </w:rPr>
              <w:t>1,418.830</w:t>
            </w:r>
          </w:p>
        </w:tc>
        <w:tc>
          <w:tcPr>
            <w:tcW w:w="1720" w:type="dxa"/>
            <w:vAlign w:val="bottom"/>
            <w:gridSpan w:val="3"/>
          </w:tcPr>
          <w:p>
            <w:pPr>
              <w:jc w:val="right"/>
              <w:ind w:right="380"/>
              <w:spacing w:after="0" w:line="162" w:lineRule="exact"/>
              <w:rPr>
                <w:sz w:val="20"/>
                <w:szCs w:val="20"/>
                <w:color w:val="auto"/>
              </w:rPr>
            </w:pPr>
            <w:r>
              <w:rPr>
                <w:rFonts w:ascii="Arial" w:cs="Arial" w:eastAsia="Arial" w:hAnsi="Arial"/>
                <w:sz w:val="15"/>
                <w:szCs w:val="15"/>
                <w:color w:val="auto"/>
              </w:rPr>
              <w:t>1,502.687</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1,587.334</w:t>
            </w:r>
          </w:p>
        </w:tc>
        <w:tc>
          <w:tcPr>
            <w:tcW w:w="36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1,656.470</w:t>
            </w:r>
          </w:p>
        </w:tc>
        <w:tc>
          <w:tcPr>
            <w:tcW w:w="40" w:type="dxa"/>
            <w:vAlign w:val="bottom"/>
          </w:tcPr>
          <w:p>
            <w:pPr>
              <w:spacing w:after="0"/>
              <w:rPr>
                <w:sz w:val="14"/>
                <w:szCs w:val="14"/>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Time deposits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2,478.130</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2,399.301</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2,569.439</w:t>
            </w:r>
          </w:p>
        </w:tc>
        <w:tc>
          <w:tcPr>
            <w:tcW w:w="3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2,809.806</w:t>
            </w:r>
          </w:p>
        </w:tc>
        <w:tc>
          <w:tcPr>
            <w:tcW w:w="40" w:type="dxa"/>
            <w:vAlign w:val="bottom"/>
          </w:tcPr>
          <w:p>
            <w:pPr>
              <w:spacing w:after="0"/>
              <w:rPr>
                <w:sz w:val="16"/>
                <w:szCs w:val="16"/>
                <w:color w:val="auto"/>
              </w:rPr>
            </w:pPr>
          </w:p>
        </w:tc>
      </w:tr>
      <w:tr>
        <w:trPr>
          <w:trHeight w:val="298"/>
        </w:trPr>
        <w:tc>
          <w:tcPr>
            <w:tcW w:w="4580" w:type="dxa"/>
            <w:vAlign w:val="bottom"/>
            <w:gridSpan w:val="6"/>
          </w:tcPr>
          <w:p>
            <w:pPr>
              <w:spacing w:after="0"/>
              <w:rPr>
                <w:sz w:val="20"/>
                <w:szCs w:val="20"/>
                <w:color w:val="auto"/>
              </w:rPr>
            </w:pPr>
            <w:r>
              <w:rPr>
                <w:rFonts w:ascii="Arial" w:cs="Arial" w:eastAsia="Arial" w:hAnsi="Arial"/>
                <w:sz w:val="15"/>
                <w:szCs w:val="15"/>
                <w:color w:val="auto"/>
              </w:rPr>
              <w:t>DUE TO BANKS AND CORRESPONDENTS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161.186</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215.893</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380.935</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995.105</w:t>
            </w:r>
          </w:p>
        </w:tc>
        <w:tc>
          <w:tcPr>
            <w:tcW w:w="40" w:type="dxa"/>
            <w:vAlign w:val="bottom"/>
          </w:tcPr>
          <w:p>
            <w:pPr>
              <w:spacing w:after="0"/>
              <w:rPr>
                <w:sz w:val="24"/>
                <w:szCs w:val="24"/>
                <w:color w:val="auto"/>
              </w:rPr>
            </w:pPr>
          </w:p>
        </w:tc>
      </w:tr>
      <w:tr>
        <w:trPr>
          <w:trHeight w:val="162"/>
        </w:trPr>
        <w:tc>
          <w:tcPr>
            <w:tcW w:w="4580" w:type="dxa"/>
            <w:vAlign w:val="bottom"/>
            <w:gridSpan w:val="6"/>
          </w:tcPr>
          <w:p>
            <w:pPr>
              <w:spacing w:after="0" w:line="162" w:lineRule="exact"/>
              <w:rPr>
                <w:sz w:val="20"/>
                <w:szCs w:val="20"/>
                <w:color w:val="auto"/>
              </w:rPr>
            </w:pPr>
            <w:r>
              <w:rPr>
                <w:rFonts w:ascii="Arial" w:cs="Arial" w:eastAsia="Arial" w:hAnsi="Arial"/>
                <w:sz w:val="15"/>
                <w:szCs w:val="15"/>
                <w:color w:val="auto"/>
              </w:rPr>
              <w:t>BONDS AND SUBORDINATED DEBT(1)</w:t>
            </w:r>
          </w:p>
        </w:tc>
        <w:tc>
          <w:tcPr>
            <w:tcW w:w="2060" w:type="dxa"/>
            <w:vAlign w:val="bottom"/>
            <w:gridSpan w:val="4"/>
          </w:tcPr>
          <w:p>
            <w:pPr>
              <w:jc w:val="right"/>
              <w:ind w:right="380"/>
              <w:spacing w:after="0" w:line="162" w:lineRule="exact"/>
              <w:rPr>
                <w:sz w:val="20"/>
                <w:szCs w:val="20"/>
                <w:color w:val="auto"/>
              </w:rPr>
            </w:pPr>
            <w:r>
              <w:rPr>
                <w:rFonts w:ascii="Arial" w:cs="Arial" w:eastAsia="Arial" w:hAnsi="Arial"/>
                <w:sz w:val="15"/>
                <w:szCs w:val="15"/>
                <w:color w:val="auto"/>
              </w:rPr>
              <w:t>440.427</w:t>
            </w:r>
          </w:p>
        </w:tc>
        <w:tc>
          <w:tcPr>
            <w:tcW w:w="1720" w:type="dxa"/>
            <w:vAlign w:val="bottom"/>
            <w:gridSpan w:val="3"/>
          </w:tcPr>
          <w:p>
            <w:pPr>
              <w:jc w:val="right"/>
              <w:ind w:right="380"/>
              <w:spacing w:after="0" w:line="162" w:lineRule="exact"/>
              <w:rPr>
                <w:sz w:val="20"/>
                <w:szCs w:val="20"/>
                <w:color w:val="auto"/>
              </w:rPr>
            </w:pPr>
            <w:r>
              <w:rPr>
                <w:rFonts w:ascii="Arial" w:cs="Arial" w:eastAsia="Arial" w:hAnsi="Arial"/>
                <w:sz w:val="15"/>
                <w:szCs w:val="15"/>
                <w:color w:val="auto"/>
              </w:rPr>
              <w:t>441.628</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428.551</w:t>
            </w:r>
          </w:p>
        </w:tc>
        <w:tc>
          <w:tcPr>
            <w:tcW w:w="36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449.372</w:t>
            </w:r>
          </w:p>
        </w:tc>
        <w:tc>
          <w:tcPr>
            <w:tcW w:w="40" w:type="dxa"/>
            <w:vAlign w:val="bottom"/>
          </w:tcPr>
          <w:p>
            <w:pPr>
              <w:spacing w:after="0"/>
              <w:rPr>
                <w:sz w:val="14"/>
                <w:szCs w:val="14"/>
                <w:color w:val="auto"/>
              </w:rPr>
            </w:pPr>
          </w:p>
        </w:tc>
      </w:tr>
      <w:tr>
        <w:trPr>
          <w:trHeight w:val="188"/>
        </w:trPr>
        <w:tc>
          <w:tcPr>
            <w:tcW w:w="4580" w:type="dxa"/>
            <w:vAlign w:val="bottom"/>
            <w:gridSpan w:val="6"/>
          </w:tcPr>
          <w:p>
            <w:pPr>
              <w:spacing w:after="0"/>
              <w:rPr>
                <w:sz w:val="20"/>
                <w:szCs w:val="20"/>
                <w:color w:val="auto"/>
              </w:rPr>
            </w:pPr>
            <w:r>
              <w:rPr>
                <w:rFonts w:ascii="Arial" w:cs="Arial" w:eastAsia="Arial" w:hAnsi="Arial"/>
                <w:sz w:val="15"/>
                <w:szCs w:val="15"/>
                <w:color w:val="auto"/>
              </w:rPr>
              <w:t>OTHER LIABILITIES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218.542</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299.669</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366.014</w:t>
            </w:r>
          </w:p>
        </w:tc>
        <w:tc>
          <w:tcPr>
            <w:tcW w:w="3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342.337</w:t>
            </w:r>
          </w:p>
        </w:tc>
        <w:tc>
          <w:tcPr>
            <w:tcW w:w="40" w:type="dxa"/>
            <w:vAlign w:val="bottom"/>
          </w:tcPr>
          <w:p>
            <w:pPr>
              <w:spacing w:after="0"/>
              <w:rPr>
                <w:sz w:val="16"/>
                <w:szCs w:val="16"/>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color w:val="auto"/>
              </w:rPr>
              <w:t>SHAREHOLDERS EQUITY:</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673.</w:t>
            </w:r>
            <w:r>
              <w:rPr>
                <w:rFonts w:ascii="Arial" w:cs="Arial" w:eastAsia="Arial" w:hAnsi="Arial"/>
                <w:sz w:val="15"/>
                <w:szCs w:val="15"/>
                <w:u w:val="single" w:color="auto"/>
                <w:color w:val="auto"/>
              </w:rPr>
              <w:t>190</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800.429</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839.</w:t>
            </w:r>
            <w:r>
              <w:rPr>
                <w:rFonts w:ascii="Arial" w:cs="Arial" w:eastAsia="Arial" w:hAnsi="Arial"/>
                <w:sz w:val="15"/>
                <w:szCs w:val="15"/>
                <w:u w:val="single" w:color="auto"/>
                <w:color w:val="auto"/>
              </w:rPr>
              <w:t>573</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877.</w:t>
            </w:r>
            <w:r>
              <w:rPr>
                <w:rFonts w:ascii="Arial" w:cs="Arial" w:eastAsia="Arial" w:hAnsi="Arial"/>
                <w:sz w:val="15"/>
                <w:szCs w:val="15"/>
                <w:u w:val="single" w:color="auto"/>
                <w:color w:val="auto"/>
              </w:rPr>
              <w:t>421</w:t>
            </w:r>
          </w:p>
        </w:tc>
        <w:tc>
          <w:tcPr>
            <w:tcW w:w="40" w:type="dxa"/>
            <w:vAlign w:val="bottom"/>
          </w:tcPr>
          <w:p>
            <w:pPr>
              <w:spacing w:after="0"/>
              <w:rPr>
                <w:sz w:val="24"/>
                <w:szCs w:val="24"/>
                <w:color w:val="auto"/>
              </w:rPr>
            </w:pPr>
          </w:p>
        </w:tc>
      </w:tr>
      <w:tr>
        <w:trPr>
          <w:trHeight w:val="146"/>
        </w:trPr>
        <w:tc>
          <w:tcPr>
            <w:tcW w:w="1800" w:type="dxa"/>
            <w:vAlign w:val="bottom"/>
            <w:tcBorders>
              <w:top w:val="single" w:sz="8" w:color="auto"/>
            </w:tcBorders>
            <w:gridSpan w:val="3"/>
          </w:tcPr>
          <w:p>
            <w:pPr>
              <w:ind w:left="40"/>
              <w:spacing w:after="0" w:line="146" w:lineRule="exact"/>
              <w:rPr>
                <w:sz w:val="20"/>
                <w:szCs w:val="20"/>
                <w:color w:val="auto"/>
              </w:rPr>
            </w:pPr>
            <w:r>
              <w:rPr>
                <w:rFonts w:ascii="Arial" w:cs="Arial" w:eastAsia="Arial" w:hAnsi="Arial"/>
                <w:sz w:val="15"/>
                <w:szCs w:val="15"/>
                <w:color w:val="auto"/>
              </w:rPr>
              <w:t>Capital stock</w:t>
            </w:r>
          </w:p>
        </w:tc>
        <w:tc>
          <w:tcPr>
            <w:tcW w:w="2780" w:type="dxa"/>
            <w:vAlign w:val="bottom"/>
            <w:gridSpan w:val="3"/>
          </w:tcPr>
          <w:p>
            <w:pPr>
              <w:spacing w:after="0"/>
              <w:rPr>
                <w:sz w:val="12"/>
                <w:szCs w:val="12"/>
                <w:color w:val="auto"/>
              </w:rPr>
            </w:pPr>
          </w:p>
        </w:tc>
        <w:tc>
          <w:tcPr>
            <w:tcW w:w="120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364.706</w:t>
            </w:r>
          </w:p>
        </w:tc>
        <w:tc>
          <w:tcPr>
            <w:tcW w:w="380" w:type="dxa"/>
            <w:vAlign w:val="bottom"/>
          </w:tcPr>
          <w:p>
            <w:pPr>
              <w:spacing w:after="0"/>
              <w:rPr>
                <w:sz w:val="12"/>
                <w:szCs w:val="12"/>
                <w:color w:val="auto"/>
              </w:rPr>
            </w:pPr>
          </w:p>
        </w:tc>
        <w:tc>
          <w:tcPr>
            <w:tcW w:w="1720" w:type="dxa"/>
            <w:vAlign w:val="bottom"/>
            <w:gridSpan w:val="3"/>
          </w:tcPr>
          <w:p>
            <w:pPr>
              <w:jc w:val="right"/>
              <w:ind w:right="380"/>
              <w:spacing w:after="0" w:line="146" w:lineRule="exact"/>
              <w:rPr>
                <w:sz w:val="20"/>
                <w:szCs w:val="20"/>
                <w:color w:val="auto"/>
              </w:rPr>
            </w:pPr>
            <w:r>
              <w:rPr>
                <w:rFonts w:ascii="Arial" w:cs="Arial" w:eastAsia="Arial" w:hAnsi="Arial"/>
                <w:sz w:val="15"/>
                <w:szCs w:val="15"/>
                <w:color w:val="auto"/>
              </w:rPr>
              <w:t>364.706</w:t>
            </w:r>
          </w:p>
        </w:tc>
        <w:tc>
          <w:tcPr>
            <w:tcW w:w="86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364.706</w:t>
            </w:r>
          </w:p>
        </w:tc>
        <w:tc>
          <w:tcPr>
            <w:tcW w:w="36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364.706</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Legal reserve</w:t>
            </w:r>
          </w:p>
        </w:tc>
        <w:tc>
          <w:tcPr>
            <w:tcW w:w="2060" w:type="dxa"/>
            <w:vAlign w:val="bottom"/>
            <w:gridSpan w:val="4"/>
          </w:tcPr>
          <w:p>
            <w:pPr>
              <w:jc w:val="right"/>
              <w:ind w:right="380"/>
              <w:spacing w:after="0" w:line="162" w:lineRule="exact"/>
              <w:rPr>
                <w:sz w:val="20"/>
                <w:szCs w:val="20"/>
                <w:color w:val="auto"/>
              </w:rPr>
            </w:pPr>
            <w:r>
              <w:rPr>
                <w:rFonts w:ascii="Arial" w:cs="Arial" w:eastAsia="Arial" w:hAnsi="Arial"/>
                <w:sz w:val="15"/>
                <w:szCs w:val="15"/>
                <w:color w:val="auto"/>
              </w:rPr>
              <w:t>210.928</w:t>
            </w:r>
          </w:p>
        </w:tc>
        <w:tc>
          <w:tcPr>
            <w:tcW w:w="1720" w:type="dxa"/>
            <w:vAlign w:val="bottom"/>
            <w:gridSpan w:val="3"/>
          </w:tcPr>
          <w:p>
            <w:pPr>
              <w:jc w:val="right"/>
              <w:ind w:right="380"/>
              <w:spacing w:after="0" w:line="162" w:lineRule="exact"/>
              <w:rPr>
                <w:sz w:val="20"/>
                <w:szCs w:val="20"/>
                <w:color w:val="auto"/>
              </w:rPr>
            </w:pPr>
            <w:r>
              <w:rPr>
                <w:rFonts w:ascii="Arial" w:cs="Arial" w:eastAsia="Arial" w:hAnsi="Arial"/>
                <w:sz w:val="15"/>
                <w:szCs w:val="15"/>
                <w:color w:val="auto"/>
              </w:rPr>
              <w:t>210.928</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210.928</w:t>
            </w:r>
          </w:p>
        </w:tc>
        <w:tc>
          <w:tcPr>
            <w:tcW w:w="36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210.928</w:t>
            </w:r>
          </w:p>
        </w:tc>
        <w:tc>
          <w:tcPr>
            <w:tcW w:w="40" w:type="dxa"/>
            <w:vAlign w:val="bottom"/>
          </w:tcPr>
          <w:p>
            <w:pPr>
              <w:spacing w:after="0"/>
              <w:rPr>
                <w:sz w:val="14"/>
                <w:szCs w:val="14"/>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Retained earnings</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color w:val="auto"/>
              </w:rPr>
              <w:t>97.556</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color w:val="auto"/>
              </w:rPr>
              <w:t>224.795</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263.939</w:t>
            </w:r>
          </w:p>
        </w:tc>
        <w:tc>
          <w:tcPr>
            <w:tcW w:w="3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301.786</w:t>
            </w:r>
          </w:p>
        </w:tc>
        <w:tc>
          <w:tcPr>
            <w:tcW w:w="40" w:type="dxa"/>
            <w:vAlign w:val="bottom"/>
          </w:tcPr>
          <w:p>
            <w:pPr>
              <w:spacing w:after="0"/>
              <w:rPr>
                <w:sz w:val="16"/>
                <w:szCs w:val="16"/>
                <w:color w:val="auto"/>
              </w:rPr>
            </w:pP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4"/>
          </w:tcPr>
          <w:p>
            <w:pPr>
              <w:jc w:val="center"/>
              <w:ind w:right="840"/>
              <w:spacing w:after="0"/>
              <w:rPr>
                <w:sz w:val="20"/>
                <w:szCs w:val="20"/>
                <w:color w:val="auto"/>
              </w:rPr>
            </w:pPr>
            <w:r>
              <w:rPr>
                <w:rFonts w:ascii="Arial" w:cs="Arial" w:eastAsia="Arial" w:hAnsi="Arial"/>
                <w:sz w:val="15"/>
                <w:szCs w:val="15"/>
                <w:b w:val="1"/>
                <w:bCs w:val="1"/>
                <w:color w:val="auto"/>
              </w:rPr>
              <w:t>TOTAL LIABILITIES AND EQUITY</w:t>
            </w:r>
          </w:p>
        </w:tc>
        <w:tc>
          <w:tcPr>
            <w:tcW w:w="2060" w:type="dxa"/>
            <w:vAlign w:val="bottom"/>
            <w:gridSpan w:val="4"/>
          </w:tcPr>
          <w:p>
            <w:pPr>
              <w:jc w:val="right"/>
              <w:ind w:right="380"/>
              <w:spacing w:after="0"/>
              <w:rPr>
                <w:sz w:val="20"/>
                <w:szCs w:val="20"/>
                <w:color w:val="auto"/>
              </w:rPr>
            </w:pPr>
            <w:r>
              <w:rPr>
                <w:rFonts w:ascii="Arial" w:cs="Arial" w:eastAsia="Arial" w:hAnsi="Arial"/>
                <w:sz w:val="15"/>
                <w:szCs w:val="15"/>
                <w:b w:val="1"/>
                <w:bCs w:val="1"/>
                <w:color w:val="auto"/>
              </w:rPr>
              <w:t>6,959.397</w:t>
            </w:r>
          </w:p>
        </w:tc>
        <w:tc>
          <w:tcPr>
            <w:tcW w:w="1720" w:type="dxa"/>
            <w:vAlign w:val="bottom"/>
            <w:gridSpan w:val="3"/>
          </w:tcPr>
          <w:p>
            <w:pPr>
              <w:jc w:val="right"/>
              <w:ind w:right="380"/>
              <w:spacing w:after="0"/>
              <w:rPr>
                <w:sz w:val="20"/>
                <w:szCs w:val="20"/>
                <w:color w:val="auto"/>
              </w:rPr>
            </w:pPr>
            <w:r>
              <w:rPr>
                <w:rFonts w:ascii="Arial" w:cs="Arial" w:eastAsia="Arial" w:hAnsi="Arial"/>
                <w:sz w:val="15"/>
                <w:szCs w:val="15"/>
                <w:b w:val="1"/>
                <w:bCs w:val="1"/>
                <w:color w:val="auto"/>
              </w:rPr>
              <w:t>7,310.737</w:t>
            </w: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rPr>
              <w:t>8,183.691</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b w:val="1"/>
                <w:bCs w:val="1"/>
                <w:color w:val="auto"/>
              </w:rPr>
              <w:t>9,316.825</w:t>
            </w:r>
          </w:p>
        </w:tc>
        <w:tc>
          <w:tcPr>
            <w:tcW w:w="40" w:type="dxa"/>
            <w:vAlign w:val="bottom"/>
          </w:tcPr>
          <w:p>
            <w:pPr>
              <w:spacing w:after="0"/>
              <w:rPr>
                <w:sz w:val="24"/>
                <w:szCs w:val="24"/>
                <w:color w:val="auto"/>
              </w:rPr>
            </w:pPr>
          </w:p>
        </w:tc>
      </w:tr>
      <w:tr>
        <w:trPr>
          <w:trHeight w:val="307"/>
        </w:trPr>
        <w:tc>
          <w:tcPr>
            <w:tcW w:w="4580" w:type="dxa"/>
            <w:vAlign w:val="bottom"/>
            <w:tcBorders>
              <w:bottom w:val="single" w:sz="8" w:color="auto"/>
            </w:tcBorders>
            <w:gridSpan w:val="6"/>
          </w:tcPr>
          <w:p>
            <w:pPr>
              <w:ind w:left="40"/>
              <w:spacing w:after="0"/>
              <w:rPr>
                <w:sz w:val="20"/>
                <w:szCs w:val="20"/>
                <w:color w:val="auto"/>
              </w:rPr>
            </w:pPr>
            <w:r>
              <w:rPr>
                <w:rFonts w:ascii="Arial" w:cs="Arial" w:eastAsia="Arial" w:hAnsi="Arial"/>
                <w:sz w:val="15"/>
                <w:szCs w:val="15"/>
                <w:b w:val="1"/>
                <w:bCs w:val="1"/>
                <w:color w:val="auto"/>
              </w:rPr>
              <w:t>Contingent Credits</w:t>
            </w:r>
          </w:p>
        </w:tc>
        <w:tc>
          <w:tcPr>
            <w:tcW w:w="20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5"/>
                <w:szCs w:val="15"/>
                <w:b w:val="1"/>
                <w:bCs w:val="1"/>
                <w:color w:val="auto"/>
              </w:rPr>
              <w:t>1,651.238</w:t>
            </w:r>
          </w:p>
        </w:tc>
        <w:tc>
          <w:tcPr>
            <w:tcW w:w="17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5"/>
                <w:szCs w:val="15"/>
                <w:b w:val="1"/>
                <w:bCs w:val="1"/>
                <w:color w:val="auto"/>
              </w:rPr>
              <w:t>1,833.066</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2,868.380</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2,752.581</w:t>
            </w:r>
          </w:p>
        </w:tc>
        <w:tc>
          <w:tcPr>
            <w:tcW w:w="40" w:type="dxa"/>
            <w:vAlign w:val="bottom"/>
            <w:tcBorders>
              <w:bottom w:val="single" w:sz="8" w:color="auto"/>
            </w:tcBorders>
          </w:tcPr>
          <w:p>
            <w:pPr>
              <w:spacing w:after="0"/>
              <w:rPr>
                <w:sz w:val="24"/>
                <w:szCs w:val="24"/>
                <w:color w:val="auto"/>
              </w:rPr>
            </w:pPr>
          </w:p>
        </w:tc>
      </w:tr>
      <w:tr>
        <w:trPr>
          <w:trHeight w:val="186"/>
        </w:trPr>
        <w:tc>
          <w:tcPr>
            <w:tcW w:w="4580" w:type="dxa"/>
            <w:vAlign w:val="bottom"/>
            <w:gridSpan w:val="6"/>
          </w:tcPr>
          <w:p>
            <w:pPr>
              <w:spacing w:after="0"/>
              <w:rPr>
                <w:sz w:val="20"/>
                <w:szCs w:val="20"/>
                <w:color w:val="auto"/>
              </w:rPr>
            </w:pPr>
            <w:r>
              <w:rPr>
                <w:rFonts w:ascii="Arial" w:cs="Arial" w:eastAsia="Arial" w:hAnsi="Arial"/>
                <w:sz w:val="15"/>
                <w:szCs w:val="15"/>
                <w:i w:val="1"/>
                <w:iCs w:val="1"/>
                <w:color w:val="auto"/>
              </w:rPr>
              <w:t>(1) Previously reported within Deposits and Obligations.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5</w:t>
      </w:r>
    </w:p>
    <w:p>
      <w:pPr>
        <w:jc w:val="center"/>
        <w:spacing w:after="0" w:line="230" w:lineRule="auto"/>
        <w:rPr>
          <w:sz w:val="20"/>
          <w:szCs w:val="20"/>
          <w:color w:val="auto"/>
        </w:rPr>
      </w:pPr>
      <w:r>
        <w:rPr>
          <w:rFonts w:ascii="Arial" w:cs="Arial" w:eastAsia="Arial" w:hAnsi="Arial"/>
          <w:sz w:val="22"/>
          <w:szCs w:val="22"/>
          <w:b w:val="1"/>
          <w:bCs w:val="1"/>
          <w:color w:val="auto"/>
        </w:rPr>
        <w:t>CONSOLIDATED INCOME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U.S. Dollars in thousands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5"/>
          </w:tcPr>
          <w:p>
            <w:pPr>
              <w:jc w:val="right"/>
              <w:ind w:right="240"/>
              <w:spacing w:after="0"/>
              <w:rPr>
                <w:sz w:val="20"/>
                <w:szCs w:val="20"/>
                <w:color w:val="auto"/>
              </w:rPr>
            </w:pPr>
            <w:r>
              <w:rPr>
                <w:rFonts w:ascii="Arial" w:cs="Arial" w:eastAsia="Arial" w:hAnsi="Arial"/>
                <w:sz w:val="15"/>
                <w:szCs w:val="15"/>
                <w:b w:val="1"/>
                <w:bCs w:val="1"/>
                <w:color w:val="auto"/>
                <w:w w:val="90"/>
              </w:rPr>
              <w:t>Three months ended</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8"/>
          </w:tcPr>
          <w:p>
            <w:pPr>
              <w:jc w:val="right"/>
              <w:ind w:right="580"/>
              <w:spacing w:after="0"/>
              <w:rPr>
                <w:sz w:val="20"/>
                <w:szCs w:val="20"/>
                <w:color w:val="auto"/>
              </w:rPr>
            </w:pPr>
            <w:r>
              <w:rPr>
                <w:rFonts w:ascii="Arial" w:cs="Arial" w:eastAsia="Arial" w:hAnsi="Arial"/>
                <w:sz w:val="15"/>
                <w:szCs w:val="15"/>
                <w:b w:val="1"/>
                <w:bCs w:val="1"/>
                <w:color w:val="auto"/>
              </w:rPr>
              <w:t>Twelve months ended</w:t>
            </w:r>
          </w:p>
        </w:tc>
        <w:tc>
          <w:tcPr>
            <w:tcW w:w="0" w:type="dxa"/>
            <w:vAlign w:val="bottom"/>
          </w:tcPr>
          <w:p>
            <w:pPr>
              <w:spacing w:after="0"/>
              <w:rPr>
                <w:sz w:val="1"/>
                <w:szCs w:val="1"/>
                <w:color w:val="auto"/>
              </w:rPr>
            </w:pPr>
          </w:p>
        </w:tc>
      </w:tr>
      <w:tr>
        <w:trPr>
          <w:trHeight w:val="169"/>
        </w:trPr>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80"/>
              <w:spacing w:after="0" w:line="169" w:lineRule="exact"/>
              <w:rPr>
                <w:sz w:val="20"/>
                <w:szCs w:val="20"/>
                <w:color w:val="auto"/>
              </w:rPr>
            </w:pPr>
            <w:r>
              <w:rPr>
                <w:rFonts w:ascii="Arial" w:cs="Arial" w:eastAsia="Arial" w:hAnsi="Arial"/>
                <w:sz w:val="15"/>
                <w:szCs w:val="15"/>
                <w:b w:val="1"/>
                <w:bCs w:val="1"/>
                <w:color w:val="auto"/>
              </w:rPr>
              <w:t>31.12.04</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00"/>
              <w:spacing w:after="0" w:line="169" w:lineRule="exact"/>
              <w:rPr>
                <w:sz w:val="20"/>
                <w:szCs w:val="20"/>
                <w:color w:val="auto"/>
              </w:rPr>
            </w:pPr>
            <w:r>
              <w:rPr>
                <w:rFonts w:ascii="Arial" w:cs="Arial" w:eastAsia="Arial" w:hAnsi="Arial"/>
                <w:sz w:val="15"/>
                <w:szCs w:val="15"/>
                <w:b w:val="1"/>
                <w:bCs w:val="1"/>
                <w:color w:val="auto"/>
              </w:rPr>
              <w:t>30.09.05</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300"/>
              <w:spacing w:after="0" w:line="169" w:lineRule="exact"/>
              <w:rPr>
                <w:sz w:val="20"/>
                <w:szCs w:val="20"/>
                <w:color w:val="auto"/>
              </w:rPr>
            </w:pPr>
            <w:r>
              <w:rPr>
                <w:rFonts w:ascii="Arial" w:cs="Arial" w:eastAsia="Arial" w:hAnsi="Arial"/>
                <w:sz w:val="15"/>
                <w:szCs w:val="15"/>
                <w:b w:val="1"/>
                <w:bCs w:val="1"/>
                <w:color w:val="auto"/>
              </w:rPr>
              <w:t>31.12.05</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00"/>
              <w:spacing w:after="0" w:line="169" w:lineRule="exact"/>
              <w:rPr>
                <w:sz w:val="20"/>
                <w:szCs w:val="20"/>
                <w:color w:val="auto"/>
              </w:rPr>
            </w:pPr>
            <w:r>
              <w:rPr>
                <w:rFonts w:ascii="Arial" w:cs="Arial" w:eastAsia="Arial" w:hAnsi="Arial"/>
                <w:sz w:val="15"/>
                <w:szCs w:val="15"/>
                <w:b w:val="1"/>
                <w:bCs w:val="1"/>
                <w:color w:val="auto"/>
              </w:rPr>
              <w:t>31.12.04</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80"/>
              <w:spacing w:after="0" w:line="169" w:lineRule="exact"/>
              <w:rPr>
                <w:sz w:val="20"/>
                <w:szCs w:val="20"/>
                <w:color w:val="auto"/>
              </w:rPr>
            </w:pPr>
            <w:r>
              <w:rPr>
                <w:rFonts w:ascii="Arial" w:cs="Arial" w:eastAsia="Arial" w:hAnsi="Arial"/>
                <w:sz w:val="15"/>
                <w:szCs w:val="15"/>
                <w:b w:val="1"/>
                <w:bCs w:val="1"/>
                <w:color w:val="auto"/>
              </w:rPr>
              <w:t>31.12.05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gridSpan w:val="5"/>
          </w:tcPr>
          <w:p>
            <w:pPr>
              <w:spacing w:after="0" w:line="160" w:lineRule="exact"/>
              <w:rPr>
                <w:sz w:val="20"/>
                <w:szCs w:val="20"/>
                <w:color w:val="auto"/>
              </w:rPr>
            </w:pPr>
            <w:r>
              <w:rPr>
                <w:rFonts w:ascii="Arial" w:cs="Arial" w:eastAsia="Arial" w:hAnsi="Arial"/>
                <w:sz w:val="15"/>
                <w:szCs w:val="15"/>
                <w:b w:val="1"/>
                <w:bCs w:val="1"/>
                <w:color w:val="auto"/>
              </w:rPr>
              <w:t>Interest income and expense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Interest income</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119.297</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139.189</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146.336</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440.989</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544.063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Less - Interest expense</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32.169</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39.089</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44.069</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125.859</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158.578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3600" w:type="dxa"/>
            <w:vAlign w:val="bottom"/>
            <w:gridSpan w:val="4"/>
          </w:tcPr>
          <w:p>
            <w:pPr>
              <w:jc w:val="center"/>
              <w:ind w:right="1480"/>
              <w:spacing w:after="0" w:line="158" w:lineRule="exact"/>
              <w:rPr>
                <w:sz w:val="20"/>
                <w:szCs w:val="20"/>
                <w:color w:val="auto"/>
              </w:rPr>
            </w:pPr>
            <w:r>
              <w:rPr>
                <w:rFonts w:ascii="Arial" w:cs="Arial" w:eastAsia="Arial" w:hAnsi="Arial"/>
                <w:sz w:val="15"/>
                <w:szCs w:val="15"/>
                <w:color w:val="auto"/>
                <w:w w:val="89"/>
              </w:rPr>
              <w:t>Net interest income</w:t>
            </w: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87.</w:t>
            </w:r>
            <w:r>
              <w:rPr>
                <w:rFonts w:ascii="Arial" w:cs="Arial" w:eastAsia="Arial" w:hAnsi="Arial"/>
                <w:sz w:val="15"/>
                <w:szCs w:val="15"/>
                <w:u w:val="single" w:color="auto"/>
                <w:color w:val="auto"/>
              </w:rPr>
              <w:t>128</w:t>
            </w:r>
          </w:p>
        </w:tc>
        <w:tc>
          <w:tcPr>
            <w:tcW w:w="120" w:type="dxa"/>
            <w:vAlign w:val="bottom"/>
          </w:tcPr>
          <w:p>
            <w:pPr>
              <w:spacing w:after="0"/>
              <w:rPr>
                <w:sz w:val="13"/>
                <w:szCs w:val="13"/>
                <w:color w:val="auto"/>
              </w:rPr>
            </w:pPr>
          </w:p>
        </w:tc>
        <w:tc>
          <w:tcPr>
            <w:tcW w:w="12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100</w:t>
            </w:r>
          </w:p>
        </w:tc>
        <w:tc>
          <w:tcPr>
            <w:tcW w:w="340" w:type="dxa"/>
            <w:vAlign w:val="bottom"/>
          </w:tcPr>
          <w:p>
            <w:pPr>
              <w:spacing w:after="0"/>
              <w:rPr>
                <w:sz w:val="13"/>
                <w:szCs w:val="13"/>
                <w:color w:val="auto"/>
              </w:rPr>
            </w:pPr>
          </w:p>
        </w:tc>
        <w:tc>
          <w:tcPr>
            <w:tcW w:w="1340" w:type="dxa"/>
            <w:vAlign w:val="bottom"/>
            <w:gridSpan w:val="5"/>
          </w:tcPr>
          <w:p>
            <w:pPr>
              <w:jc w:val="right"/>
              <w:ind w:right="300"/>
              <w:spacing w:after="0" w:line="158" w:lineRule="exact"/>
              <w:rPr>
                <w:sz w:val="20"/>
                <w:szCs w:val="20"/>
                <w:color w:val="auto"/>
              </w:rPr>
            </w:pPr>
            <w:r>
              <w:rPr>
                <w:rFonts w:ascii="Arial" w:cs="Arial" w:eastAsia="Arial" w:hAnsi="Arial"/>
                <w:sz w:val="15"/>
                <w:szCs w:val="15"/>
                <w:color w:val="auto"/>
              </w:rPr>
              <w:t>102.</w:t>
            </w:r>
            <w:r>
              <w:rPr>
                <w:rFonts w:ascii="Arial" w:cs="Arial" w:eastAsia="Arial" w:hAnsi="Arial"/>
                <w:sz w:val="15"/>
                <w:szCs w:val="15"/>
                <w:u w:val="single" w:color="auto"/>
                <w:color w:val="auto"/>
              </w:rPr>
              <w:t>267</w:t>
            </w:r>
          </w:p>
        </w:tc>
        <w:tc>
          <w:tcPr>
            <w:tcW w:w="10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315.</w:t>
            </w:r>
            <w:r>
              <w:rPr>
                <w:rFonts w:ascii="Arial" w:cs="Arial" w:eastAsia="Arial" w:hAnsi="Arial"/>
                <w:sz w:val="15"/>
                <w:szCs w:val="15"/>
                <w:u w:val="single" w:color="auto"/>
                <w:color w:val="auto"/>
              </w:rPr>
              <w:t>130</w:t>
            </w:r>
          </w:p>
        </w:tc>
        <w:tc>
          <w:tcPr>
            <w:tcW w:w="260" w:type="dxa"/>
            <w:vAlign w:val="bottom"/>
          </w:tcPr>
          <w:p>
            <w:pPr>
              <w:spacing w:after="0"/>
              <w:rPr>
                <w:sz w:val="13"/>
                <w:szCs w:val="13"/>
                <w:color w:val="auto"/>
              </w:rPr>
            </w:pPr>
          </w:p>
        </w:tc>
        <w:tc>
          <w:tcPr>
            <w:tcW w:w="108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385.</w:t>
            </w:r>
            <w:r>
              <w:rPr>
                <w:rFonts w:ascii="Arial" w:cs="Arial" w:eastAsia="Arial" w:hAnsi="Arial"/>
                <w:sz w:val="15"/>
                <w:szCs w:val="15"/>
                <w:u w:val="single" w:color="auto"/>
                <w:color w:val="auto"/>
              </w:rPr>
              <w:t>485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gridSpan w:val="5"/>
          </w:tcPr>
          <w:p>
            <w:pPr>
              <w:spacing w:after="0"/>
              <w:rPr>
                <w:sz w:val="20"/>
                <w:szCs w:val="20"/>
                <w:color w:val="auto"/>
              </w:rPr>
            </w:pPr>
            <w:r>
              <w:rPr>
                <w:rFonts w:ascii="Arial" w:cs="Arial" w:eastAsia="Arial" w:hAnsi="Arial"/>
                <w:sz w:val="15"/>
                <w:szCs w:val="15"/>
                <w:color w:val="auto"/>
              </w:rPr>
              <w:t>Provisions for possible loan losses, net(1)</w:t>
            </w:r>
          </w:p>
        </w:tc>
        <w:tc>
          <w:tcPr>
            <w:tcW w:w="1220" w:type="dxa"/>
            <w:vAlign w:val="bottom"/>
            <w:gridSpan w:val="5"/>
          </w:tcPr>
          <w:p>
            <w:pPr>
              <w:jc w:val="right"/>
              <w:ind w:right="80"/>
              <w:spacing w:after="0"/>
              <w:rPr>
                <w:sz w:val="20"/>
                <w:szCs w:val="20"/>
                <w:color w:val="auto"/>
              </w:rPr>
            </w:pPr>
            <w:r>
              <w:rPr>
                <w:rFonts w:ascii="Arial" w:cs="Arial" w:eastAsia="Arial" w:hAnsi="Arial"/>
                <w:sz w:val="15"/>
                <w:szCs w:val="15"/>
                <w:color w:val="auto"/>
              </w:rPr>
              <w:t>(0.710)</w:t>
            </w:r>
          </w:p>
        </w:tc>
        <w:tc>
          <w:tcPr>
            <w:tcW w:w="1600" w:type="dxa"/>
            <w:vAlign w:val="bottom"/>
            <w:gridSpan w:val="5"/>
          </w:tcPr>
          <w:p>
            <w:pPr>
              <w:jc w:val="right"/>
              <w:ind w:right="300"/>
              <w:spacing w:after="0"/>
              <w:rPr>
                <w:sz w:val="20"/>
                <w:szCs w:val="20"/>
                <w:color w:val="auto"/>
              </w:rPr>
            </w:pPr>
            <w:r>
              <w:rPr>
                <w:rFonts w:ascii="Arial" w:cs="Arial" w:eastAsia="Arial" w:hAnsi="Arial"/>
                <w:sz w:val="15"/>
                <w:szCs w:val="15"/>
                <w:color w:val="auto"/>
              </w:rPr>
              <w:t>(2.977)</w:t>
            </w:r>
          </w:p>
        </w:tc>
        <w:tc>
          <w:tcPr>
            <w:tcW w:w="1340" w:type="dxa"/>
            <w:vAlign w:val="bottom"/>
            <w:gridSpan w:val="5"/>
          </w:tcPr>
          <w:p>
            <w:pPr>
              <w:jc w:val="right"/>
              <w:ind w:right="300"/>
              <w:spacing w:after="0"/>
              <w:rPr>
                <w:sz w:val="20"/>
                <w:szCs w:val="20"/>
                <w:color w:val="auto"/>
              </w:rPr>
            </w:pPr>
            <w:r>
              <w:rPr>
                <w:rFonts w:ascii="Arial" w:cs="Arial" w:eastAsia="Arial" w:hAnsi="Arial"/>
                <w:sz w:val="15"/>
                <w:szCs w:val="15"/>
                <w:color w:val="auto"/>
              </w:rPr>
              <w:t>5.316</w:t>
            </w: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8.144</w:t>
            </w:r>
          </w:p>
        </w:tc>
        <w:tc>
          <w:tcPr>
            <w:tcW w:w="2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0.127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gridSpan w:val="5"/>
          </w:tcPr>
          <w:p>
            <w:pPr>
              <w:jc w:val="center"/>
              <w:ind w:right="260"/>
              <w:spacing w:after="0"/>
              <w:rPr>
                <w:sz w:val="20"/>
                <w:szCs w:val="20"/>
                <w:color w:val="auto"/>
              </w:rPr>
            </w:pPr>
            <w:r>
              <w:rPr>
                <w:rFonts w:ascii="Arial" w:cs="Arial" w:eastAsia="Arial" w:hAnsi="Arial"/>
                <w:sz w:val="15"/>
                <w:szCs w:val="15"/>
                <w:color w:val="auto"/>
                <w:w w:val="90"/>
              </w:rPr>
              <w:t>Net interest income after provisions</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87.</w:t>
            </w:r>
            <w:r>
              <w:rPr>
                <w:rFonts w:ascii="Arial" w:cs="Arial" w:eastAsia="Arial" w:hAnsi="Arial"/>
                <w:sz w:val="15"/>
                <w:szCs w:val="15"/>
                <w:u w:val="single" w:color="auto"/>
                <w:color w:val="auto"/>
              </w:rPr>
              <w:t>838</w:t>
            </w:r>
          </w:p>
        </w:tc>
        <w:tc>
          <w:tcPr>
            <w:tcW w:w="12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103.</w:t>
            </w:r>
            <w:r>
              <w:rPr>
                <w:rFonts w:ascii="Arial" w:cs="Arial" w:eastAsia="Arial" w:hAnsi="Arial"/>
                <w:sz w:val="15"/>
                <w:szCs w:val="15"/>
                <w:u w:val="single" w:color="auto"/>
                <w:color w:val="auto"/>
              </w:rPr>
              <w:t>077</w:t>
            </w:r>
          </w:p>
        </w:tc>
        <w:tc>
          <w:tcPr>
            <w:tcW w:w="340" w:type="dxa"/>
            <w:vAlign w:val="bottom"/>
          </w:tcPr>
          <w:p>
            <w:pPr>
              <w:spacing w:after="0"/>
              <w:rPr>
                <w:sz w:val="24"/>
                <w:szCs w:val="24"/>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5"/>
                <w:szCs w:val="15"/>
                <w:color w:val="auto"/>
              </w:rPr>
              <w:t>96.</w:t>
            </w:r>
            <w:r>
              <w:rPr>
                <w:rFonts w:ascii="Arial" w:cs="Arial" w:eastAsia="Arial" w:hAnsi="Arial"/>
                <w:sz w:val="15"/>
                <w:szCs w:val="15"/>
                <w:u w:val="single" w:color="auto"/>
                <w:color w:val="auto"/>
              </w:rPr>
              <w:t>950</w:t>
            </w: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306.</w:t>
            </w:r>
            <w:r>
              <w:rPr>
                <w:rFonts w:ascii="Arial" w:cs="Arial" w:eastAsia="Arial" w:hAnsi="Arial"/>
                <w:sz w:val="15"/>
                <w:szCs w:val="15"/>
                <w:u w:val="single" w:color="auto"/>
                <w:color w:val="auto"/>
              </w:rPr>
              <w:t>986</w:t>
            </w:r>
          </w:p>
        </w:tc>
        <w:tc>
          <w:tcPr>
            <w:tcW w:w="2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385.</w:t>
            </w:r>
            <w:r>
              <w:rPr>
                <w:rFonts w:ascii="Arial" w:cs="Arial" w:eastAsia="Arial" w:hAnsi="Arial"/>
                <w:sz w:val="15"/>
                <w:szCs w:val="15"/>
                <w:u w:val="single" w:color="auto"/>
                <w:color w:val="auto"/>
              </w:rPr>
              <w:t>357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220" w:type="dxa"/>
            <w:vAlign w:val="bottom"/>
          </w:tcPr>
          <w:p>
            <w:pPr>
              <w:spacing w:after="0"/>
              <w:rPr>
                <w:sz w:val="20"/>
                <w:szCs w:val="20"/>
                <w:color w:val="auto"/>
              </w:rPr>
            </w:pPr>
            <w:r>
              <w:rPr>
                <w:rFonts w:ascii="Arial" w:cs="Arial" w:eastAsia="Arial" w:hAnsi="Arial"/>
                <w:sz w:val="15"/>
                <w:szCs w:val="15"/>
                <w:b w:val="1"/>
                <w:bCs w:val="1"/>
                <w:color w:val="auto"/>
              </w:rPr>
              <w:t>Other Income</w:t>
            </w:r>
          </w:p>
        </w:tc>
        <w:tc>
          <w:tcPr>
            <w:tcW w:w="2120" w:type="dxa"/>
            <w:vAlign w:val="bottom"/>
            <w:tcBorders>
              <w:top w:val="single" w:sz="8" w:color="auto"/>
            </w:tcBorders>
            <w:gridSpan w:val="3"/>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Fees and commissions from services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47.441</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53.489</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56.024</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189.495</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210.770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Net gains from sales of securities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2.239</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4.796</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0.108</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2.394</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6.164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Net gains on foreing exchg. transacts.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6.686</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7.636</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9.165</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23.730</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30.144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gridSpan w:val="5"/>
          </w:tcPr>
          <w:p>
            <w:pPr>
              <w:ind w:left="40"/>
              <w:spacing w:after="0" w:line="158" w:lineRule="exact"/>
              <w:rPr>
                <w:sz w:val="20"/>
                <w:szCs w:val="20"/>
                <w:color w:val="auto"/>
              </w:rPr>
            </w:pPr>
            <w:r>
              <w:rPr>
                <w:rFonts w:ascii="Arial" w:cs="Arial" w:eastAsia="Arial" w:hAnsi="Arial"/>
                <w:sz w:val="15"/>
                <w:szCs w:val="15"/>
                <w:color w:val="auto"/>
              </w:rPr>
              <w:t>Other income(1)</w:t>
            </w:r>
          </w:p>
        </w:tc>
        <w:tc>
          <w:tcPr>
            <w:tcW w:w="1220" w:type="dxa"/>
            <w:vAlign w:val="bottom"/>
            <w:gridSpan w:val="5"/>
          </w:tcPr>
          <w:p>
            <w:pPr>
              <w:jc w:val="right"/>
              <w:ind w:right="80"/>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969)</w:t>
            </w:r>
          </w:p>
        </w:tc>
        <w:tc>
          <w:tcPr>
            <w:tcW w:w="12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4.</w:t>
            </w:r>
            <w:r>
              <w:rPr>
                <w:rFonts w:ascii="Arial" w:cs="Arial" w:eastAsia="Arial" w:hAnsi="Arial"/>
                <w:sz w:val="15"/>
                <w:szCs w:val="15"/>
                <w:u w:val="single" w:color="auto"/>
                <w:color w:val="auto"/>
              </w:rPr>
              <w:t>639</w:t>
            </w:r>
          </w:p>
        </w:tc>
        <w:tc>
          <w:tcPr>
            <w:tcW w:w="340" w:type="dxa"/>
            <w:vAlign w:val="bottom"/>
          </w:tcPr>
          <w:p>
            <w:pPr>
              <w:spacing w:after="0"/>
              <w:rPr>
                <w:sz w:val="13"/>
                <w:szCs w:val="13"/>
                <w:color w:val="auto"/>
              </w:rPr>
            </w:pPr>
          </w:p>
        </w:tc>
        <w:tc>
          <w:tcPr>
            <w:tcW w:w="1340" w:type="dxa"/>
            <w:vAlign w:val="bottom"/>
            <w:gridSpan w:val="5"/>
          </w:tcPr>
          <w:p>
            <w:pPr>
              <w:jc w:val="right"/>
              <w:ind w:right="300"/>
              <w:spacing w:after="0" w:line="158" w:lineRule="exact"/>
              <w:rPr>
                <w:sz w:val="20"/>
                <w:szCs w:val="20"/>
                <w:color w:val="auto"/>
              </w:rPr>
            </w:pPr>
            <w:r>
              <w:rPr>
                <w:rFonts w:ascii="Arial" w:cs="Arial" w:eastAsia="Arial" w:hAnsi="Arial"/>
                <w:sz w:val="15"/>
                <w:szCs w:val="15"/>
                <w:color w:val="auto"/>
              </w:rPr>
              <w:t>3.</w:t>
            </w:r>
            <w:r>
              <w:rPr>
                <w:rFonts w:ascii="Arial" w:cs="Arial" w:eastAsia="Arial" w:hAnsi="Arial"/>
                <w:sz w:val="15"/>
                <w:szCs w:val="15"/>
                <w:u w:val="single" w:color="auto"/>
                <w:color w:val="auto"/>
              </w:rPr>
              <w:t>124</w:t>
            </w:r>
          </w:p>
        </w:tc>
        <w:tc>
          <w:tcPr>
            <w:tcW w:w="10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3.</w:t>
            </w:r>
            <w:r>
              <w:rPr>
                <w:rFonts w:ascii="Arial" w:cs="Arial" w:eastAsia="Arial" w:hAnsi="Arial"/>
                <w:sz w:val="15"/>
                <w:szCs w:val="15"/>
                <w:u w:val="single" w:color="auto"/>
                <w:color w:val="auto"/>
              </w:rPr>
              <w:t>709</w:t>
            </w:r>
          </w:p>
        </w:tc>
        <w:tc>
          <w:tcPr>
            <w:tcW w:w="260" w:type="dxa"/>
            <w:vAlign w:val="bottom"/>
          </w:tcPr>
          <w:p>
            <w:pPr>
              <w:spacing w:after="0"/>
              <w:rPr>
                <w:sz w:val="13"/>
                <w:szCs w:val="13"/>
                <w:color w:val="auto"/>
              </w:rPr>
            </w:pPr>
          </w:p>
        </w:tc>
        <w:tc>
          <w:tcPr>
            <w:tcW w:w="108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12.</w:t>
            </w:r>
            <w:r>
              <w:rPr>
                <w:rFonts w:ascii="Arial" w:cs="Arial" w:eastAsia="Arial" w:hAnsi="Arial"/>
                <w:sz w:val="15"/>
                <w:szCs w:val="15"/>
                <w:u w:val="single" w:color="auto"/>
                <w:color w:val="auto"/>
              </w:rPr>
              <w:t>553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5"/>
                <w:szCs w:val="15"/>
                <w:color w:val="auto"/>
                <w:w w:val="78"/>
              </w:rPr>
              <w:t>55.</w:t>
            </w:r>
            <w:r>
              <w:rPr>
                <w:rFonts w:ascii="Arial" w:cs="Arial" w:eastAsia="Arial" w:hAnsi="Arial"/>
                <w:sz w:val="15"/>
                <w:szCs w:val="15"/>
                <w:u w:val="single" w:color="auto"/>
                <w:color w:val="auto"/>
                <w:w w:val="78"/>
              </w:rPr>
              <w:t>397</w:t>
            </w:r>
          </w:p>
        </w:tc>
        <w:tc>
          <w:tcPr>
            <w:tcW w:w="12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70.</w:t>
            </w:r>
            <w:r>
              <w:rPr>
                <w:rFonts w:ascii="Arial" w:cs="Arial" w:eastAsia="Arial" w:hAnsi="Arial"/>
                <w:sz w:val="15"/>
                <w:szCs w:val="15"/>
                <w:u w:val="single" w:color="auto"/>
                <w:color w:val="auto"/>
              </w:rPr>
              <w:t>560</w:t>
            </w:r>
          </w:p>
        </w:tc>
        <w:tc>
          <w:tcPr>
            <w:tcW w:w="340" w:type="dxa"/>
            <w:vAlign w:val="bottom"/>
          </w:tcPr>
          <w:p>
            <w:pPr>
              <w:spacing w:after="0"/>
              <w:rPr>
                <w:sz w:val="12"/>
                <w:szCs w:val="12"/>
                <w:color w:val="auto"/>
              </w:rPr>
            </w:pPr>
          </w:p>
        </w:tc>
        <w:tc>
          <w:tcPr>
            <w:tcW w:w="1340" w:type="dxa"/>
            <w:vAlign w:val="bottom"/>
            <w:gridSpan w:val="5"/>
          </w:tcPr>
          <w:p>
            <w:pPr>
              <w:jc w:val="right"/>
              <w:ind w:right="300"/>
              <w:spacing w:after="0" w:line="142" w:lineRule="exact"/>
              <w:rPr>
                <w:sz w:val="20"/>
                <w:szCs w:val="20"/>
                <w:color w:val="auto"/>
              </w:rPr>
            </w:pPr>
            <w:r>
              <w:rPr>
                <w:rFonts w:ascii="Arial" w:cs="Arial" w:eastAsia="Arial" w:hAnsi="Arial"/>
                <w:sz w:val="15"/>
                <w:szCs w:val="15"/>
                <w:color w:val="auto"/>
              </w:rPr>
              <w:t>68.</w:t>
            </w:r>
            <w:r>
              <w:rPr>
                <w:rFonts w:ascii="Arial" w:cs="Arial" w:eastAsia="Arial" w:hAnsi="Arial"/>
                <w:sz w:val="15"/>
                <w:szCs w:val="15"/>
                <w:u w:val="single" w:color="auto"/>
                <w:color w:val="auto"/>
              </w:rPr>
              <w:t>421</w:t>
            </w:r>
          </w:p>
        </w:tc>
        <w:tc>
          <w:tcPr>
            <w:tcW w:w="1060" w:type="dxa"/>
            <w:vAlign w:val="bottom"/>
            <w:gridSpan w:val="3"/>
          </w:tcPr>
          <w:p>
            <w:pPr>
              <w:jc w:val="right"/>
              <w:spacing w:after="0" w:line="142" w:lineRule="exact"/>
              <w:rPr>
                <w:sz w:val="20"/>
                <w:szCs w:val="20"/>
                <w:color w:val="auto"/>
              </w:rPr>
            </w:pPr>
            <w:r>
              <w:rPr>
                <w:rFonts w:ascii="Arial" w:cs="Arial" w:eastAsia="Arial" w:hAnsi="Arial"/>
                <w:sz w:val="15"/>
                <w:szCs w:val="15"/>
                <w:color w:val="auto"/>
              </w:rPr>
              <w:t>219.</w:t>
            </w:r>
            <w:r>
              <w:rPr>
                <w:rFonts w:ascii="Arial" w:cs="Arial" w:eastAsia="Arial" w:hAnsi="Arial"/>
                <w:sz w:val="15"/>
                <w:szCs w:val="15"/>
                <w:u w:val="single" w:color="auto"/>
                <w:color w:val="auto"/>
              </w:rPr>
              <w:t>328</w:t>
            </w:r>
          </w:p>
        </w:tc>
        <w:tc>
          <w:tcPr>
            <w:tcW w:w="26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5"/>
                <w:szCs w:val="15"/>
                <w:color w:val="auto"/>
              </w:rPr>
              <w:t>259.</w:t>
            </w:r>
            <w:r>
              <w:rPr>
                <w:rFonts w:ascii="Arial" w:cs="Arial" w:eastAsia="Arial" w:hAnsi="Arial"/>
                <w:sz w:val="15"/>
                <w:szCs w:val="15"/>
                <w:u w:val="single" w:color="auto"/>
                <w:color w:val="auto"/>
              </w:rPr>
              <w:t>631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4820" w:type="dxa"/>
            <w:vAlign w:val="bottom"/>
            <w:gridSpan w:val="5"/>
          </w:tcPr>
          <w:p>
            <w:pPr>
              <w:spacing w:after="0"/>
              <w:rPr>
                <w:sz w:val="20"/>
                <w:szCs w:val="20"/>
                <w:color w:val="auto"/>
              </w:rPr>
            </w:pPr>
            <w:r>
              <w:rPr>
                <w:rFonts w:ascii="Arial" w:cs="Arial" w:eastAsia="Arial" w:hAnsi="Arial"/>
                <w:sz w:val="15"/>
                <w:szCs w:val="15"/>
                <w:b w:val="1"/>
                <w:bCs w:val="1"/>
                <w:color w:val="auto"/>
              </w:rPr>
              <w:t>Other Expenses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Salaries and employee benefits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39.279</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37.907</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44.765</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146.560</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161.265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General and administrative</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33.616</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30.033</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30.586</w:t>
            </w:r>
          </w:p>
        </w:tc>
        <w:tc>
          <w:tcPr>
            <w:tcW w:w="132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118.792</w:t>
            </w:r>
          </w:p>
        </w:tc>
        <w:tc>
          <w:tcPr>
            <w:tcW w:w="11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115.863</w:t>
            </w: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Depreciation and amortization</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8.950</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8.777</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8.367</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38.096</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35.080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Taxes other than income tax</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2.738</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3.040</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2.931</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12.965</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12.669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40"/>
              <w:spacing w:after="0" w:line="162" w:lineRule="exact"/>
              <w:rPr>
                <w:sz w:val="20"/>
                <w:szCs w:val="20"/>
                <w:color w:val="auto"/>
              </w:rPr>
            </w:pPr>
            <w:r>
              <w:rPr>
                <w:rFonts w:ascii="Arial" w:cs="Arial" w:eastAsia="Arial" w:hAnsi="Arial"/>
                <w:sz w:val="15"/>
                <w:szCs w:val="15"/>
                <w:color w:val="auto"/>
              </w:rPr>
              <w:t>Other</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16.237</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19.418</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1.008</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45.237</w:t>
            </w:r>
          </w:p>
        </w:tc>
        <w:tc>
          <w:tcPr>
            <w:tcW w:w="260" w:type="dxa"/>
            <w:vAlign w:val="bottom"/>
          </w:tcPr>
          <w:p>
            <w:pPr>
              <w:spacing w:after="0"/>
              <w:rPr>
                <w:sz w:val="14"/>
                <w:szCs w:val="14"/>
                <w:color w:val="auto"/>
              </w:rPr>
            </w:pP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44.797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gridSpan w:val="5"/>
          </w:tcPr>
          <w:p>
            <w:pPr>
              <w:ind w:left="40"/>
              <w:spacing w:after="0" w:line="158" w:lineRule="exact"/>
              <w:rPr>
                <w:sz w:val="20"/>
                <w:szCs w:val="20"/>
                <w:color w:val="auto"/>
              </w:rPr>
            </w:pPr>
            <w:r>
              <w:rPr>
                <w:rFonts w:ascii="Arial" w:cs="Arial" w:eastAsia="Arial" w:hAnsi="Arial"/>
                <w:sz w:val="15"/>
                <w:szCs w:val="15"/>
                <w:color w:val="auto"/>
              </w:rPr>
              <w:t>Merger costs</w:t>
            </w: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000</w:t>
            </w:r>
          </w:p>
        </w:tc>
        <w:tc>
          <w:tcPr>
            <w:tcW w:w="120" w:type="dxa"/>
            <w:vAlign w:val="bottom"/>
          </w:tcPr>
          <w:p>
            <w:pPr>
              <w:spacing w:after="0"/>
              <w:rPr>
                <w:sz w:val="13"/>
                <w:szCs w:val="13"/>
                <w:color w:val="auto"/>
              </w:rPr>
            </w:pPr>
          </w:p>
        </w:tc>
        <w:tc>
          <w:tcPr>
            <w:tcW w:w="12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000</w:t>
            </w:r>
          </w:p>
        </w:tc>
        <w:tc>
          <w:tcPr>
            <w:tcW w:w="340" w:type="dxa"/>
            <w:vAlign w:val="bottom"/>
          </w:tcPr>
          <w:p>
            <w:pPr>
              <w:spacing w:after="0"/>
              <w:rPr>
                <w:sz w:val="13"/>
                <w:szCs w:val="13"/>
                <w:color w:val="auto"/>
              </w:rPr>
            </w:pPr>
          </w:p>
        </w:tc>
        <w:tc>
          <w:tcPr>
            <w:tcW w:w="1340" w:type="dxa"/>
            <w:vAlign w:val="bottom"/>
            <w:gridSpan w:val="5"/>
          </w:tcPr>
          <w:p>
            <w:pPr>
              <w:jc w:val="right"/>
              <w:ind w:right="300"/>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000</w:t>
            </w:r>
          </w:p>
        </w:tc>
        <w:tc>
          <w:tcPr>
            <w:tcW w:w="10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3.</w:t>
            </w:r>
            <w:r>
              <w:rPr>
                <w:rFonts w:ascii="Arial" w:cs="Arial" w:eastAsia="Arial" w:hAnsi="Arial"/>
                <w:sz w:val="15"/>
                <w:szCs w:val="15"/>
                <w:u w:val="single" w:color="auto"/>
                <w:color w:val="auto"/>
              </w:rPr>
              <w:t>742</w:t>
            </w:r>
          </w:p>
        </w:tc>
        <w:tc>
          <w:tcPr>
            <w:tcW w:w="260" w:type="dxa"/>
            <w:vAlign w:val="bottom"/>
          </w:tcPr>
          <w:p>
            <w:pPr>
              <w:spacing w:after="0"/>
              <w:rPr>
                <w:sz w:val="13"/>
                <w:szCs w:val="13"/>
                <w:color w:val="auto"/>
              </w:rPr>
            </w:pPr>
          </w:p>
        </w:tc>
        <w:tc>
          <w:tcPr>
            <w:tcW w:w="108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gridSpan w:val="3"/>
          </w:tcPr>
          <w:p>
            <w:pPr>
              <w:jc w:val="right"/>
              <w:spacing w:after="0" w:line="142" w:lineRule="exact"/>
              <w:rPr>
                <w:sz w:val="20"/>
                <w:szCs w:val="20"/>
                <w:color w:val="auto"/>
              </w:rPr>
            </w:pPr>
            <w:r>
              <w:rPr>
                <w:rFonts w:ascii="Arial" w:cs="Arial" w:eastAsia="Arial" w:hAnsi="Arial"/>
                <w:sz w:val="15"/>
                <w:szCs w:val="15"/>
                <w:color w:val="auto"/>
                <w:w w:val="84"/>
              </w:rPr>
              <w:t>100.</w:t>
            </w:r>
            <w:r>
              <w:rPr>
                <w:rFonts w:ascii="Arial" w:cs="Arial" w:eastAsia="Arial" w:hAnsi="Arial"/>
                <w:sz w:val="15"/>
                <w:szCs w:val="15"/>
                <w:u w:val="single" w:color="auto"/>
                <w:color w:val="auto"/>
                <w:w w:val="84"/>
              </w:rPr>
              <w:t>820</w:t>
            </w:r>
          </w:p>
        </w:tc>
        <w:tc>
          <w:tcPr>
            <w:tcW w:w="12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99.</w:t>
            </w:r>
            <w:r>
              <w:rPr>
                <w:rFonts w:ascii="Arial" w:cs="Arial" w:eastAsia="Arial" w:hAnsi="Arial"/>
                <w:sz w:val="15"/>
                <w:szCs w:val="15"/>
                <w:u w:val="single" w:color="auto"/>
                <w:color w:val="auto"/>
              </w:rPr>
              <w:t>175</w:t>
            </w:r>
          </w:p>
        </w:tc>
        <w:tc>
          <w:tcPr>
            <w:tcW w:w="340" w:type="dxa"/>
            <w:vAlign w:val="bottom"/>
          </w:tcPr>
          <w:p>
            <w:pPr>
              <w:spacing w:after="0"/>
              <w:rPr>
                <w:sz w:val="12"/>
                <w:szCs w:val="12"/>
                <w:color w:val="auto"/>
              </w:rPr>
            </w:pPr>
          </w:p>
        </w:tc>
        <w:tc>
          <w:tcPr>
            <w:tcW w:w="1340" w:type="dxa"/>
            <w:vAlign w:val="bottom"/>
            <w:gridSpan w:val="5"/>
          </w:tcPr>
          <w:p>
            <w:pPr>
              <w:jc w:val="right"/>
              <w:ind w:right="300"/>
              <w:spacing w:after="0" w:line="142" w:lineRule="exact"/>
              <w:rPr>
                <w:sz w:val="20"/>
                <w:szCs w:val="20"/>
                <w:color w:val="auto"/>
              </w:rPr>
            </w:pPr>
            <w:r>
              <w:rPr>
                <w:rFonts w:ascii="Arial" w:cs="Arial" w:eastAsia="Arial" w:hAnsi="Arial"/>
                <w:sz w:val="15"/>
                <w:szCs w:val="15"/>
                <w:color w:val="auto"/>
              </w:rPr>
              <w:t>87.</w:t>
            </w:r>
            <w:r>
              <w:rPr>
                <w:rFonts w:ascii="Arial" w:cs="Arial" w:eastAsia="Arial" w:hAnsi="Arial"/>
                <w:sz w:val="15"/>
                <w:szCs w:val="15"/>
                <w:u w:val="single" w:color="auto"/>
                <w:color w:val="auto"/>
              </w:rPr>
              <w:t>657</w:t>
            </w:r>
          </w:p>
        </w:tc>
        <w:tc>
          <w:tcPr>
            <w:tcW w:w="1060" w:type="dxa"/>
            <w:vAlign w:val="bottom"/>
            <w:gridSpan w:val="3"/>
          </w:tcPr>
          <w:p>
            <w:pPr>
              <w:jc w:val="right"/>
              <w:spacing w:after="0" w:line="142" w:lineRule="exact"/>
              <w:rPr>
                <w:sz w:val="20"/>
                <w:szCs w:val="20"/>
                <w:color w:val="auto"/>
              </w:rPr>
            </w:pPr>
            <w:r>
              <w:rPr>
                <w:rFonts w:ascii="Arial" w:cs="Arial" w:eastAsia="Arial" w:hAnsi="Arial"/>
                <w:sz w:val="15"/>
                <w:szCs w:val="15"/>
                <w:color w:val="auto"/>
              </w:rPr>
              <w:t>365.</w:t>
            </w:r>
            <w:r>
              <w:rPr>
                <w:rFonts w:ascii="Arial" w:cs="Arial" w:eastAsia="Arial" w:hAnsi="Arial"/>
                <w:sz w:val="15"/>
                <w:szCs w:val="15"/>
                <w:u w:val="single" w:color="auto"/>
                <w:color w:val="auto"/>
              </w:rPr>
              <w:t>392</w:t>
            </w:r>
          </w:p>
        </w:tc>
        <w:tc>
          <w:tcPr>
            <w:tcW w:w="26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5"/>
                <w:szCs w:val="15"/>
                <w:color w:val="auto"/>
              </w:rPr>
              <w:t>369.</w:t>
            </w:r>
            <w:r>
              <w:rPr>
                <w:rFonts w:ascii="Arial" w:cs="Arial" w:eastAsia="Arial" w:hAnsi="Arial"/>
                <w:sz w:val="15"/>
                <w:szCs w:val="15"/>
                <w:u w:val="single" w:color="auto"/>
                <w:color w:val="auto"/>
              </w:rPr>
              <w:t>674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220" w:type="dxa"/>
            <w:vAlign w:val="bottom"/>
          </w:tcPr>
          <w:p>
            <w:pPr>
              <w:spacing w:after="0"/>
              <w:rPr>
                <w:sz w:val="24"/>
                <w:szCs w:val="24"/>
                <w:color w:val="auto"/>
              </w:rPr>
            </w:pPr>
          </w:p>
        </w:tc>
        <w:tc>
          <w:tcPr>
            <w:tcW w:w="3600" w:type="dxa"/>
            <w:vAlign w:val="bottom"/>
            <w:gridSpan w:val="4"/>
          </w:tcPr>
          <w:p>
            <w:pPr>
              <w:jc w:val="center"/>
              <w:ind w:right="1480"/>
              <w:spacing w:after="0"/>
              <w:rPr>
                <w:sz w:val="20"/>
                <w:szCs w:val="20"/>
                <w:color w:val="auto"/>
              </w:rPr>
            </w:pPr>
            <w:r>
              <w:rPr>
                <w:rFonts w:ascii="Arial" w:cs="Arial" w:eastAsia="Arial" w:hAnsi="Arial"/>
                <w:sz w:val="15"/>
                <w:szCs w:val="15"/>
                <w:b w:val="1"/>
                <w:bCs w:val="1"/>
                <w:color w:val="auto"/>
                <w:w w:val="88"/>
              </w:rPr>
              <w:t>Result from exposure to inflation</w:t>
            </w:r>
          </w:p>
        </w:tc>
        <w:tc>
          <w:tcPr>
            <w:tcW w:w="620" w:type="dxa"/>
            <w:vAlign w:val="bottom"/>
          </w:tcPr>
          <w:p>
            <w:pPr>
              <w:spacing w:after="0"/>
              <w:rPr>
                <w:sz w:val="24"/>
                <w:szCs w:val="2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rPr>
              <w:t>(0.629)</w:t>
            </w:r>
          </w:p>
        </w:tc>
        <w:tc>
          <w:tcPr>
            <w:tcW w:w="1600" w:type="dxa"/>
            <w:vAlign w:val="bottom"/>
            <w:gridSpan w:val="5"/>
          </w:tcPr>
          <w:p>
            <w:pPr>
              <w:jc w:val="right"/>
              <w:ind w:right="300"/>
              <w:spacing w:after="0"/>
              <w:rPr>
                <w:sz w:val="20"/>
                <w:szCs w:val="20"/>
                <w:color w:val="auto"/>
              </w:rPr>
            </w:pPr>
            <w:r>
              <w:rPr>
                <w:rFonts w:ascii="Arial" w:cs="Arial" w:eastAsia="Arial" w:hAnsi="Arial"/>
                <w:sz w:val="15"/>
                <w:szCs w:val="15"/>
                <w:b w:val="1"/>
                <w:bCs w:val="1"/>
                <w:color w:val="auto"/>
              </w:rPr>
              <w:t>(5.155)</w:t>
            </w:r>
          </w:p>
        </w:tc>
        <w:tc>
          <w:tcPr>
            <w:tcW w:w="134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rPr>
              <w:t>(5.345)</w:t>
            </w:r>
          </w:p>
        </w:tc>
        <w:tc>
          <w:tcPr>
            <w:tcW w:w="1060" w:type="dxa"/>
            <w:vAlign w:val="bottom"/>
            <w:gridSpan w:val="3"/>
          </w:tcPr>
          <w:p>
            <w:pPr>
              <w:jc w:val="right"/>
              <w:spacing w:after="0"/>
              <w:rPr>
                <w:sz w:val="20"/>
                <w:szCs w:val="20"/>
                <w:color w:val="auto"/>
              </w:rPr>
            </w:pPr>
            <w:r>
              <w:rPr>
                <w:rFonts w:ascii="Arial" w:cs="Arial" w:eastAsia="Arial" w:hAnsi="Arial"/>
                <w:sz w:val="15"/>
                <w:szCs w:val="15"/>
                <w:b w:val="1"/>
                <w:bCs w:val="1"/>
                <w:color w:val="auto"/>
              </w:rPr>
              <w:t>0.739</w:t>
            </w:r>
          </w:p>
        </w:tc>
        <w:tc>
          <w:tcPr>
            <w:tcW w:w="26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5"/>
                <w:szCs w:val="15"/>
                <w:b w:val="1"/>
                <w:bCs w:val="1"/>
                <w:color w:val="auto"/>
              </w:rPr>
              <w:t>(9.762)</w:t>
            </w:r>
          </w:p>
        </w:tc>
        <w:tc>
          <w:tcPr>
            <w:tcW w:w="0" w:type="dxa"/>
            <w:vAlign w:val="bottom"/>
          </w:tcPr>
          <w:p>
            <w:pPr>
              <w:spacing w:after="0"/>
              <w:rPr>
                <w:sz w:val="1"/>
                <w:szCs w:val="1"/>
                <w:color w:val="auto"/>
              </w:rPr>
            </w:pPr>
          </w:p>
        </w:tc>
      </w:tr>
      <w:tr>
        <w:trPr>
          <w:trHeight w:val="298"/>
        </w:trPr>
        <w:tc>
          <w:tcPr>
            <w:tcW w:w="1220" w:type="dxa"/>
            <w:vAlign w:val="bottom"/>
          </w:tcPr>
          <w:p>
            <w:pPr>
              <w:spacing w:after="0"/>
              <w:rPr>
                <w:sz w:val="24"/>
                <w:szCs w:val="24"/>
                <w:color w:val="auto"/>
              </w:rPr>
            </w:pPr>
          </w:p>
        </w:tc>
        <w:tc>
          <w:tcPr>
            <w:tcW w:w="3600" w:type="dxa"/>
            <w:vAlign w:val="bottom"/>
            <w:gridSpan w:val="4"/>
          </w:tcPr>
          <w:p>
            <w:pPr>
              <w:jc w:val="center"/>
              <w:ind w:right="1480"/>
              <w:spacing w:after="0"/>
              <w:rPr>
                <w:sz w:val="20"/>
                <w:szCs w:val="20"/>
                <w:color w:val="auto"/>
              </w:rPr>
            </w:pPr>
            <w:r>
              <w:rPr>
                <w:rFonts w:ascii="Arial" w:cs="Arial" w:eastAsia="Arial" w:hAnsi="Arial"/>
                <w:sz w:val="15"/>
                <w:szCs w:val="15"/>
                <w:b w:val="1"/>
                <w:bCs w:val="1"/>
                <w:color w:val="auto"/>
                <w:w w:val="88"/>
              </w:rPr>
              <w:t>Income before income tax</w:t>
            </w:r>
          </w:p>
        </w:tc>
        <w:tc>
          <w:tcPr>
            <w:tcW w:w="1100" w:type="dxa"/>
            <w:vAlign w:val="bottom"/>
            <w:gridSpan w:val="4"/>
          </w:tcPr>
          <w:p>
            <w:pPr>
              <w:jc w:val="right"/>
              <w:spacing w:after="0"/>
              <w:rPr>
                <w:sz w:val="20"/>
                <w:szCs w:val="20"/>
                <w:color w:val="auto"/>
              </w:rPr>
            </w:pPr>
            <w:r>
              <w:rPr>
                <w:rFonts w:ascii="Arial" w:cs="Arial" w:eastAsia="Arial" w:hAnsi="Arial"/>
                <w:sz w:val="15"/>
                <w:szCs w:val="15"/>
                <w:b w:val="1"/>
                <w:bCs w:val="1"/>
                <w:color w:val="auto"/>
              </w:rPr>
              <w:t>41.786</w:t>
            </w:r>
          </w:p>
        </w:tc>
        <w:tc>
          <w:tcPr>
            <w:tcW w:w="12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b w:val="1"/>
                <w:bCs w:val="1"/>
                <w:color w:val="auto"/>
              </w:rPr>
              <w:t>69.307</w:t>
            </w:r>
          </w:p>
        </w:tc>
        <w:tc>
          <w:tcPr>
            <w:tcW w:w="340" w:type="dxa"/>
            <w:vAlign w:val="bottom"/>
          </w:tcPr>
          <w:p>
            <w:pPr>
              <w:spacing w:after="0"/>
              <w:rPr>
                <w:sz w:val="24"/>
                <w:szCs w:val="24"/>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5"/>
                <w:szCs w:val="15"/>
                <w:b w:val="1"/>
                <w:bCs w:val="1"/>
                <w:color w:val="auto"/>
              </w:rPr>
              <w:t>72.370</w:t>
            </w:r>
          </w:p>
        </w:tc>
        <w:tc>
          <w:tcPr>
            <w:tcW w:w="1060" w:type="dxa"/>
            <w:vAlign w:val="bottom"/>
            <w:gridSpan w:val="3"/>
          </w:tcPr>
          <w:p>
            <w:pPr>
              <w:jc w:val="right"/>
              <w:spacing w:after="0"/>
              <w:rPr>
                <w:sz w:val="20"/>
                <w:szCs w:val="20"/>
                <w:color w:val="auto"/>
              </w:rPr>
            </w:pPr>
            <w:r>
              <w:rPr>
                <w:rFonts w:ascii="Arial" w:cs="Arial" w:eastAsia="Arial" w:hAnsi="Arial"/>
                <w:sz w:val="15"/>
                <w:szCs w:val="15"/>
                <w:b w:val="1"/>
                <w:bCs w:val="1"/>
                <w:color w:val="auto"/>
              </w:rPr>
              <w:t>161.661</w:t>
            </w:r>
          </w:p>
        </w:tc>
        <w:tc>
          <w:tcPr>
            <w:tcW w:w="2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5"/>
                <w:szCs w:val="15"/>
                <w:b w:val="1"/>
                <w:bCs w:val="1"/>
                <w:color w:val="auto"/>
              </w:rPr>
              <w:t>265.553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Employee profit sharing(2)</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2.405</w:t>
            </w:r>
          </w:p>
        </w:tc>
        <w:tc>
          <w:tcPr>
            <w:tcW w:w="12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3.603</w:t>
            </w:r>
          </w:p>
        </w:tc>
        <w:tc>
          <w:tcPr>
            <w:tcW w:w="340" w:type="dxa"/>
            <w:vAlign w:val="bottom"/>
          </w:tcPr>
          <w:p>
            <w:pPr>
              <w:spacing w:after="0"/>
              <w:rPr>
                <w:sz w:val="14"/>
                <w:szCs w:val="14"/>
                <w:color w:val="auto"/>
              </w:rPr>
            </w:pPr>
          </w:p>
        </w:tc>
        <w:tc>
          <w:tcPr>
            <w:tcW w:w="1340" w:type="dxa"/>
            <w:vAlign w:val="bottom"/>
            <w:gridSpan w:val="5"/>
          </w:tcPr>
          <w:p>
            <w:pPr>
              <w:jc w:val="right"/>
              <w:ind w:right="300"/>
              <w:spacing w:after="0" w:line="162" w:lineRule="exact"/>
              <w:rPr>
                <w:sz w:val="20"/>
                <w:szCs w:val="20"/>
                <w:color w:val="auto"/>
              </w:rPr>
            </w:pPr>
            <w:r>
              <w:rPr>
                <w:rFonts w:ascii="Arial" w:cs="Arial" w:eastAsia="Arial" w:hAnsi="Arial"/>
                <w:sz w:val="15"/>
                <w:szCs w:val="15"/>
                <w:color w:val="auto"/>
              </w:rPr>
              <w:t>3.053</w:t>
            </w:r>
          </w:p>
        </w:tc>
        <w:tc>
          <w:tcPr>
            <w:tcW w:w="10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6.647</w:t>
            </w:r>
          </w:p>
        </w:tc>
        <w:tc>
          <w:tcPr>
            <w:tcW w:w="260" w:type="dxa"/>
            <w:vAlign w:val="bottom"/>
          </w:tcPr>
          <w:p>
            <w:pPr>
              <w:spacing w:after="0"/>
              <w:rPr>
                <w:sz w:val="14"/>
                <w:szCs w:val="14"/>
                <w:color w:val="auto"/>
              </w:rPr>
            </w:pPr>
          </w:p>
        </w:tc>
        <w:tc>
          <w:tcPr>
            <w:tcW w:w="11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11.250</w:t>
            </w:r>
          </w:p>
        </w:tc>
        <w:tc>
          <w:tcPr>
            <w:tcW w:w="0" w:type="dxa"/>
            <w:vAlign w:val="bottom"/>
          </w:tcPr>
          <w:p>
            <w:pPr>
              <w:spacing w:after="0"/>
              <w:rPr>
                <w:sz w:val="1"/>
                <w:szCs w:val="1"/>
                <w:color w:val="auto"/>
              </w:rPr>
            </w:pPr>
          </w:p>
        </w:tc>
      </w:tr>
      <w:tr>
        <w:trPr>
          <w:trHeight w:val="188"/>
        </w:trPr>
        <w:tc>
          <w:tcPr>
            <w:tcW w:w="4820" w:type="dxa"/>
            <w:vAlign w:val="bottom"/>
            <w:gridSpan w:val="5"/>
          </w:tcPr>
          <w:p>
            <w:pPr>
              <w:ind w:left="80"/>
              <w:spacing w:after="0"/>
              <w:rPr>
                <w:sz w:val="20"/>
                <w:szCs w:val="20"/>
                <w:color w:val="auto"/>
              </w:rPr>
            </w:pPr>
            <w:r>
              <w:rPr>
                <w:rFonts w:ascii="Arial" w:cs="Arial" w:eastAsia="Arial" w:hAnsi="Arial"/>
                <w:sz w:val="15"/>
                <w:szCs w:val="15"/>
                <w:color w:val="auto"/>
              </w:rPr>
              <w:t>Income Tax</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11.959</w:t>
            </w:r>
          </w:p>
        </w:tc>
        <w:tc>
          <w:tcPr>
            <w:tcW w:w="12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19.055</w:t>
            </w:r>
          </w:p>
        </w:tc>
        <w:tc>
          <w:tcPr>
            <w:tcW w:w="340" w:type="dxa"/>
            <w:vAlign w:val="bottom"/>
          </w:tcPr>
          <w:p>
            <w:pPr>
              <w:spacing w:after="0"/>
              <w:rPr>
                <w:sz w:val="16"/>
                <w:szCs w:val="16"/>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5"/>
                <w:szCs w:val="15"/>
                <w:color w:val="auto"/>
              </w:rPr>
              <w:t>21.524</w:t>
            </w: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38.939</w:t>
            </w:r>
          </w:p>
        </w:tc>
        <w:tc>
          <w:tcPr>
            <w:tcW w:w="26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70.148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1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960"/>
              <w:spacing w:after="0"/>
              <w:rPr>
                <w:sz w:val="20"/>
                <w:szCs w:val="20"/>
                <w:color w:val="auto"/>
              </w:rPr>
            </w:pPr>
            <w:r>
              <w:rPr>
                <w:rFonts w:ascii="Arial" w:cs="Arial" w:eastAsia="Arial" w:hAnsi="Arial"/>
                <w:sz w:val="15"/>
                <w:szCs w:val="15"/>
                <w:b w:val="1"/>
                <w:bCs w:val="1"/>
                <w:color w:val="auto"/>
              </w:rPr>
              <w:t>NET INCOME</w:t>
            </w: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27.422</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46.649</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5"/>
                <w:szCs w:val="15"/>
                <w:b w:val="1"/>
                <w:bCs w:val="1"/>
                <w:color w:val="auto"/>
              </w:rPr>
              <w:t>47.793</w:t>
            </w:r>
          </w:p>
        </w:tc>
        <w:tc>
          <w:tcPr>
            <w:tcW w:w="13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5"/>
                <w:szCs w:val="15"/>
                <w:b w:val="1"/>
                <w:bCs w:val="1"/>
                <w:color w:val="auto"/>
              </w:rPr>
              <w:t>116.075</w:t>
            </w: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184.155</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(1)Income from recoveries of charged-off loans has been reclassified within Provisions for loan losses.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(2)Previously reported as part of personnel expenses.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6</w:t>
      </w:r>
    </w:p>
    <w:p>
      <w:pPr>
        <w:jc w:val="center"/>
        <w:spacing w:after="0"/>
        <w:rPr>
          <w:sz w:val="20"/>
          <w:szCs w:val="20"/>
          <w:color w:val="auto"/>
        </w:rPr>
      </w:pPr>
      <w:r>
        <w:rPr>
          <w:rFonts w:ascii="Arial" w:cs="Arial" w:eastAsia="Arial" w:hAnsi="Arial"/>
          <w:sz w:val="22"/>
          <w:szCs w:val="22"/>
          <w:b w:val="1"/>
          <w:bCs w:val="1"/>
          <w:color w:val="auto"/>
        </w:rPr>
        <w:t>SELECTED FINANCIAL INDICATORS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2"/>
              </w:rPr>
              <w:t>Three months ended</w:t>
            </w:r>
          </w:p>
        </w:tc>
        <w:tc>
          <w:tcPr>
            <w:tcW w:w="1320" w:type="dxa"/>
            <w:vAlign w:val="bottom"/>
            <w:tcBorders>
              <w:top w:val="single" w:sz="8" w:color="auto"/>
              <w:bottom w:val="single" w:sz="8" w:color="auto"/>
            </w:tcBorders>
          </w:tcPr>
          <w:p>
            <w:pPr>
              <w:spacing w:after="0"/>
              <w:rPr>
                <w:sz w:val="16"/>
                <w:szCs w:val="16"/>
                <w:color w:val="auto"/>
              </w:rPr>
            </w:pPr>
          </w:p>
        </w:tc>
        <w:tc>
          <w:tcPr>
            <w:tcW w:w="2460" w:type="dxa"/>
            <w:vAlign w:val="bottom"/>
            <w:tcBorders>
              <w:top w:val="single" w:sz="8" w:color="auto"/>
              <w:bottom w:val="single" w:sz="8" w:color="auto"/>
            </w:tcBorders>
            <w:gridSpan w:val="2"/>
          </w:tcPr>
          <w:p>
            <w:pPr>
              <w:jc w:val="right"/>
              <w:ind w:right="506"/>
              <w:spacing w:after="0"/>
              <w:rPr>
                <w:sz w:val="20"/>
                <w:szCs w:val="20"/>
                <w:color w:val="auto"/>
              </w:rPr>
            </w:pPr>
            <w:r>
              <w:rPr>
                <w:rFonts w:ascii="Arial" w:cs="Arial" w:eastAsia="Arial" w:hAnsi="Arial"/>
                <w:sz w:val="15"/>
                <w:szCs w:val="15"/>
                <w:b w:val="1"/>
                <w:bCs w:val="1"/>
                <w:color w:val="auto"/>
              </w:rPr>
              <w:t>Twelve months ended</w:t>
            </w:r>
          </w:p>
        </w:tc>
        <w:tc>
          <w:tcPr>
            <w:tcW w:w="0" w:type="dxa"/>
            <w:vAlign w:val="bottom"/>
          </w:tcPr>
          <w:p>
            <w:pPr>
              <w:spacing w:after="0"/>
              <w:rPr>
                <w:sz w:val="1"/>
                <w:szCs w:val="1"/>
                <w:color w:val="auto"/>
              </w:rPr>
            </w:pPr>
          </w:p>
        </w:tc>
      </w:tr>
      <w:tr>
        <w:trPr>
          <w:trHeight w:val="169"/>
        </w:trPr>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6"/>
              <w:spacing w:after="0" w:line="169" w:lineRule="exact"/>
              <w:rPr>
                <w:sz w:val="20"/>
                <w:szCs w:val="20"/>
                <w:color w:val="auto"/>
              </w:rPr>
            </w:pPr>
            <w:r>
              <w:rPr>
                <w:rFonts w:ascii="Arial" w:cs="Arial" w:eastAsia="Arial" w:hAnsi="Arial"/>
                <w:sz w:val="15"/>
                <w:szCs w:val="15"/>
                <w:b w:val="1"/>
                <w:bCs w:val="1"/>
                <w:color w:val="auto"/>
              </w:rPr>
              <w:t>31.12.04</w:t>
            </w:r>
          </w:p>
        </w:tc>
        <w:tc>
          <w:tcPr>
            <w:tcW w:w="1620" w:type="dxa"/>
            <w:vAlign w:val="bottom"/>
            <w:tcBorders>
              <w:bottom w:val="single" w:sz="8" w:color="auto"/>
            </w:tcBorders>
          </w:tcPr>
          <w:p>
            <w:pPr>
              <w:jc w:val="right"/>
              <w:ind w:right="566"/>
              <w:spacing w:after="0" w:line="169" w:lineRule="exact"/>
              <w:rPr>
                <w:sz w:val="20"/>
                <w:szCs w:val="20"/>
                <w:color w:val="auto"/>
              </w:rPr>
            </w:pPr>
            <w:r>
              <w:rPr>
                <w:rFonts w:ascii="Arial" w:cs="Arial" w:eastAsia="Arial" w:hAnsi="Arial"/>
                <w:sz w:val="15"/>
                <w:szCs w:val="15"/>
                <w:b w:val="1"/>
                <w:bCs w:val="1"/>
                <w:color w:val="auto"/>
              </w:rPr>
              <w:t>30.09.05</w:t>
            </w:r>
          </w:p>
        </w:tc>
        <w:tc>
          <w:tcPr>
            <w:tcW w:w="1320" w:type="dxa"/>
            <w:vAlign w:val="bottom"/>
            <w:tcBorders>
              <w:bottom w:val="single" w:sz="8" w:color="auto"/>
            </w:tcBorders>
          </w:tcPr>
          <w:p>
            <w:pPr>
              <w:jc w:val="right"/>
              <w:ind w:right="506"/>
              <w:spacing w:after="0" w:line="169" w:lineRule="exact"/>
              <w:rPr>
                <w:sz w:val="20"/>
                <w:szCs w:val="20"/>
                <w:color w:val="auto"/>
              </w:rPr>
            </w:pPr>
            <w:r>
              <w:rPr>
                <w:rFonts w:ascii="Arial" w:cs="Arial" w:eastAsia="Arial" w:hAnsi="Arial"/>
                <w:sz w:val="15"/>
                <w:szCs w:val="15"/>
                <w:b w:val="1"/>
                <w:bCs w:val="1"/>
                <w:color w:val="auto"/>
              </w:rPr>
              <w:t>31.12.05</w:t>
            </w:r>
          </w:p>
        </w:tc>
        <w:tc>
          <w:tcPr>
            <w:tcW w:w="1340" w:type="dxa"/>
            <w:vAlign w:val="bottom"/>
            <w:tcBorders>
              <w:bottom w:val="single" w:sz="8" w:color="auto"/>
            </w:tcBorders>
          </w:tcPr>
          <w:p>
            <w:pPr>
              <w:jc w:val="right"/>
              <w:ind w:right="486"/>
              <w:spacing w:after="0" w:line="169" w:lineRule="exact"/>
              <w:rPr>
                <w:sz w:val="20"/>
                <w:szCs w:val="20"/>
                <w:color w:val="auto"/>
              </w:rPr>
            </w:pPr>
            <w:r>
              <w:rPr>
                <w:rFonts w:ascii="Arial" w:cs="Arial" w:eastAsia="Arial" w:hAnsi="Arial"/>
                <w:sz w:val="15"/>
                <w:szCs w:val="15"/>
                <w:b w:val="1"/>
                <w:bCs w:val="1"/>
                <w:color w:val="auto"/>
              </w:rPr>
              <w:t>31.12.04</w:t>
            </w: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31.12.05</w:t>
            </w:r>
          </w:p>
        </w:tc>
        <w:tc>
          <w:tcPr>
            <w:tcW w:w="0" w:type="dxa"/>
            <w:vAlign w:val="bottom"/>
          </w:tcPr>
          <w:p>
            <w:pPr>
              <w:spacing w:after="0"/>
              <w:rPr>
                <w:sz w:val="1"/>
                <w:szCs w:val="1"/>
                <w:color w:val="auto"/>
              </w:rPr>
            </w:pPr>
          </w:p>
        </w:tc>
      </w:tr>
      <w:tr>
        <w:trPr>
          <w:trHeight w:val="156"/>
        </w:trPr>
        <w:tc>
          <w:tcPr>
            <w:tcW w:w="4820" w:type="dxa"/>
            <w:vAlign w:val="bottom"/>
            <w:gridSpan w:val="6"/>
          </w:tcPr>
          <w:p>
            <w:pPr>
              <w:spacing w:after="0" w:line="156" w:lineRule="exact"/>
              <w:rPr>
                <w:sz w:val="20"/>
                <w:szCs w:val="20"/>
                <w:color w:val="auto"/>
              </w:rPr>
            </w:pPr>
            <w:r>
              <w:rPr>
                <w:rFonts w:ascii="Arial" w:cs="Arial" w:eastAsia="Arial" w:hAnsi="Arial"/>
                <w:sz w:val="15"/>
                <w:szCs w:val="15"/>
                <w:b w:val="1"/>
                <w:bCs w:val="1"/>
                <w:color w:val="auto"/>
              </w:rPr>
              <w:t>Profitability</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0.022</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0.038</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0.037</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0.095</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0.143</w:t>
            </w:r>
          </w:p>
        </w:tc>
        <w:tc>
          <w:tcPr>
            <w:tcW w:w="0" w:type="dxa"/>
            <w:vAlign w:val="bottom"/>
          </w:tcPr>
          <w:p>
            <w:pPr>
              <w:spacing w:after="0"/>
              <w:rPr>
                <w:sz w:val="1"/>
                <w:szCs w:val="1"/>
                <w:color w:val="auto"/>
              </w:rPr>
            </w:pPr>
          </w:p>
        </w:tc>
      </w:tr>
      <w:tr>
        <w:trPr>
          <w:trHeight w:val="146"/>
        </w:trPr>
        <w:tc>
          <w:tcPr>
            <w:tcW w:w="78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Net income</w:t>
            </w:r>
          </w:p>
        </w:tc>
        <w:tc>
          <w:tcPr>
            <w:tcW w:w="4040" w:type="dxa"/>
            <w:vAlign w:val="bottom"/>
            <w:gridSpan w:val="5"/>
          </w:tcPr>
          <w:p>
            <w:pPr>
              <w:spacing w:after="0" w:line="146" w:lineRule="exact"/>
              <w:rPr>
                <w:sz w:val="20"/>
                <w:szCs w:val="20"/>
                <w:color w:val="auto"/>
              </w:rPr>
            </w:pPr>
            <w:r>
              <w:rPr>
                <w:rFonts w:ascii="Arial" w:cs="Arial" w:eastAsia="Arial" w:hAnsi="Arial"/>
                <w:sz w:val="15"/>
                <w:szCs w:val="15"/>
                <w:color w:val="auto"/>
              </w:rPr>
              <w:t>per common share (US$ per share)(1)</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spacing w:after="0" w:line="162" w:lineRule="exact"/>
              <w:rPr>
                <w:sz w:val="20"/>
                <w:szCs w:val="20"/>
                <w:color w:val="auto"/>
              </w:rPr>
            </w:pPr>
            <w:r>
              <w:rPr>
                <w:rFonts w:ascii="Arial" w:cs="Arial" w:eastAsia="Arial" w:hAnsi="Arial"/>
                <w:sz w:val="15"/>
                <w:szCs w:val="15"/>
                <w:color w:val="auto"/>
              </w:rPr>
              <w:t>Net interest margin on interest earning assets (2)</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5.58%</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5.72%</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5.36%</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5.09%</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5.45%</w:t>
            </w:r>
          </w:p>
        </w:tc>
        <w:tc>
          <w:tcPr>
            <w:tcW w:w="0" w:type="dxa"/>
            <w:vAlign w:val="bottom"/>
          </w:tcPr>
          <w:p>
            <w:pPr>
              <w:spacing w:after="0"/>
              <w:rPr>
                <w:sz w:val="1"/>
                <w:szCs w:val="1"/>
                <w:color w:val="auto"/>
              </w:rPr>
            </w:pPr>
          </w:p>
        </w:tc>
      </w:tr>
      <w:tr>
        <w:trPr>
          <w:trHeight w:val="162"/>
        </w:trPr>
        <w:tc>
          <w:tcPr>
            <w:tcW w:w="4820" w:type="dxa"/>
            <w:vAlign w:val="bottom"/>
            <w:gridSpan w:val="6"/>
          </w:tcPr>
          <w:p>
            <w:pPr>
              <w:spacing w:after="0" w:line="162" w:lineRule="exact"/>
              <w:rPr>
                <w:sz w:val="20"/>
                <w:szCs w:val="20"/>
                <w:color w:val="auto"/>
              </w:rPr>
            </w:pPr>
            <w:r>
              <w:rPr>
                <w:rFonts w:ascii="Arial" w:cs="Arial" w:eastAsia="Arial" w:hAnsi="Arial"/>
                <w:sz w:val="15"/>
                <w:szCs w:val="15"/>
                <w:color w:val="auto"/>
              </w:rPr>
              <w:t>Return on average total assets (2)(3)</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1.54%</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2.31%</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2.18%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1.67%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88"/>
        </w:trPr>
        <w:tc>
          <w:tcPr>
            <w:tcW w:w="4820" w:type="dxa"/>
            <w:vAlign w:val="bottom"/>
            <w:gridSpan w:val="6"/>
          </w:tcPr>
          <w:p>
            <w:pPr>
              <w:spacing w:after="0"/>
              <w:rPr>
                <w:sz w:val="20"/>
                <w:szCs w:val="20"/>
                <w:color w:val="auto"/>
              </w:rPr>
            </w:pPr>
            <w:r>
              <w:rPr>
                <w:rFonts w:ascii="Arial" w:cs="Arial" w:eastAsia="Arial" w:hAnsi="Arial"/>
                <w:sz w:val="15"/>
                <w:szCs w:val="15"/>
                <w:color w:val="auto"/>
              </w:rPr>
              <w:t>Return on average shareholders' equity (2)(3)</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14.89%</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23.08%</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22.27%</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17.09%</w:t>
            </w:r>
          </w:p>
        </w:tc>
        <w:tc>
          <w:tcPr>
            <w:tcW w:w="1120" w:type="dxa"/>
            <w:vAlign w:val="bottom"/>
          </w:tcPr>
          <w:p>
            <w:pPr>
              <w:jc w:val="right"/>
              <w:spacing w:after="0"/>
              <w:rPr>
                <w:sz w:val="20"/>
                <w:szCs w:val="20"/>
                <w:color w:val="auto"/>
              </w:rPr>
            </w:pPr>
            <w:r>
              <w:rPr>
                <w:rFonts w:ascii="Arial" w:cs="Arial" w:eastAsia="Arial" w:hAnsi="Arial"/>
                <w:sz w:val="15"/>
                <w:szCs w:val="15"/>
                <w:color w:val="auto"/>
              </w:rPr>
              <w:t>22.87%</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Quality of loan portfolio</w:t>
            </w: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820" w:type="dxa"/>
            <w:vAlign w:val="bottom"/>
            <w:gridSpan w:val="6"/>
          </w:tcPr>
          <w:p>
            <w:pPr>
              <w:ind w:left="40"/>
              <w:spacing w:after="0"/>
              <w:rPr>
                <w:sz w:val="20"/>
                <w:szCs w:val="20"/>
                <w:color w:val="auto"/>
              </w:rPr>
            </w:pPr>
            <w:r>
              <w:rPr>
                <w:rFonts w:ascii="Arial" w:cs="Arial" w:eastAsia="Arial" w:hAnsi="Arial"/>
                <w:sz w:val="15"/>
                <w:szCs w:val="15"/>
                <w:color w:val="auto"/>
              </w:rPr>
              <w:t>Past due loans as a percentage of total loans</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3.68%</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2.55%</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1.94%</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3.68%</w:t>
            </w:r>
          </w:p>
        </w:tc>
        <w:tc>
          <w:tcPr>
            <w:tcW w:w="1120" w:type="dxa"/>
            <w:vAlign w:val="bottom"/>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Past due loans + refinanced loans as a</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200"/>
              <w:spacing w:after="0" w:line="162" w:lineRule="exact"/>
              <w:rPr>
                <w:sz w:val="20"/>
                <w:szCs w:val="20"/>
                <w:color w:val="auto"/>
              </w:rPr>
            </w:pPr>
            <w:r>
              <w:rPr>
                <w:rFonts w:ascii="Arial" w:cs="Arial" w:eastAsia="Arial" w:hAnsi="Arial"/>
                <w:sz w:val="15"/>
                <w:szCs w:val="15"/>
                <w:color w:val="auto"/>
              </w:rPr>
              <w:t>percentage of total loans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9.37%</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6.62%</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5.44%</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9.37%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200"/>
              <w:spacing w:after="0" w:line="162" w:lineRule="exact"/>
              <w:rPr>
                <w:sz w:val="20"/>
                <w:szCs w:val="20"/>
                <w:color w:val="auto"/>
              </w:rPr>
            </w:pPr>
            <w:r>
              <w:rPr>
                <w:rFonts w:ascii="Arial" w:cs="Arial" w:eastAsia="Arial" w:hAnsi="Arial"/>
                <w:sz w:val="15"/>
                <w:szCs w:val="15"/>
                <w:color w:val="auto"/>
              </w:rPr>
              <w:t>past due loans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159.83%</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175.24%</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207.65%</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159.83%</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207.65%</w:t>
            </w: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gridSpan w:val="6"/>
          </w:tcPr>
          <w:p>
            <w:pPr>
              <w:ind w:left="200"/>
              <w:spacing w:after="0"/>
              <w:rPr>
                <w:sz w:val="20"/>
                <w:szCs w:val="20"/>
                <w:color w:val="auto"/>
              </w:rPr>
            </w:pPr>
            <w:r>
              <w:rPr>
                <w:rFonts w:ascii="Arial" w:cs="Arial" w:eastAsia="Arial" w:hAnsi="Arial"/>
                <w:sz w:val="15"/>
                <w:szCs w:val="15"/>
                <w:color w:val="auto"/>
              </w:rPr>
              <w:t>past due loans + refinanced loans</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62.79%</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67.53%</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74.00%</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62.79%</w:t>
            </w:r>
          </w:p>
        </w:tc>
        <w:tc>
          <w:tcPr>
            <w:tcW w:w="1120" w:type="dxa"/>
            <w:vAlign w:val="bottom"/>
          </w:tcPr>
          <w:p>
            <w:pPr>
              <w:jc w:val="right"/>
              <w:spacing w:after="0"/>
              <w:rPr>
                <w:sz w:val="20"/>
                <w:szCs w:val="20"/>
                <w:color w:val="auto"/>
              </w:rPr>
            </w:pPr>
            <w:r>
              <w:rPr>
                <w:rFonts w:ascii="Arial" w:cs="Arial" w:eastAsia="Arial" w:hAnsi="Arial"/>
                <w:sz w:val="15"/>
                <w:szCs w:val="15"/>
                <w:color w:val="auto"/>
              </w:rPr>
              <w:t>74.00%</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Operating efficiency (5)</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59.88%</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49.47%</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51.74%</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59.89%</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51.86%</w:t>
            </w:r>
          </w:p>
        </w:tc>
        <w:tc>
          <w:tcPr>
            <w:tcW w:w="0" w:type="dxa"/>
            <w:vAlign w:val="bottom"/>
          </w:tcPr>
          <w:p>
            <w:pPr>
              <w:spacing w:after="0"/>
              <w:rPr>
                <w:sz w:val="1"/>
                <w:szCs w:val="1"/>
                <w:color w:val="auto"/>
              </w:rPr>
            </w:pPr>
          </w:p>
        </w:tc>
      </w:tr>
      <w:tr>
        <w:trPr>
          <w:trHeight w:val="146"/>
        </w:trPr>
        <w:tc>
          <w:tcPr>
            <w:tcW w:w="1540" w:type="dxa"/>
            <w:vAlign w:val="bottom"/>
            <w:tcBorders>
              <w:top w:val="single" w:sz="8" w:color="auto"/>
            </w:tcBorders>
            <w:gridSpan w:val="4"/>
          </w:tcPr>
          <w:p>
            <w:pPr>
              <w:spacing w:after="0" w:line="146" w:lineRule="exact"/>
              <w:rPr>
                <w:sz w:val="20"/>
                <w:szCs w:val="20"/>
                <w:color w:val="auto"/>
              </w:rPr>
            </w:pPr>
            <w:r>
              <w:rPr>
                <w:rFonts w:ascii="Arial" w:cs="Arial" w:eastAsia="Arial" w:hAnsi="Arial"/>
                <w:sz w:val="15"/>
                <w:szCs w:val="15"/>
                <w:color w:val="auto"/>
                <w:w w:val="79"/>
              </w:rPr>
              <w:t>Oper. expense as a percent.</w:t>
            </w:r>
          </w:p>
        </w:tc>
        <w:tc>
          <w:tcPr>
            <w:tcW w:w="3280" w:type="dxa"/>
            <w:vAlign w:val="bottom"/>
            <w:gridSpan w:val="2"/>
          </w:tcPr>
          <w:p>
            <w:pPr>
              <w:ind w:left="120"/>
              <w:spacing w:after="0" w:line="146" w:lineRule="exact"/>
              <w:rPr>
                <w:sz w:val="20"/>
                <w:szCs w:val="20"/>
                <w:color w:val="auto"/>
              </w:rPr>
            </w:pPr>
            <w:r>
              <w:rPr>
                <w:rFonts w:ascii="Arial" w:cs="Arial" w:eastAsia="Arial" w:hAnsi="Arial"/>
                <w:sz w:val="15"/>
                <w:szCs w:val="15"/>
                <w:color w:val="auto"/>
              </w:rPr>
              <w:t>of total income (4)</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20" w:type="dxa"/>
            <w:vAlign w:val="bottom"/>
            <w:gridSpan w:val="6"/>
          </w:tcPr>
          <w:p>
            <w:pPr>
              <w:spacing w:after="0"/>
              <w:rPr>
                <w:sz w:val="20"/>
                <w:szCs w:val="20"/>
                <w:color w:val="auto"/>
              </w:rPr>
            </w:pPr>
            <w:r>
              <w:rPr>
                <w:rFonts w:ascii="Arial" w:cs="Arial" w:eastAsia="Arial" w:hAnsi="Arial"/>
                <w:sz w:val="15"/>
                <w:szCs w:val="15"/>
                <w:color w:val="auto"/>
              </w:rPr>
              <w:t>Oper. expense as a percent. of av. tot. assets(2)(3)</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4.74%</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3.95%</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3.96%</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4.56%</w:t>
            </w:r>
          </w:p>
        </w:tc>
        <w:tc>
          <w:tcPr>
            <w:tcW w:w="1120" w:type="dxa"/>
            <w:vAlign w:val="bottom"/>
          </w:tcPr>
          <w:p>
            <w:pPr>
              <w:jc w:val="right"/>
              <w:spacing w:after="0"/>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Capital adequacy</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665.6</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699.9</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680.5</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665.6</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680.5</w:t>
            </w:r>
          </w:p>
        </w:tc>
        <w:tc>
          <w:tcPr>
            <w:tcW w:w="0" w:type="dxa"/>
            <w:vAlign w:val="bottom"/>
          </w:tcPr>
          <w:p>
            <w:pPr>
              <w:spacing w:after="0"/>
              <w:rPr>
                <w:sz w:val="1"/>
                <w:szCs w:val="1"/>
                <w:color w:val="auto"/>
              </w:rPr>
            </w:pPr>
          </w:p>
        </w:tc>
      </w:tr>
      <w:tr>
        <w:trPr>
          <w:trHeight w:val="146"/>
        </w:trPr>
        <w:tc>
          <w:tcPr>
            <w:tcW w:w="1120" w:type="dxa"/>
            <w:vAlign w:val="bottom"/>
            <w:tcBorders>
              <w:top w:val="single" w:sz="8" w:color="auto"/>
            </w:tcBorders>
            <w:gridSpan w:val="3"/>
          </w:tcPr>
          <w:p>
            <w:pPr>
              <w:ind w:left="40"/>
              <w:spacing w:after="0" w:line="146" w:lineRule="exact"/>
              <w:rPr>
                <w:sz w:val="20"/>
                <w:szCs w:val="20"/>
                <w:color w:val="auto"/>
              </w:rPr>
            </w:pPr>
            <w:r>
              <w:rPr>
                <w:rFonts w:ascii="Arial" w:cs="Arial" w:eastAsia="Arial" w:hAnsi="Arial"/>
                <w:sz w:val="15"/>
                <w:szCs w:val="15"/>
                <w:color w:val="auto"/>
                <w:w w:val="96"/>
              </w:rPr>
              <w:t>Total Regulatory</w:t>
            </w:r>
          </w:p>
        </w:tc>
        <w:tc>
          <w:tcPr>
            <w:tcW w:w="3700" w:type="dxa"/>
            <w:vAlign w:val="bottom"/>
            <w:gridSpan w:val="3"/>
          </w:tcPr>
          <w:p>
            <w:pPr>
              <w:spacing w:after="0" w:line="146" w:lineRule="exact"/>
              <w:rPr>
                <w:sz w:val="20"/>
                <w:szCs w:val="20"/>
                <w:color w:val="auto"/>
              </w:rPr>
            </w:pPr>
            <w:r>
              <w:rPr>
                <w:rFonts w:ascii="Arial" w:cs="Arial" w:eastAsia="Arial" w:hAnsi="Arial"/>
                <w:sz w:val="15"/>
                <w:szCs w:val="15"/>
                <w:color w:val="auto"/>
              </w:rPr>
              <w:t>capital (millions US$)</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Tier I Capital (millions US$)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631.7</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621.4</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606.2</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631.7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606.2</w:t>
            </w: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Net equity as a percentage of period end total assets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10.95%</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10.26%</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9.42%</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10.95%</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9.42%</w:t>
            </w:r>
          </w:p>
        </w:tc>
        <w:tc>
          <w:tcPr>
            <w:tcW w:w="0" w:type="dxa"/>
            <w:vAlign w:val="bottom"/>
          </w:tcPr>
          <w:p>
            <w:pPr>
              <w:spacing w:after="0"/>
              <w:rPr>
                <w:sz w:val="1"/>
                <w:szCs w:val="1"/>
                <w:color w:val="auto"/>
              </w:rPr>
            </w:pPr>
          </w:p>
        </w:tc>
      </w:tr>
      <w:tr>
        <w:trPr>
          <w:trHeight w:val="188"/>
        </w:trPr>
        <w:tc>
          <w:tcPr>
            <w:tcW w:w="4820" w:type="dxa"/>
            <w:vAlign w:val="bottom"/>
            <w:gridSpan w:val="6"/>
          </w:tcPr>
          <w:p>
            <w:pPr>
              <w:ind w:left="40"/>
              <w:spacing w:after="0"/>
              <w:rPr>
                <w:sz w:val="20"/>
                <w:szCs w:val="20"/>
                <w:color w:val="auto"/>
              </w:rPr>
            </w:pPr>
            <w:r>
              <w:rPr>
                <w:rFonts w:ascii="Arial" w:cs="Arial" w:eastAsia="Arial" w:hAnsi="Arial"/>
                <w:sz w:val="15"/>
                <w:szCs w:val="15"/>
                <w:color w:val="auto"/>
              </w:rPr>
              <w:t>Regulatory capital / risk-weighted assets</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14.39%</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14.01%</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12.42%</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14.39%</w:t>
            </w:r>
          </w:p>
        </w:tc>
        <w:tc>
          <w:tcPr>
            <w:tcW w:w="1120" w:type="dxa"/>
            <w:vAlign w:val="bottom"/>
          </w:tcPr>
          <w:p>
            <w:pPr>
              <w:jc w:val="right"/>
              <w:spacing w:after="0"/>
              <w:rPr>
                <w:sz w:val="20"/>
                <w:szCs w:val="20"/>
                <w:color w:val="auto"/>
              </w:rPr>
            </w:pPr>
            <w:r>
              <w:rPr>
                <w:rFonts w:ascii="Arial" w:cs="Arial" w:eastAsia="Arial" w:hAnsi="Arial"/>
                <w:sz w:val="15"/>
                <w:szCs w:val="15"/>
                <w:color w:val="auto"/>
              </w:rPr>
              <w:t>12.42%</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Average balances (constant millions S/.) (3)</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6,243.8</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6,996.6</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7,635.4</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6,185.6</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7,078.2</w:t>
            </w:r>
          </w:p>
        </w:tc>
        <w:tc>
          <w:tcPr>
            <w:tcW w:w="0" w:type="dxa"/>
            <w:vAlign w:val="bottom"/>
          </w:tcPr>
          <w:p>
            <w:pPr>
              <w:spacing w:after="0"/>
              <w:rPr>
                <w:sz w:val="1"/>
                <w:szCs w:val="1"/>
                <w:color w:val="auto"/>
              </w:rPr>
            </w:pPr>
          </w:p>
        </w:tc>
      </w:tr>
      <w:tr>
        <w:trPr>
          <w:trHeight w:val="146"/>
        </w:trPr>
        <w:tc>
          <w:tcPr>
            <w:tcW w:w="2720" w:type="dxa"/>
            <w:vAlign w:val="bottom"/>
            <w:tcBorders>
              <w:top w:val="single" w:sz="8" w:color="auto"/>
            </w:tcBorders>
            <w:gridSpan w:val="5"/>
          </w:tcPr>
          <w:p>
            <w:pPr>
              <w:ind w:left="40"/>
              <w:spacing w:after="0" w:line="146" w:lineRule="exact"/>
              <w:rPr>
                <w:sz w:val="20"/>
                <w:szCs w:val="20"/>
                <w:color w:val="auto"/>
              </w:rPr>
            </w:pPr>
            <w:r>
              <w:rPr>
                <w:rFonts w:ascii="Arial" w:cs="Arial" w:eastAsia="Arial" w:hAnsi="Arial"/>
                <w:sz w:val="15"/>
                <w:szCs w:val="15"/>
                <w:color w:val="auto"/>
              </w:rPr>
              <w:t>Interest earning assets</w:t>
            </w:r>
          </w:p>
        </w:tc>
        <w:tc>
          <w:tcPr>
            <w:tcW w:w="2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Total Assets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7,135.1</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8,075.6</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8,750.3</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6,939.4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8,140.8</w:t>
            </w:r>
          </w:p>
        </w:tc>
        <w:tc>
          <w:tcPr>
            <w:tcW w:w="0" w:type="dxa"/>
            <w:vAlign w:val="bottom"/>
          </w:tcPr>
          <w:p>
            <w:pPr>
              <w:spacing w:after="0"/>
              <w:rPr>
                <w:sz w:val="1"/>
                <w:szCs w:val="1"/>
                <w:color w:val="auto"/>
              </w:rPr>
            </w:pPr>
          </w:p>
        </w:tc>
      </w:tr>
      <w:tr>
        <w:trPr>
          <w:trHeight w:val="188"/>
        </w:trPr>
        <w:tc>
          <w:tcPr>
            <w:tcW w:w="4820" w:type="dxa"/>
            <w:vAlign w:val="bottom"/>
            <w:gridSpan w:val="6"/>
          </w:tcPr>
          <w:p>
            <w:pPr>
              <w:ind w:left="40"/>
              <w:spacing w:after="0"/>
              <w:rPr>
                <w:sz w:val="20"/>
                <w:szCs w:val="20"/>
                <w:color w:val="auto"/>
              </w:rPr>
            </w:pPr>
            <w:r>
              <w:rPr>
                <w:rFonts w:ascii="Arial" w:cs="Arial" w:eastAsia="Arial" w:hAnsi="Arial"/>
                <w:sz w:val="15"/>
                <w:szCs w:val="15"/>
                <w:color w:val="auto"/>
              </w:rPr>
              <w:t>Net equity</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736.8</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808.4</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858.5</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679.4</w:t>
            </w:r>
          </w:p>
        </w:tc>
        <w:tc>
          <w:tcPr>
            <w:tcW w:w="1120" w:type="dxa"/>
            <w:vAlign w:val="bottom"/>
          </w:tcPr>
          <w:p>
            <w:pPr>
              <w:jc w:val="right"/>
              <w:spacing w:after="0"/>
              <w:rPr>
                <w:sz w:val="20"/>
                <w:szCs w:val="20"/>
                <w:color w:val="auto"/>
              </w:rPr>
            </w:pPr>
            <w:r>
              <w:rPr>
                <w:rFonts w:ascii="Arial" w:cs="Arial" w:eastAsia="Arial" w:hAnsi="Arial"/>
                <w:sz w:val="15"/>
                <w:szCs w:val="15"/>
                <w:color w:val="auto"/>
              </w:rPr>
              <w:t>805.2</w:t>
            </w:r>
          </w:p>
        </w:tc>
        <w:tc>
          <w:tcPr>
            <w:tcW w:w="0" w:type="dxa"/>
            <w:vAlign w:val="bottom"/>
          </w:tcPr>
          <w:p>
            <w:pPr>
              <w:spacing w:after="0"/>
              <w:rPr>
                <w:sz w:val="1"/>
                <w:szCs w:val="1"/>
                <w:color w:val="auto"/>
              </w:rPr>
            </w:pPr>
          </w:p>
        </w:tc>
      </w:tr>
      <w:tr>
        <w:trPr>
          <w:trHeight w:val="294"/>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Additional data</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1,226</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1,287</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1,287</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1,226</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146"/>
        </w:trPr>
        <w:tc>
          <w:tcPr>
            <w:tcW w:w="1000" w:type="dxa"/>
            <w:vAlign w:val="bottom"/>
            <w:tcBorders>
              <w:top w:val="single" w:sz="8" w:color="auto"/>
            </w:tcBorders>
            <w:gridSpan w:val="2"/>
          </w:tcPr>
          <w:p>
            <w:pPr>
              <w:ind w:left="40"/>
              <w:spacing w:after="0" w:line="146" w:lineRule="exact"/>
              <w:rPr>
                <w:sz w:val="20"/>
                <w:szCs w:val="20"/>
                <w:color w:val="auto"/>
              </w:rPr>
            </w:pPr>
            <w:r>
              <w:rPr>
                <w:rFonts w:ascii="Arial" w:cs="Arial" w:eastAsia="Arial" w:hAnsi="Arial"/>
                <w:sz w:val="15"/>
                <w:szCs w:val="15"/>
                <w:color w:val="auto"/>
                <w:w w:val="77"/>
              </w:rPr>
              <w:t>No. of outstanding</w:t>
            </w:r>
          </w:p>
        </w:tc>
        <w:tc>
          <w:tcPr>
            <w:tcW w:w="3820" w:type="dxa"/>
            <w:vAlign w:val="bottom"/>
            <w:gridSpan w:val="4"/>
          </w:tcPr>
          <w:p>
            <w:pPr>
              <w:ind w:left="200"/>
              <w:spacing w:after="0" w:line="146" w:lineRule="exact"/>
              <w:rPr>
                <w:sz w:val="20"/>
                <w:szCs w:val="20"/>
                <w:color w:val="auto"/>
              </w:rPr>
            </w:pPr>
            <w:r>
              <w:rPr>
                <w:rFonts w:ascii="Arial" w:cs="Arial" w:eastAsia="Arial" w:hAnsi="Arial"/>
                <w:sz w:val="15"/>
                <w:szCs w:val="15"/>
                <w:color w:val="auto"/>
              </w:rPr>
              <w:t>shares (millions)</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No. of employees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7,694</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7,494</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7,566</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7,694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7,566</w:t>
            </w:r>
          </w:p>
        </w:tc>
        <w:tc>
          <w:tcPr>
            <w:tcW w:w="0" w:type="dxa"/>
            <w:vAlign w:val="bottom"/>
          </w:tcPr>
          <w:p>
            <w:pPr>
              <w:spacing w:after="0"/>
              <w:rPr>
                <w:sz w:val="1"/>
                <w:szCs w:val="1"/>
                <w:color w:val="auto"/>
              </w:rPr>
            </w:pP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Inflation rate ( Wholesale price index)</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-0.02%</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1.25%</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1.38%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4.89%</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gridSpan w:val="6"/>
          </w:tcPr>
          <w:p>
            <w:pPr>
              <w:ind w:left="40"/>
              <w:spacing w:after="0" w:line="172" w:lineRule="exact"/>
              <w:rPr>
                <w:sz w:val="20"/>
                <w:szCs w:val="20"/>
                <w:color w:val="auto"/>
              </w:rPr>
            </w:pPr>
            <w:r>
              <w:rPr>
                <w:rFonts w:ascii="Arial" w:cs="Arial" w:eastAsia="Arial" w:hAnsi="Arial"/>
                <w:sz w:val="15"/>
                <w:szCs w:val="15"/>
                <w:color w:val="auto"/>
              </w:rPr>
              <w:t>Exchange rate (S/. per 1 U.S. Dollar)</w:t>
            </w:r>
          </w:p>
        </w:tc>
        <w:tc>
          <w:tcPr>
            <w:tcW w:w="12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3.282</w:t>
            </w:r>
          </w:p>
        </w:tc>
        <w:tc>
          <w:tcPr>
            <w:tcW w:w="1620" w:type="dxa"/>
            <w:vAlign w:val="bottom"/>
            <w:tcBorders>
              <w:bottom w:val="single" w:sz="8" w:color="auto"/>
            </w:tcBorders>
          </w:tcPr>
          <w:p>
            <w:pPr>
              <w:jc w:val="right"/>
              <w:ind w:right="266"/>
              <w:spacing w:after="0" w:line="172" w:lineRule="exact"/>
              <w:rPr>
                <w:sz w:val="20"/>
                <w:szCs w:val="20"/>
                <w:color w:val="auto"/>
              </w:rPr>
            </w:pPr>
            <w:r>
              <w:rPr>
                <w:rFonts w:ascii="Arial" w:cs="Arial" w:eastAsia="Arial" w:hAnsi="Arial"/>
                <w:sz w:val="15"/>
                <w:szCs w:val="15"/>
                <w:color w:val="auto"/>
              </w:rPr>
              <w:t>3.344</w:t>
            </w:r>
          </w:p>
        </w:tc>
        <w:tc>
          <w:tcPr>
            <w:tcW w:w="1320" w:type="dxa"/>
            <w:vAlign w:val="bottom"/>
            <w:tcBorders>
              <w:bottom w:val="single" w:sz="8" w:color="auto"/>
            </w:tcBorders>
          </w:tcPr>
          <w:p>
            <w:pPr>
              <w:jc w:val="right"/>
              <w:ind w:right="206"/>
              <w:spacing w:after="0" w:line="172" w:lineRule="exact"/>
              <w:rPr>
                <w:sz w:val="20"/>
                <w:szCs w:val="20"/>
                <w:color w:val="auto"/>
              </w:rPr>
            </w:pPr>
            <w:r>
              <w:rPr>
                <w:rFonts w:ascii="Arial" w:cs="Arial" w:eastAsia="Arial" w:hAnsi="Arial"/>
                <w:sz w:val="15"/>
                <w:szCs w:val="15"/>
                <w:color w:val="auto"/>
              </w:rPr>
              <w:t>3.430</w:t>
            </w:r>
          </w:p>
        </w:tc>
        <w:tc>
          <w:tcPr>
            <w:tcW w:w="1340" w:type="dxa"/>
            <w:vAlign w:val="bottom"/>
            <w:tcBorders>
              <w:bottom w:val="single" w:sz="8" w:color="auto"/>
            </w:tcBorders>
          </w:tcPr>
          <w:p>
            <w:pPr>
              <w:jc w:val="right"/>
              <w:ind w:right="186"/>
              <w:spacing w:after="0" w:line="172" w:lineRule="exact"/>
              <w:rPr>
                <w:sz w:val="20"/>
                <w:szCs w:val="20"/>
                <w:color w:val="auto"/>
              </w:rPr>
            </w:pPr>
            <w:r>
              <w:rPr>
                <w:rFonts w:ascii="Arial" w:cs="Arial" w:eastAsia="Arial" w:hAnsi="Arial"/>
                <w:sz w:val="15"/>
                <w:szCs w:val="15"/>
                <w:color w:val="auto"/>
              </w:rPr>
              <w:t>3.282</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3.430</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(1)Shares outstanding of 1,287 million is used for all periods since shares have been issued only for capitalization of profits and inflation adjustment.</w:t>
      </w:r>
    </w:p>
    <w:p>
      <w:pPr>
        <w:spacing w:after="0" w:line="227" w:lineRule="auto"/>
        <w:rPr>
          <w:sz w:val="20"/>
          <w:szCs w:val="20"/>
          <w:color w:val="auto"/>
        </w:rPr>
      </w:pPr>
      <w:r>
        <w:rPr>
          <w:rFonts w:ascii="Arial" w:cs="Arial" w:eastAsia="Arial" w:hAnsi="Arial"/>
          <w:sz w:val="15"/>
          <w:szCs w:val="15"/>
          <w:i w:val="1"/>
          <w:iCs w:val="1"/>
          <w:color w:val="auto"/>
        </w:rPr>
        <w:t>(2)Ratios are annualized.</w:t>
      </w:r>
    </w:p>
    <w:p>
      <w:pPr>
        <w:spacing w:after="0" w:line="226" w:lineRule="auto"/>
        <w:rPr>
          <w:sz w:val="20"/>
          <w:szCs w:val="20"/>
          <w:color w:val="auto"/>
        </w:rPr>
      </w:pPr>
      <w:r>
        <w:rPr>
          <w:rFonts w:ascii="Arial" w:cs="Arial" w:eastAsia="Arial" w:hAnsi="Arial"/>
          <w:sz w:val="15"/>
          <w:szCs w:val="15"/>
          <w:i w:val="1"/>
          <w:iCs w:val="1"/>
          <w:color w:val="auto"/>
        </w:rPr>
        <w:t>(3)Averages are determined as the average of period-beginning and period-ending balances.</w:t>
      </w:r>
    </w:p>
    <w:p>
      <w:pPr>
        <w:spacing w:after="0" w:line="225" w:lineRule="auto"/>
        <w:rPr>
          <w:sz w:val="20"/>
          <w:szCs w:val="20"/>
          <w:color w:val="auto"/>
        </w:rPr>
      </w:pPr>
      <w:r>
        <w:rPr>
          <w:rFonts w:ascii="Arial" w:cs="Arial" w:eastAsia="Arial" w:hAnsi="Arial"/>
          <w:sz w:val="15"/>
          <w:szCs w:val="15"/>
          <w:i w:val="1"/>
          <w:iCs w:val="1"/>
          <w:color w:val="auto"/>
        </w:rPr>
        <w:t>(4)Total income includes net interest income and other income, excluding non-recurring items.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(5)Operating expense does not include mandatory employee profit sharing expense nor provisions for other assets received in lieu of loan repayment and non-recurring items.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ATLANTIC SECURITY HOLDING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7</w:t>
      </w:r>
    </w:p>
    <w:p>
      <w:pPr>
        <w:jc w:val="center"/>
        <w:spacing w:after="0" w:line="230" w:lineRule="auto"/>
        <w:rPr>
          <w:sz w:val="20"/>
          <w:szCs w:val="20"/>
          <w:color w:val="auto"/>
        </w:rPr>
      </w:pPr>
      <w:r>
        <w:rPr>
          <w:rFonts w:ascii="Arial" w:cs="Arial" w:eastAsia="Arial" w:hAnsi="Arial"/>
          <w:sz w:val="22"/>
          <w:szCs w:val="22"/>
          <w:b w:val="1"/>
          <w:bCs w:val="1"/>
          <w:color w:val="auto"/>
        </w:rPr>
        <w:t>SELECTED FINANCIAL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(Thousands of U.S. Dollars, except net income per share, and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2"/>
              </w:rPr>
              <w:t>Three months ended</w:t>
            </w:r>
          </w:p>
        </w:tc>
        <w:tc>
          <w:tcPr>
            <w:tcW w:w="1320" w:type="dxa"/>
            <w:vAlign w:val="bottom"/>
            <w:tcBorders>
              <w:top w:val="single" w:sz="8" w:color="auto"/>
              <w:bottom w:val="single" w:sz="8" w:color="auto"/>
            </w:tcBorders>
          </w:tcPr>
          <w:p>
            <w:pPr>
              <w:spacing w:after="0"/>
              <w:rPr>
                <w:sz w:val="16"/>
                <w:szCs w:val="16"/>
                <w:color w:val="auto"/>
              </w:rPr>
            </w:pPr>
          </w:p>
        </w:tc>
        <w:tc>
          <w:tcPr>
            <w:tcW w:w="2460" w:type="dxa"/>
            <w:vAlign w:val="bottom"/>
            <w:tcBorders>
              <w:top w:val="single" w:sz="8" w:color="auto"/>
              <w:bottom w:val="single" w:sz="8" w:color="auto"/>
            </w:tcBorders>
            <w:gridSpan w:val="2"/>
          </w:tcPr>
          <w:p>
            <w:pPr>
              <w:jc w:val="right"/>
              <w:ind w:right="506"/>
              <w:spacing w:after="0"/>
              <w:rPr>
                <w:sz w:val="20"/>
                <w:szCs w:val="20"/>
                <w:color w:val="auto"/>
              </w:rPr>
            </w:pPr>
            <w:r>
              <w:rPr>
                <w:rFonts w:ascii="Arial" w:cs="Arial" w:eastAsia="Arial" w:hAnsi="Arial"/>
                <w:sz w:val="15"/>
                <w:szCs w:val="15"/>
                <w:b w:val="1"/>
                <w:bCs w:val="1"/>
                <w:color w:val="auto"/>
              </w:rPr>
              <w:t>Twelve months ended</w:t>
            </w:r>
          </w:p>
        </w:tc>
        <w:tc>
          <w:tcPr>
            <w:tcW w:w="0" w:type="dxa"/>
            <w:vAlign w:val="bottom"/>
          </w:tcPr>
          <w:p>
            <w:pPr>
              <w:spacing w:after="0"/>
              <w:rPr>
                <w:sz w:val="1"/>
                <w:szCs w:val="1"/>
                <w:color w:val="auto"/>
              </w:rPr>
            </w:pPr>
          </w:p>
        </w:tc>
      </w:tr>
      <w:tr>
        <w:trPr>
          <w:trHeight w:val="169"/>
        </w:trPr>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6"/>
              <w:spacing w:after="0" w:line="169" w:lineRule="exact"/>
              <w:rPr>
                <w:sz w:val="20"/>
                <w:szCs w:val="20"/>
                <w:color w:val="auto"/>
              </w:rPr>
            </w:pPr>
            <w:r>
              <w:rPr>
                <w:rFonts w:ascii="Arial" w:cs="Arial" w:eastAsia="Arial" w:hAnsi="Arial"/>
                <w:sz w:val="15"/>
                <w:szCs w:val="15"/>
                <w:b w:val="1"/>
                <w:bCs w:val="1"/>
                <w:color w:val="auto"/>
              </w:rPr>
              <w:t>31.12.04</w:t>
            </w:r>
          </w:p>
        </w:tc>
        <w:tc>
          <w:tcPr>
            <w:tcW w:w="1620" w:type="dxa"/>
            <w:vAlign w:val="bottom"/>
            <w:tcBorders>
              <w:bottom w:val="single" w:sz="8" w:color="auto"/>
            </w:tcBorders>
          </w:tcPr>
          <w:p>
            <w:pPr>
              <w:jc w:val="right"/>
              <w:ind w:right="566"/>
              <w:spacing w:after="0" w:line="169" w:lineRule="exact"/>
              <w:rPr>
                <w:sz w:val="20"/>
                <w:szCs w:val="20"/>
                <w:color w:val="auto"/>
              </w:rPr>
            </w:pPr>
            <w:r>
              <w:rPr>
                <w:rFonts w:ascii="Arial" w:cs="Arial" w:eastAsia="Arial" w:hAnsi="Arial"/>
                <w:sz w:val="15"/>
                <w:szCs w:val="15"/>
                <w:b w:val="1"/>
                <w:bCs w:val="1"/>
                <w:color w:val="auto"/>
              </w:rPr>
              <w:t>30.09.05</w:t>
            </w:r>
          </w:p>
        </w:tc>
        <w:tc>
          <w:tcPr>
            <w:tcW w:w="1320" w:type="dxa"/>
            <w:vAlign w:val="bottom"/>
            <w:tcBorders>
              <w:bottom w:val="single" w:sz="8" w:color="auto"/>
            </w:tcBorders>
          </w:tcPr>
          <w:p>
            <w:pPr>
              <w:jc w:val="right"/>
              <w:ind w:right="506"/>
              <w:spacing w:after="0" w:line="169" w:lineRule="exact"/>
              <w:rPr>
                <w:sz w:val="20"/>
                <w:szCs w:val="20"/>
                <w:color w:val="auto"/>
              </w:rPr>
            </w:pPr>
            <w:r>
              <w:rPr>
                <w:rFonts w:ascii="Arial" w:cs="Arial" w:eastAsia="Arial" w:hAnsi="Arial"/>
                <w:sz w:val="15"/>
                <w:szCs w:val="15"/>
                <w:b w:val="1"/>
                <w:bCs w:val="1"/>
                <w:color w:val="auto"/>
              </w:rPr>
              <w:t>31.12.05</w:t>
            </w:r>
          </w:p>
        </w:tc>
        <w:tc>
          <w:tcPr>
            <w:tcW w:w="1340" w:type="dxa"/>
            <w:vAlign w:val="bottom"/>
            <w:tcBorders>
              <w:bottom w:val="single" w:sz="8" w:color="auto"/>
            </w:tcBorders>
          </w:tcPr>
          <w:p>
            <w:pPr>
              <w:jc w:val="right"/>
              <w:ind w:right="486"/>
              <w:spacing w:after="0" w:line="169" w:lineRule="exact"/>
              <w:rPr>
                <w:sz w:val="20"/>
                <w:szCs w:val="20"/>
                <w:color w:val="auto"/>
              </w:rPr>
            </w:pPr>
            <w:r>
              <w:rPr>
                <w:rFonts w:ascii="Arial" w:cs="Arial" w:eastAsia="Arial" w:hAnsi="Arial"/>
                <w:sz w:val="15"/>
                <w:szCs w:val="15"/>
                <w:b w:val="1"/>
                <w:bCs w:val="1"/>
                <w:color w:val="auto"/>
              </w:rPr>
              <w:t>31.12.04</w:t>
            </w: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31.12.05</w:t>
            </w:r>
          </w:p>
        </w:tc>
        <w:tc>
          <w:tcPr>
            <w:tcW w:w="0" w:type="dxa"/>
            <w:vAlign w:val="bottom"/>
          </w:tcPr>
          <w:p>
            <w:pPr>
              <w:spacing w:after="0"/>
              <w:rPr>
                <w:sz w:val="1"/>
                <w:szCs w:val="1"/>
                <w:color w:val="auto"/>
              </w:rPr>
            </w:pPr>
          </w:p>
        </w:tc>
      </w:tr>
      <w:tr>
        <w:trPr>
          <w:trHeight w:val="156"/>
        </w:trPr>
        <w:tc>
          <w:tcPr>
            <w:tcW w:w="4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w w:val="84"/>
              </w:rPr>
              <w:t>Results</w:t>
            </w:r>
          </w:p>
        </w:tc>
        <w:tc>
          <w:tcPr>
            <w:tcW w:w="4340" w:type="dxa"/>
            <w:vAlign w:val="bottom"/>
            <w:gridSpan w:val="3"/>
          </w:tcPr>
          <w:p>
            <w:pPr>
              <w:spacing w:after="0"/>
              <w:rPr>
                <w:sz w:val="13"/>
                <w:szCs w:val="13"/>
                <w:color w:val="auto"/>
              </w:rPr>
            </w:pP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3,398</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3,022</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3,245</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13,787</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12,665</w:t>
            </w:r>
          </w:p>
        </w:tc>
        <w:tc>
          <w:tcPr>
            <w:tcW w:w="0" w:type="dxa"/>
            <w:vAlign w:val="bottom"/>
          </w:tcPr>
          <w:p>
            <w:pPr>
              <w:spacing w:after="0"/>
              <w:rPr>
                <w:sz w:val="1"/>
                <w:szCs w:val="1"/>
                <w:color w:val="auto"/>
              </w:rPr>
            </w:pPr>
          </w:p>
        </w:tc>
      </w:tr>
      <w:tr>
        <w:trPr>
          <w:trHeight w:val="146"/>
        </w:trPr>
        <w:tc>
          <w:tcPr>
            <w:tcW w:w="4820" w:type="dxa"/>
            <w:vAlign w:val="bottom"/>
            <w:gridSpan w:val="4"/>
          </w:tcPr>
          <w:p>
            <w:pPr>
              <w:ind w:left="40"/>
              <w:spacing w:after="0" w:line="146" w:lineRule="exact"/>
              <w:rPr>
                <w:sz w:val="20"/>
                <w:szCs w:val="20"/>
                <w:color w:val="auto"/>
              </w:rPr>
            </w:pPr>
            <w:r>
              <w:rPr>
                <w:rFonts w:ascii="Arial" w:cs="Arial" w:eastAsia="Arial" w:hAnsi="Arial"/>
                <w:sz w:val="15"/>
                <w:szCs w:val="15"/>
                <w:color w:val="auto"/>
              </w:rPr>
              <w:t>Net Interest Income (w/o dividends)</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Dividend income</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30</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52</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41</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5,977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11,866</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Provisions for credit and market risks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148</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200</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600</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1,702</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1,900</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Commissions and fee income</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1,142</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1,155</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1,287</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4,354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4,922</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Other Income(1)</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1,962</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1,578</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1,167</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4,659</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5,103</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Operating Expense</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2,378</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1,979</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1,653</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7,928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7,477</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Net Income</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4,006</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3,629</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3,487</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19,147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25,180</w:t>
            </w:r>
          </w:p>
        </w:tc>
        <w:tc>
          <w:tcPr>
            <w:tcW w:w="0" w:type="dxa"/>
            <w:vAlign w:val="bottom"/>
          </w:tcPr>
          <w:p>
            <w:pPr>
              <w:spacing w:after="0"/>
              <w:rPr>
                <w:sz w:val="1"/>
                <w:szCs w:val="1"/>
                <w:color w:val="auto"/>
              </w:rPr>
            </w:pPr>
          </w:p>
        </w:tc>
      </w:tr>
      <w:tr>
        <w:trPr>
          <w:trHeight w:val="188"/>
        </w:trPr>
        <w:tc>
          <w:tcPr>
            <w:tcW w:w="4820" w:type="dxa"/>
            <w:vAlign w:val="bottom"/>
            <w:gridSpan w:val="4"/>
          </w:tcPr>
          <w:p>
            <w:pPr>
              <w:ind w:left="40"/>
              <w:spacing w:after="0"/>
              <w:rPr>
                <w:sz w:val="20"/>
                <w:szCs w:val="20"/>
                <w:color w:val="auto"/>
              </w:rPr>
            </w:pPr>
            <w:r>
              <w:rPr>
                <w:rFonts w:ascii="Arial" w:cs="Arial" w:eastAsia="Arial" w:hAnsi="Arial"/>
                <w:sz w:val="15"/>
                <w:szCs w:val="15"/>
                <w:color w:val="auto"/>
              </w:rPr>
              <w:t>Net Income contributed to Credicorp</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4,006</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3,629</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3,487</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13,293</w:t>
            </w:r>
          </w:p>
        </w:tc>
        <w:tc>
          <w:tcPr>
            <w:tcW w:w="1120" w:type="dxa"/>
            <w:vAlign w:val="bottom"/>
          </w:tcPr>
          <w:p>
            <w:pPr>
              <w:jc w:val="right"/>
              <w:spacing w:after="0"/>
              <w:rPr>
                <w:sz w:val="20"/>
                <w:szCs w:val="20"/>
                <w:color w:val="auto"/>
              </w:rPr>
            </w:pPr>
            <w:r>
              <w:rPr>
                <w:rFonts w:ascii="Arial" w:cs="Arial" w:eastAsia="Arial" w:hAnsi="Arial"/>
                <w:sz w:val="15"/>
                <w:szCs w:val="15"/>
                <w:color w:val="auto"/>
              </w:rPr>
              <w:t>13,483</w:t>
            </w:r>
          </w:p>
        </w:tc>
        <w:tc>
          <w:tcPr>
            <w:tcW w:w="0" w:type="dxa"/>
            <w:vAlign w:val="bottom"/>
          </w:tcPr>
          <w:p>
            <w:pPr>
              <w:spacing w:after="0"/>
              <w:rPr>
                <w:sz w:val="1"/>
                <w:szCs w:val="1"/>
                <w:color w:val="auto"/>
              </w:rPr>
            </w:pPr>
          </w:p>
        </w:tc>
      </w:tr>
      <w:tr>
        <w:trPr>
          <w:trHeight w:val="294"/>
        </w:trPr>
        <w:tc>
          <w:tcPr>
            <w:tcW w:w="4820" w:type="dxa"/>
            <w:vAlign w:val="bottom"/>
            <w:gridSpan w:val="4"/>
          </w:tcPr>
          <w:p>
            <w:pPr>
              <w:spacing w:after="0"/>
              <w:rPr>
                <w:sz w:val="20"/>
                <w:szCs w:val="20"/>
                <w:color w:val="auto"/>
              </w:rPr>
            </w:pPr>
            <w:r>
              <w:rPr>
                <w:rFonts w:ascii="Arial" w:cs="Arial" w:eastAsia="Arial" w:hAnsi="Arial"/>
                <w:sz w:val="15"/>
                <w:szCs w:val="15"/>
                <w:b w:val="1"/>
                <w:bCs w:val="1"/>
                <w:color w:val="auto"/>
              </w:rPr>
              <w:t>Balance Sheets (end of period)</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880,264</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1,003,367</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1,114,557</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880,264</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1,114,557</w:t>
            </w:r>
          </w:p>
        </w:tc>
        <w:tc>
          <w:tcPr>
            <w:tcW w:w="0" w:type="dxa"/>
            <w:vAlign w:val="bottom"/>
          </w:tcPr>
          <w:p>
            <w:pPr>
              <w:spacing w:after="0"/>
              <w:rPr>
                <w:sz w:val="1"/>
                <w:szCs w:val="1"/>
                <w:color w:val="auto"/>
              </w:rPr>
            </w:pPr>
          </w:p>
        </w:tc>
      </w:tr>
      <w:tr>
        <w:trPr>
          <w:trHeight w:val="146"/>
        </w:trPr>
        <w:tc>
          <w:tcPr>
            <w:tcW w:w="1940" w:type="dxa"/>
            <w:vAlign w:val="bottom"/>
            <w:tcBorders>
              <w:top w:val="single" w:sz="8" w:color="auto"/>
            </w:tcBorders>
            <w:gridSpan w:val="3"/>
          </w:tcPr>
          <w:p>
            <w:pPr>
              <w:ind w:left="40"/>
              <w:spacing w:after="0" w:line="146" w:lineRule="exact"/>
              <w:rPr>
                <w:sz w:val="20"/>
                <w:szCs w:val="20"/>
                <w:color w:val="auto"/>
              </w:rPr>
            </w:pPr>
            <w:r>
              <w:rPr>
                <w:rFonts w:ascii="Arial" w:cs="Arial" w:eastAsia="Arial" w:hAnsi="Arial"/>
                <w:sz w:val="15"/>
                <w:szCs w:val="15"/>
                <w:color w:val="auto"/>
              </w:rPr>
              <w:t>Total Assets</w:t>
            </w:r>
          </w:p>
        </w:tc>
        <w:tc>
          <w:tcPr>
            <w:tcW w:w="28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Loan portfolio, net</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149,108</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130,619</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157,502</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149,108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157,502</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Marketable securities and investments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518,721</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618,772</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582,368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518,721</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582,368</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Total Deposits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686,058</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821,259</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931,701</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686,058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931,701</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Shareholders' equity</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150,967</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161,755</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164,800</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150,967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164,800</w:t>
            </w:r>
          </w:p>
        </w:tc>
        <w:tc>
          <w:tcPr>
            <w:tcW w:w="0" w:type="dxa"/>
            <w:vAlign w:val="bottom"/>
          </w:tcPr>
          <w:p>
            <w:pPr>
              <w:spacing w:after="0"/>
              <w:rPr>
                <w:sz w:val="1"/>
                <w:szCs w:val="1"/>
                <w:color w:val="auto"/>
              </w:rPr>
            </w:pPr>
          </w:p>
        </w:tc>
      </w:tr>
      <w:tr>
        <w:trPr>
          <w:trHeight w:val="188"/>
        </w:trPr>
        <w:tc>
          <w:tcPr>
            <w:tcW w:w="4820" w:type="dxa"/>
            <w:vAlign w:val="bottom"/>
            <w:gridSpan w:val="4"/>
          </w:tcPr>
          <w:p>
            <w:pPr>
              <w:ind w:left="40"/>
              <w:spacing w:after="0"/>
              <w:rPr>
                <w:sz w:val="20"/>
                <w:szCs w:val="20"/>
                <w:color w:val="auto"/>
              </w:rPr>
            </w:pPr>
            <w:r>
              <w:rPr>
                <w:rFonts w:ascii="Arial" w:cs="Arial" w:eastAsia="Arial" w:hAnsi="Arial"/>
                <w:sz w:val="15"/>
                <w:szCs w:val="15"/>
                <w:color w:val="auto"/>
              </w:rPr>
              <w:t>Funds under administration</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746,632</w:t>
            </w:r>
          </w:p>
        </w:tc>
        <w:tc>
          <w:tcPr>
            <w:tcW w:w="1620" w:type="dxa"/>
            <w:vAlign w:val="bottom"/>
          </w:tcPr>
          <w:p>
            <w:pPr>
              <w:jc w:val="right"/>
              <w:ind w:right="266"/>
              <w:spacing w:after="0"/>
              <w:rPr>
                <w:sz w:val="20"/>
                <w:szCs w:val="20"/>
                <w:color w:val="auto"/>
              </w:rPr>
            </w:pPr>
            <w:r>
              <w:rPr>
                <w:rFonts w:ascii="Arial" w:cs="Arial" w:eastAsia="Arial" w:hAnsi="Arial"/>
                <w:sz w:val="15"/>
                <w:szCs w:val="15"/>
                <w:color w:val="auto"/>
              </w:rPr>
              <w:t>900,454</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1,004,425</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746,632</w:t>
            </w:r>
          </w:p>
        </w:tc>
        <w:tc>
          <w:tcPr>
            <w:tcW w:w="1120" w:type="dxa"/>
            <w:vAlign w:val="bottom"/>
          </w:tcPr>
          <w:p>
            <w:pPr>
              <w:jc w:val="right"/>
              <w:spacing w:after="0"/>
              <w:rPr>
                <w:sz w:val="20"/>
                <w:szCs w:val="20"/>
                <w:color w:val="auto"/>
              </w:rPr>
            </w:pPr>
            <w:r>
              <w:rPr>
                <w:rFonts w:ascii="Arial" w:cs="Arial" w:eastAsia="Arial" w:hAnsi="Arial"/>
                <w:sz w:val="15"/>
                <w:szCs w:val="15"/>
                <w:color w:val="auto"/>
              </w:rPr>
              <w:t>1,004,425</w:t>
            </w:r>
          </w:p>
        </w:tc>
        <w:tc>
          <w:tcPr>
            <w:tcW w:w="0" w:type="dxa"/>
            <w:vAlign w:val="bottom"/>
          </w:tcPr>
          <w:p>
            <w:pPr>
              <w:spacing w:after="0"/>
              <w:rPr>
                <w:sz w:val="1"/>
                <w:szCs w:val="1"/>
                <w:color w:val="auto"/>
              </w:rPr>
            </w:pPr>
          </w:p>
        </w:tc>
      </w:tr>
      <w:tr>
        <w:trPr>
          <w:trHeight w:val="294"/>
        </w:trPr>
        <w:tc>
          <w:tcPr>
            <w:tcW w:w="4820" w:type="dxa"/>
            <w:vAlign w:val="bottom"/>
            <w:gridSpan w:val="4"/>
          </w:tcPr>
          <w:p>
            <w:pPr>
              <w:spacing w:after="0"/>
              <w:rPr>
                <w:sz w:val="20"/>
                <w:szCs w:val="20"/>
                <w:color w:val="auto"/>
              </w:rPr>
            </w:pPr>
            <w:r>
              <w:rPr>
                <w:rFonts w:ascii="Arial" w:cs="Arial" w:eastAsia="Arial" w:hAnsi="Arial"/>
                <w:sz w:val="15"/>
                <w:szCs w:val="15"/>
                <w:b w:val="1"/>
                <w:bCs w:val="1"/>
                <w:color w:val="auto"/>
              </w:rPr>
              <w:t>Ratios (2)</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1.8%</w:t>
            </w:r>
          </w:p>
        </w:tc>
        <w:tc>
          <w:tcPr>
            <w:tcW w:w="1620" w:type="dxa"/>
            <w:vAlign w:val="bottom"/>
            <w:vMerge w:val="restart"/>
          </w:tcPr>
          <w:p>
            <w:pPr>
              <w:jc w:val="right"/>
              <w:ind w:right="266"/>
              <w:spacing w:after="0"/>
              <w:rPr>
                <w:sz w:val="20"/>
                <w:szCs w:val="20"/>
                <w:color w:val="auto"/>
              </w:rPr>
            </w:pPr>
            <w:r>
              <w:rPr>
                <w:rFonts w:ascii="Arial" w:cs="Arial" w:eastAsia="Arial" w:hAnsi="Arial"/>
                <w:sz w:val="15"/>
                <w:szCs w:val="15"/>
                <w:color w:val="auto"/>
              </w:rPr>
              <w:t>1.5%</w:t>
            </w:r>
          </w:p>
        </w:tc>
        <w:tc>
          <w:tcPr>
            <w:tcW w:w="1320" w:type="dxa"/>
            <w:vAlign w:val="bottom"/>
            <w:vMerge w:val="restart"/>
          </w:tcPr>
          <w:p>
            <w:pPr>
              <w:jc w:val="right"/>
              <w:ind w:right="206"/>
              <w:spacing w:after="0"/>
              <w:rPr>
                <w:sz w:val="20"/>
                <w:szCs w:val="20"/>
                <w:color w:val="auto"/>
              </w:rPr>
            </w:pPr>
            <w:r>
              <w:rPr>
                <w:rFonts w:ascii="Arial" w:cs="Arial" w:eastAsia="Arial" w:hAnsi="Arial"/>
                <w:sz w:val="15"/>
                <w:szCs w:val="15"/>
                <w:color w:val="auto"/>
              </w:rPr>
              <w:t>1.6%</w:t>
            </w:r>
          </w:p>
        </w:tc>
        <w:tc>
          <w:tcPr>
            <w:tcW w:w="1340" w:type="dxa"/>
            <w:vAlign w:val="bottom"/>
            <w:vMerge w:val="restart"/>
          </w:tcPr>
          <w:p>
            <w:pPr>
              <w:jc w:val="right"/>
              <w:ind w:right="186"/>
              <w:spacing w:after="0"/>
              <w:rPr>
                <w:sz w:val="20"/>
                <w:szCs w:val="20"/>
                <w:color w:val="auto"/>
              </w:rPr>
            </w:pPr>
            <w:r>
              <w:rPr>
                <w:rFonts w:ascii="Arial" w:cs="Arial" w:eastAsia="Arial" w:hAnsi="Arial"/>
                <w:sz w:val="15"/>
                <w:szCs w:val="15"/>
                <w:color w:val="auto"/>
              </w:rPr>
              <w:t>1.9%</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20" w:type="dxa"/>
            <w:vAlign w:val="bottom"/>
            <w:gridSpan w:val="4"/>
          </w:tcPr>
          <w:p>
            <w:pPr>
              <w:ind w:left="40"/>
              <w:spacing w:after="0" w:line="146" w:lineRule="exact"/>
              <w:rPr>
                <w:sz w:val="20"/>
                <w:szCs w:val="20"/>
                <w:color w:val="auto"/>
              </w:rPr>
            </w:pPr>
            <w:r>
              <w:rPr>
                <w:rFonts w:ascii="Arial" w:cs="Arial" w:eastAsia="Arial" w:hAnsi="Arial"/>
                <w:sz w:val="15"/>
                <w:szCs w:val="15"/>
                <w:color w:val="auto"/>
              </w:rPr>
              <w:t>Net interest margin / interest earning assets (3,4,5)</w:t>
            </w:r>
          </w:p>
        </w:tc>
        <w:tc>
          <w:tcPr>
            <w:tcW w:w="12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Return on average stockholders' equity(4)</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10.8%</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9.1%</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8.5%</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15.6%</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Return on average total assets(4)</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1.8%</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1.5%</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1.3%</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Past due loans as a percentage of total loans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0.2%</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0.0%</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0.0%</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Reserves for loan losses as a percentage</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4"/>
          </w:tcPr>
          <w:p>
            <w:pPr>
              <w:ind w:left="240"/>
              <w:spacing w:after="0" w:line="162" w:lineRule="exact"/>
              <w:rPr>
                <w:sz w:val="20"/>
                <w:szCs w:val="20"/>
                <w:color w:val="auto"/>
              </w:rPr>
            </w:pPr>
            <w:r>
              <w:rPr>
                <w:rFonts w:ascii="Arial" w:cs="Arial" w:eastAsia="Arial" w:hAnsi="Arial"/>
                <w:sz w:val="15"/>
                <w:szCs w:val="15"/>
                <w:color w:val="auto"/>
              </w:rPr>
              <w:t>of total loans</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2.1%</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2.2%</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2.1%</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Operating expense / total income(6)</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36.4%</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34.1%</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28.8%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27.6%</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Operating expense / average total assets(4)</w:t>
            </w:r>
          </w:p>
        </w:tc>
        <w:tc>
          <w:tcPr>
            <w:tcW w:w="12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1.1%</w:t>
            </w:r>
          </w:p>
        </w:tc>
        <w:tc>
          <w:tcPr>
            <w:tcW w:w="1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0.8%</w:t>
            </w: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0.6%</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1.0%</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62"/>
        </w:trPr>
        <w:tc>
          <w:tcPr>
            <w:tcW w:w="48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Operating expense / average total assets +</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gridSpan w:val="4"/>
          </w:tcPr>
          <w:p>
            <w:pPr>
              <w:ind w:left="240"/>
              <w:spacing w:after="0" w:line="172" w:lineRule="exact"/>
              <w:rPr>
                <w:sz w:val="20"/>
                <w:szCs w:val="20"/>
                <w:color w:val="auto"/>
              </w:rPr>
            </w:pPr>
            <w:r>
              <w:rPr>
                <w:rFonts w:ascii="Arial" w:cs="Arial" w:eastAsia="Arial" w:hAnsi="Arial"/>
                <w:sz w:val="15"/>
                <w:szCs w:val="15"/>
                <w:color w:val="auto"/>
              </w:rPr>
              <w:t>funds under management(4)</w:t>
            </w:r>
          </w:p>
        </w:tc>
        <w:tc>
          <w:tcPr>
            <w:tcW w:w="12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0.6%</w:t>
            </w:r>
          </w:p>
        </w:tc>
        <w:tc>
          <w:tcPr>
            <w:tcW w:w="1620" w:type="dxa"/>
            <w:vAlign w:val="bottom"/>
            <w:tcBorders>
              <w:bottom w:val="single" w:sz="8" w:color="auto"/>
            </w:tcBorders>
          </w:tcPr>
          <w:p>
            <w:pPr>
              <w:jc w:val="right"/>
              <w:ind w:right="266"/>
              <w:spacing w:after="0" w:line="172" w:lineRule="exact"/>
              <w:rPr>
                <w:sz w:val="20"/>
                <w:szCs w:val="20"/>
                <w:color w:val="auto"/>
              </w:rPr>
            </w:pPr>
            <w:r>
              <w:rPr>
                <w:rFonts w:ascii="Arial" w:cs="Arial" w:eastAsia="Arial" w:hAnsi="Arial"/>
                <w:sz w:val="15"/>
                <w:szCs w:val="15"/>
                <w:color w:val="auto"/>
              </w:rPr>
              <w:t>0.4%</w:t>
            </w:r>
          </w:p>
        </w:tc>
        <w:tc>
          <w:tcPr>
            <w:tcW w:w="1320" w:type="dxa"/>
            <w:vAlign w:val="bottom"/>
            <w:tcBorders>
              <w:bottom w:val="single" w:sz="8" w:color="auto"/>
            </w:tcBorders>
          </w:tcPr>
          <w:p>
            <w:pPr>
              <w:jc w:val="right"/>
              <w:ind w:right="206"/>
              <w:spacing w:after="0" w:line="172" w:lineRule="exact"/>
              <w:rPr>
                <w:sz w:val="20"/>
                <w:szCs w:val="20"/>
                <w:color w:val="auto"/>
              </w:rPr>
            </w:pPr>
            <w:r>
              <w:rPr>
                <w:rFonts w:ascii="Arial" w:cs="Arial" w:eastAsia="Arial" w:hAnsi="Arial"/>
                <w:sz w:val="15"/>
                <w:szCs w:val="15"/>
                <w:color w:val="auto"/>
              </w:rPr>
              <w:t>0.3%</w:t>
            </w:r>
          </w:p>
        </w:tc>
        <w:tc>
          <w:tcPr>
            <w:tcW w:w="1340" w:type="dxa"/>
            <w:vAlign w:val="bottom"/>
            <w:tcBorders>
              <w:bottom w:val="single" w:sz="8" w:color="auto"/>
            </w:tcBorders>
          </w:tcPr>
          <w:p>
            <w:pPr>
              <w:jc w:val="right"/>
              <w:ind w:right="186"/>
              <w:spacing w:after="0" w:line="172" w:lineRule="exact"/>
              <w:rPr>
                <w:sz w:val="20"/>
                <w:szCs w:val="20"/>
                <w:color w:val="auto"/>
              </w:rPr>
            </w:pPr>
            <w:r>
              <w:rPr>
                <w:rFonts w:ascii="Arial" w:cs="Arial" w:eastAsia="Arial" w:hAnsi="Arial"/>
                <w:sz w:val="15"/>
                <w:szCs w:val="15"/>
                <w:color w:val="auto"/>
              </w:rPr>
              <w:t>0.5%</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Includes realized gains in securities.</w:t>
      </w:r>
    </w:p>
    <w:p>
      <w:pPr>
        <w:spacing w:after="0" w:line="1" w:lineRule="exact"/>
        <w:rPr>
          <w:rFonts w:ascii="Arial" w:cs="Arial" w:eastAsia="Arial" w:hAnsi="Arial"/>
          <w:sz w:val="15"/>
          <w:szCs w:val="15"/>
          <w:i w:val="1"/>
          <w:iCs w:val="1"/>
          <w:color w:val="auto"/>
        </w:rPr>
      </w:pPr>
    </w:p>
    <w:p>
      <w:pPr>
        <w:ind w:left="220" w:hanging="212"/>
        <w:spacing w:after="0" w:line="225" w:lineRule="auto"/>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Averages are determined as the average of period-beginning and period-ending balances.</w:t>
      </w:r>
    </w:p>
    <w:p>
      <w:pPr>
        <w:ind w:left="220" w:hanging="212"/>
        <w:spacing w:after="0" w:line="225" w:lineRule="auto"/>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Averages determined from monthly balances.</w:t>
      </w:r>
    </w:p>
    <w:p>
      <w:pPr>
        <w:ind w:left="220" w:hanging="212"/>
        <w:spacing w:after="0" w:line="225" w:lineRule="auto"/>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Annualized.</w:t>
      </w:r>
    </w:p>
    <w:p>
      <w:pPr>
        <w:ind w:left="220" w:hanging="212"/>
        <w:spacing w:after="0" w:line="225" w:lineRule="auto"/>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Without considering dividend income and dividend earning assets.</w:t>
      </w:r>
    </w:p>
    <w:p>
      <w:pPr>
        <w:ind w:left="220" w:hanging="212"/>
        <w:spacing w:after="0"/>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Without considering provisions for investments.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EL PACIFICO-PERUANO SUIZA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8</w:t>
      </w:r>
    </w:p>
    <w:p>
      <w:pPr>
        <w:jc w:val="center"/>
        <w:spacing w:after="0" w:line="230" w:lineRule="auto"/>
        <w:rPr>
          <w:sz w:val="20"/>
          <w:szCs w:val="20"/>
          <w:color w:val="auto"/>
        </w:rPr>
      </w:pPr>
      <w:r>
        <w:rPr>
          <w:rFonts w:ascii="Arial" w:cs="Arial" w:eastAsia="Arial" w:hAnsi="Arial"/>
          <w:sz w:val="22"/>
          <w:szCs w:val="22"/>
          <w:b w:val="1"/>
          <w:bCs w:val="1"/>
          <w:color w:val="auto"/>
        </w:rPr>
        <w:t>SELECTED FINANCIAL DATA(1)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U.S. Dollars in thousands, except net income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gridSpan w:val="2"/>
          </w:tcPr>
          <w:p>
            <w:pPr>
              <w:jc w:val="center"/>
              <w:ind w:left="806"/>
              <w:spacing w:after="0"/>
              <w:rPr>
                <w:sz w:val="20"/>
                <w:szCs w:val="20"/>
                <w:color w:val="auto"/>
              </w:rPr>
            </w:pPr>
            <w:r>
              <w:rPr>
                <w:rFonts w:ascii="Arial" w:cs="Arial" w:eastAsia="Arial" w:hAnsi="Arial"/>
                <w:sz w:val="15"/>
                <w:szCs w:val="15"/>
                <w:b w:val="1"/>
                <w:bCs w:val="1"/>
                <w:color w:val="auto"/>
                <w:w w:val="89"/>
              </w:rPr>
              <w:t>As of and for the three month</w:t>
            </w:r>
          </w:p>
        </w:tc>
        <w:tc>
          <w:tcPr>
            <w:tcW w:w="118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2"/>
          </w:tcPr>
          <w:p>
            <w:pPr>
              <w:jc w:val="right"/>
              <w:ind w:right="506"/>
              <w:spacing w:after="0"/>
              <w:rPr>
                <w:sz w:val="20"/>
                <w:szCs w:val="20"/>
                <w:color w:val="auto"/>
              </w:rPr>
            </w:pPr>
            <w:r>
              <w:rPr>
                <w:rFonts w:ascii="Arial" w:cs="Arial" w:eastAsia="Arial" w:hAnsi="Arial"/>
                <w:sz w:val="15"/>
                <w:szCs w:val="15"/>
                <w:b w:val="1"/>
                <w:bCs w:val="1"/>
                <w:color w:val="auto"/>
              </w:rPr>
              <w:t>As of and for the nine</w:t>
            </w:r>
          </w:p>
        </w:tc>
      </w:tr>
      <w:tr>
        <w:trPr>
          <w:trHeight w:val="175"/>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346"/>
              <w:spacing w:after="0"/>
              <w:rPr>
                <w:sz w:val="20"/>
                <w:szCs w:val="20"/>
                <w:color w:val="auto"/>
              </w:rPr>
            </w:pPr>
            <w:r>
              <w:rPr>
                <w:rFonts w:ascii="Arial" w:cs="Arial" w:eastAsia="Arial" w:hAnsi="Arial"/>
                <w:sz w:val="15"/>
                <w:szCs w:val="15"/>
                <w:b w:val="1"/>
                <w:bCs w:val="1"/>
                <w:color w:val="auto"/>
                <w:w w:val="87"/>
              </w:rPr>
              <w:t>period ended</w:t>
            </w:r>
          </w:p>
        </w:tc>
        <w:tc>
          <w:tcPr>
            <w:tcW w:w="1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546"/>
              <w:spacing w:after="0"/>
              <w:rPr>
                <w:sz w:val="20"/>
                <w:szCs w:val="20"/>
                <w:color w:val="auto"/>
              </w:rPr>
            </w:pPr>
            <w:r>
              <w:rPr>
                <w:rFonts w:ascii="Arial" w:cs="Arial" w:eastAsia="Arial" w:hAnsi="Arial"/>
                <w:sz w:val="15"/>
                <w:szCs w:val="15"/>
                <w:b w:val="1"/>
                <w:bCs w:val="1"/>
                <w:color w:val="auto"/>
              </w:rPr>
              <w:t>month period ended</w:t>
            </w:r>
          </w:p>
        </w:tc>
      </w:tr>
      <w:tr>
        <w:trPr>
          <w:trHeight w:val="169"/>
        </w:trPr>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26"/>
              <w:spacing w:after="0" w:line="169" w:lineRule="exact"/>
              <w:rPr>
                <w:sz w:val="20"/>
                <w:szCs w:val="20"/>
                <w:color w:val="auto"/>
              </w:rPr>
            </w:pPr>
            <w:r>
              <w:rPr>
                <w:rFonts w:ascii="Arial" w:cs="Arial" w:eastAsia="Arial" w:hAnsi="Arial"/>
                <w:sz w:val="15"/>
                <w:szCs w:val="15"/>
                <w:b w:val="1"/>
                <w:bCs w:val="1"/>
                <w:color w:val="auto"/>
              </w:rPr>
              <w:t>31.12.04</w:t>
            </w:r>
          </w:p>
        </w:tc>
        <w:tc>
          <w:tcPr>
            <w:tcW w:w="1640" w:type="dxa"/>
            <w:vAlign w:val="bottom"/>
            <w:tcBorders>
              <w:bottom w:val="single" w:sz="8" w:color="auto"/>
            </w:tcBorders>
          </w:tcPr>
          <w:p>
            <w:pPr>
              <w:jc w:val="center"/>
              <w:ind w:right="366"/>
              <w:spacing w:after="0" w:line="169" w:lineRule="exact"/>
              <w:rPr>
                <w:sz w:val="20"/>
                <w:szCs w:val="20"/>
                <w:color w:val="auto"/>
              </w:rPr>
            </w:pPr>
            <w:r>
              <w:rPr>
                <w:rFonts w:ascii="Arial" w:cs="Arial" w:eastAsia="Arial" w:hAnsi="Arial"/>
                <w:sz w:val="15"/>
                <w:szCs w:val="15"/>
                <w:b w:val="1"/>
                <w:bCs w:val="1"/>
                <w:color w:val="auto"/>
                <w:w w:val="88"/>
              </w:rPr>
              <w:t>30.09.05</w:t>
            </w:r>
          </w:p>
        </w:tc>
        <w:tc>
          <w:tcPr>
            <w:tcW w:w="1180" w:type="dxa"/>
            <w:vAlign w:val="bottom"/>
            <w:tcBorders>
              <w:bottom w:val="single" w:sz="8" w:color="auto"/>
            </w:tcBorders>
          </w:tcPr>
          <w:p>
            <w:pPr>
              <w:jc w:val="right"/>
              <w:ind w:right="506"/>
              <w:spacing w:after="0" w:line="169" w:lineRule="exact"/>
              <w:rPr>
                <w:sz w:val="20"/>
                <w:szCs w:val="20"/>
                <w:color w:val="auto"/>
              </w:rPr>
            </w:pPr>
            <w:r>
              <w:rPr>
                <w:rFonts w:ascii="Arial" w:cs="Arial" w:eastAsia="Arial" w:hAnsi="Arial"/>
                <w:sz w:val="15"/>
                <w:szCs w:val="15"/>
                <w:b w:val="1"/>
                <w:bCs w:val="1"/>
                <w:color w:val="auto"/>
                <w:w w:val="99"/>
              </w:rPr>
              <w:t>31.12.05</w:t>
            </w:r>
          </w:p>
        </w:tc>
        <w:tc>
          <w:tcPr>
            <w:tcW w:w="1340" w:type="dxa"/>
            <w:vAlign w:val="bottom"/>
            <w:tcBorders>
              <w:bottom w:val="single" w:sz="8" w:color="auto"/>
            </w:tcBorders>
          </w:tcPr>
          <w:p>
            <w:pPr>
              <w:jc w:val="right"/>
              <w:ind w:right="486"/>
              <w:spacing w:after="0" w:line="169" w:lineRule="exact"/>
              <w:rPr>
                <w:sz w:val="20"/>
                <w:szCs w:val="20"/>
                <w:color w:val="auto"/>
              </w:rPr>
            </w:pPr>
            <w:r>
              <w:rPr>
                <w:rFonts w:ascii="Arial" w:cs="Arial" w:eastAsia="Arial" w:hAnsi="Arial"/>
                <w:sz w:val="15"/>
                <w:szCs w:val="15"/>
                <w:b w:val="1"/>
                <w:bCs w:val="1"/>
                <w:color w:val="auto"/>
              </w:rPr>
              <w:t>31.12.04</w:t>
            </w: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31.12.05</w:t>
            </w:r>
          </w:p>
        </w:tc>
      </w:tr>
      <w:tr>
        <w:trPr>
          <w:trHeight w:val="156"/>
        </w:trPr>
        <w:tc>
          <w:tcPr>
            <w:tcW w:w="480" w:type="dxa"/>
            <w:vAlign w:val="bottom"/>
            <w:tcBorders>
              <w:bottom w:val="single" w:sz="8" w:color="auto"/>
            </w:tcBorders>
            <w:gridSpan w:val="3"/>
          </w:tcPr>
          <w:p>
            <w:pPr>
              <w:spacing w:after="0" w:line="156" w:lineRule="exact"/>
              <w:rPr>
                <w:sz w:val="20"/>
                <w:szCs w:val="20"/>
                <w:color w:val="auto"/>
              </w:rPr>
            </w:pPr>
            <w:r>
              <w:rPr>
                <w:rFonts w:ascii="Arial" w:cs="Arial" w:eastAsia="Arial" w:hAnsi="Arial"/>
                <w:sz w:val="15"/>
                <w:szCs w:val="15"/>
                <w:b w:val="1"/>
                <w:bCs w:val="1"/>
                <w:color w:val="auto"/>
                <w:w w:val="84"/>
              </w:rPr>
              <w:t>Results</w:t>
            </w:r>
          </w:p>
        </w:tc>
        <w:tc>
          <w:tcPr>
            <w:tcW w:w="4340" w:type="dxa"/>
            <w:vAlign w:val="bottom"/>
            <w:gridSpan w:val="3"/>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08"/>
        </w:trPr>
        <w:tc>
          <w:tcPr>
            <w:tcW w:w="4820" w:type="dxa"/>
            <w:vAlign w:val="bottom"/>
            <w:gridSpan w:val="6"/>
          </w:tcPr>
          <w:p>
            <w:pPr>
              <w:ind w:left="40"/>
              <w:spacing w:after="0"/>
              <w:rPr>
                <w:sz w:val="20"/>
                <w:szCs w:val="20"/>
                <w:color w:val="auto"/>
              </w:rPr>
            </w:pPr>
            <w:r>
              <w:rPr>
                <w:rFonts w:ascii="Arial" w:cs="Arial" w:eastAsia="Arial" w:hAnsi="Arial"/>
                <w:sz w:val="15"/>
                <w:szCs w:val="15"/>
                <w:color w:val="auto"/>
              </w:rPr>
              <w:t>Total gross Premiums</w:t>
            </w:r>
          </w:p>
        </w:tc>
        <w:tc>
          <w:tcPr>
            <w:tcW w:w="1320" w:type="dxa"/>
            <w:vAlign w:val="bottom"/>
          </w:tcPr>
          <w:p>
            <w:pPr>
              <w:jc w:val="right"/>
              <w:ind w:right="146"/>
              <w:spacing w:after="0"/>
              <w:rPr>
                <w:sz w:val="20"/>
                <w:szCs w:val="20"/>
                <w:color w:val="auto"/>
              </w:rPr>
            </w:pPr>
            <w:r>
              <w:rPr>
                <w:rFonts w:ascii="Arial" w:cs="Arial" w:eastAsia="Arial" w:hAnsi="Arial"/>
                <w:sz w:val="15"/>
                <w:szCs w:val="15"/>
                <w:color w:val="auto"/>
              </w:rPr>
              <w:t>93,548</w:t>
            </w:r>
          </w:p>
        </w:tc>
        <w:tc>
          <w:tcPr>
            <w:tcW w:w="1640" w:type="dxa"/>
            <w:vAlign w:val="bottom"/>
          </w:tcPr>
          <w:p>
            <w:pPr>
              <w:jc w:val="right"/>
              <w:ind w:right="406"/>
              <w:spacing w:after="0"/>
              <w:rPr>
                <w:sz w:val="20"/>
                <w:szCs w:val="20"/>
                <w:color w:val="auto"/>
              </w:rPr>
            </w:pPr>
            <w:r>
              <w:rPr>
                <w:rFonts w:ascii="Arial" w:cs="Arial" w:eastAsia="Arial" w:hAnsi="Arial"/>
                <w:sz w:val="15"/>
                <w:szCs w:val="15"/>
                <w:color w:val="auto"/>
              </w:rPr>
              <w:t>88,560</w:t>
            </w:r>
          </w:p>
        </w:tc>
        <w:tc>
          <w:tcPr>
            <w:tcW w:w="1180" w:type="dxa"/>
            <w:vAlign w:val="bottom"/>
          </w:tcPr>
          <w:p>
            <w:pPr>
              <w:jc w:val="right"/>
              <w:ind w:right="206"/>
              <w:spacing w:after="0"/>
              <w:rPr>
                <w:sz w:val="20"/>
                <w:szCs w:val="20"/>
                <w:color w:val="auto"/>
              </w:rPr>
            </w:pPr>
            <w:r>
              <w:rPr>
                <w:rFonts w:ascii="Arial" w:cs="Arial" w:eastAsia="Arial" w:hAnsi="Arial"/>
                <w:sz w:val="15"/>
                <w:szCs w:val="15"/>
                <w:color w:val="auto"/>
              </w:rPr>
              <w:t>97,404</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344,508</w:t>
            </w:r>
          </w:p>
        </w:tc>
        <w:tc>
          <w:tcPr>
            <w:tcW w:w="1120" w:type="dxa"/>
            <w:vAlign w:val="bottom"/>
          </w:tcPr>
          <w:p>
            <w:pPr>
              <w:jc w:val="right"/>
              <w:spacing w:after="0"/>
              <w:rPr>
                <w:sz w:val="20"/>
                <w:szCs w:val="20"/>
                <w:color w:val="auto"/>
              </w:rPr>
            </w:pPr>
            <w:r>
              <w:rPr>
                <w:rFonts w:ascii="Arial" w:cs="Arial" w:eastAsia="Arial" w:hAnsi="Arial"/>
                <w:sz w:val="15"/>
                <w:szCs w:val="15"/>
                <w:color w:val="auto"/>
              </w:rPr>
              <w:t>359,031</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Net Premiums Earned</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60,265</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58,020</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56,041</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205,107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222,538</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Change in Reserves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13,046</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14,356</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15,635</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78,522</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68,483</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Net Underwriting Results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9,728</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6,391</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3,943</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31,089</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19,566</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Net Financial Income</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7,290</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9,441</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13,388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34,897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41,794</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General Expenses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14,654</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10,956</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11,339</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45,395</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43,922</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Income tax</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-1,829</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326</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121</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1,077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1,476</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Net Income (1)</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2,088</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2,703</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708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13,193</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7,018</w:t>
            </w:r>
          </w:p>
        </w:tc>
      </w:tr>
      <w:tr>
        <w:trPr>
          <w:trHeight w:val="188"/>
        </w:trPr>
        <w:tc>
          <w:tcPr>
            <w:tcW w:w="40" w:type="dxa"/>
            <w:vAlign w:val="bottom"/>
          </w:tcPr>
          <w:p>
            <w:pPr>
              <w:spacing w:after="0"/>
              <w:rPr>
                <w:sz w:val="16"/>
                <w:szCs w:val="16"/>
                <w:color w:val="auto"/>
              </w:rPr>
            </w:pPr>
          </w:p>
        </w:tc>
        <w:tc>
          <w:tcPr>
            <w:tcW w:w="4780" w:type="dxa"/>
            <w:vAlign w:val="bottom"/>
            <w:gridSpan w:val="5"/>
          </w:tcPr>
          <w:p>
            <w:pPr>
              <w:spacing w:after="0"/>
              <w:rPr>
                <w:sz w:val="20"/>
                <w:szCs w:val="20"/>
                <w:color w:val="auto"/>
              </w:rPr>
            </w:pPr>
            <w:r>
              <w:rPr>
                <w:rFonts w:ascii="Arial" w:cs="Arial" w:eastAsia="Arial" w:hAnsi="Arial"/>
                <w:sz w:val="15"/>
                <w:szCs w:val="15"/>
                <w:color w:val="auto"/>
              </w:rPr>
              <w:t>Net Income per share (2)</w:t>
            </w:r>
          </w:p>
        </w:tc>
        <w:tc>
          <w:tcPr>
            <w:tcW w:w="1320" w:type="dxa"/>
            <w:vAlign w:val="bottom"/>
          </w:tcPr>
          <w:p>
            <w:pPr>
              <w:jc w:val="right"/>
              <w:ind w:right="146"/>
              <w:spacing w:after="0"/>
              <w:rPr>
                <w:sz w:val="20"/>
                <w:szCs w:val="20"/>
                <w:color w:val="auto"/>
              </w:rPr>
            </w:pPr>
            <w:r>
              <w:rPr>
                <w:rFonts w:ascii="Arial" w:cs="Arial" w:eastAsia="Arial" w:hAnsi="Arial"/>
                <w:sz w:val="15"/>
                <w:szCs w:val="15"/>
                <w:color w:val="auto"/>
              </w:rPr>
              <w:t>0.082</w:t>
            </w:r>
          </w:p>
        </w:tc>
        <w:tc>
          <w:tcPr>
            <w:tcW w:w="1640" w:type="dxa"/>
            <w:vAlign w:val="bottom"/>
          </w:tcPr>
          <w:p>
            <w:pPr>
              <w:jc w:val="right"/>
              <w:ind w:right="406"/>
              <w:spacing w:after="0"/>
              <w:rPr>
                <w:sz w:val="20"/>
                <w:szCs w:val="20"/>
                <w:color w:val="auto"/>
              </w:rPr>
            </w:pPr>
            <w:r>
              <w:rPr>
                <w:rFonts w:ascii="Arial" w:cs="Arial" w:eastAsia="Arial" w:hAnsi="Arial"/>
                <w:sz w:val="15"/>
                <w:szCs w:val="15"/>
                <w:color w:val="auto"/>
              </w:rPr>
              <w:t>0.107</w:t>
            </w:r>
          </w:p>
        </w:tc>
        <w:tc>
          <w:tcPr>
            <w:tcW w:w="1180" w:type="dxa"/>
            <w:vAlign w:val="bottom"/>
          </w:tcPr>
          <w:p>
            <w:pPr>
              <w:jc w:val="right"/>
              <w:ind w:right="206"/>
              <w:spacing w:after="0"/>
              <w:rPr>
                <w:sz w:val="20"/>
                <w:szCs w:val="20"/>
                <w:color w:val="auto"/>
              </w:rPr>
            </w:pPr>
            <w:r>
              <w:rPr>
                <w:rFonts w:ascii="Arial" w:cs="Arial" w:eastAsia="Arial" w:hAnsi="Arial"/>
                <w:sz w:val="15"/>
                <w:szCs w:val="15"/>
                <w:color w:val="auto"/>
              </w:rPr>
              <w:t>0.028</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0.520</w:t>
            </w:r>
          </w:p>
        </w:tc>
        <w:tc>
          <w:tcPr>
            <w:tcW w:w="1120" w:type="dxa"/>
            <w:vAlign w:val="bottom"/>
          </w:tcPr>
          <w:p>
            <w:pPr>
              <w:jc w:val="right"/>
              <w:spacing w:after="0"/>
              <w:rPr>
                <w:sz w:val="20"/>
                <w:szCs w:val="20"/>
                <w:color w:val="auto"/>
              </w:rPr>
            </w:pPr>
            <w:r>
              <w:rPr>
                <w:rFonts w:ascii="Arial" w:cs="Arial" w:eastAsia="Arial" w:hAnsi="Arial"/>
                <w:sz w:val="15"/>
                <w:szCs w:val="15"/>
                <w:color w:val="auto"/>
              </w:rPr>
              <w:t>0.277</w:t>
            </w:r>
          </w:p>
        </w:tc>
      </w:tr>
      <w:tr>
        <w:trPr>
          <w:trHeight w:val="294"/>
        </w:trPr>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7"/>
              </w:rPr>
              <w:t>Balance Sheets (end of period)</w:t>
            </w:r>
          </w:p>
        </w:tc>
        <w:tc>
          <w:tcPr>
            <w:tcW w:w="2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8"/>
        </w:trPr>
        <w:tc>
          <w:tcPr>
            <w:tcW w:w="4820" w:type="dxa"/>
            <w:vAlign w:val="bottom"/>
            <w:gridSpan w:val="6"/>
          </w:tcPr>
          <w:p>
            <w:pPr>
              <w:ind w:left="40"/>
              <w:spacing w:after="0"/>
              <w:rPr>
                <w:sz w:val="20"/>
                <w:szCs w:val="20"/>
                <w:color w:val="auto"/>
              </w:rPr>
            </w:pPr>
            <w:r>
              <w:rPr>
                <w:rFonts w:ascii="Arial" w:cs="Arial" w:eastAsia="Arial" w:hAnsi="Arial"/>
                <w:sz w:val="15"/>
                <w:szCs w:val="15"/>
                <w:color w:val="auto"/>
              </w:rPr>
              <w:t>Total Assets</w:t>
            </w:r>
          </w:p>
        </w:tc>
        <w:tc>
          <w:tcPr>
            <w:tcW w:w="1320" w:type="dxa"/>
            <w:vAlign w:val="bottom"/>
          </w:tcPr>
          <w:p>
            <w:pPr>
              <w:jc w:val="right"/>
              <w:ind w:right="146"/>
              <w:spacing w:after="0"/>
              <w:rPr>
                <w:sz w:val="20"/>
                <w:szCs w:val="20"/>
                <w:color w:val="auto"/>
              </w:rPr>
            </w:pPr>
            <w:r>
              <w:rPr>
                <w:rFonts w:ascii="Arial" w:cs="Arial" w:eastAsia="Arial" w:hAnsi="Arial"/>
                <w:sz w:val="15"/>
                <w:szCs w:val="15"/>
                <w:color w:val="auto"/>
              </w:rPr>
              <w:t>718,307</w:t>
            </w:r>
          </w:p>
        </w:tc>
        <w:tc>
          <w:tcPr>
            <w:tcW w:w="1640" w:type="dxa"/>
            <w:vAlign w:val="bottom"/>
          </w:tcPr>
          <w:p>
            <w:pPr>
              <w:jc w:val="right"/>
              <w:ind w:right="406"/>
              <w:spacing w:after="0"/>
              <w:rPr>
                <w:sz w:val="20"/>
                <w:szCs w:val="20"/>
                <w:color w:val="auto"/>
              </w:rPr>
            </w:pPr>
            <w:r>
              <w:rPr>
                <w:rFonts w:ascii="Arial" w:cs="Arial" w:eastAsia="Arial" w:hAnsi="Arial"/>
                <w:sz w:val="15"/>
                <w:szCs w:val="15"/>
                <w:color w:val="auto"/>
              </w:rPr>
              <w:t>802,786</w:t>
            </w:r>
          </w:p>
        </w:tc>
        <w:tc>
          <w:tcPr>
            <w:tcW w:w="1180" w:type="dxa"/>
            <w:vAlign w:val="bottom"/>
          </w:tcPr>
          <w:p>
            <w:pPr>
              <w:jc w:val="right"/>
              <w:ind w:right="206"/>
              <w:spacing w:after="0"/>
              <w:rPr>
                <w:sz w:val="20"/>
                <w:szCs w:val="20"/>
                <w:color w:val="auto"/>
              </w:rPr>
            </w:pPr>
            <w:r>
              <w:rPr>
                <w:rFonts w:ascii="Arial" w:cs="Arial" w:eastAsia="Arial" w:hAnsi="Arial"/>
                <w:sz w:val="15"/>
                <w:szCs w:val="15"/>
                <w:color w:val="auto"/>
              </w:rPr>
              <w:t>833,572</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718,307</w:t>
            </w:r>
          </w:p>
        </w:tc>
        <w:tc>
          <w:tcPr>
            <w:tcW w:w="1120" w:type="dxa"/>
            <w:vAlign w:val="bottom"/>
          </w:tcPr>
          <w:p>
            <w:pPr>
              <w:jc w:val="right"/>
              <w:spacing w:after="0"/>
              <w:rPr>
                <w:sz w:val="20"/>
                <w:szCs w:val="20"/>
                <w:color w:val="auto"/>
              </w:rPr>
            </w:pPr>
            <w:r>
              <w:rPr>
                <w:rFonts w:ascii="Arial" w:cs="Arial" w:eastAsia="Arial" w:hAnsi="Arial"/>
                <w:sz w:val="15"/>
                <w:szCs w:val="15"/>
                <w:color w:val="auto"/>
              </w:rPr>
              <w:t>833,572</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Investments in Secur. and Real estate</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524,366</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623,190</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638,851</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524,366</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638,851</w:t>
            </w:r>
          </w:p>
        </w:tc>
      </w:tr>
      <w:tr>
        <w:trPr>
          <w:trHeight w:val="162"/>
        </w:trPr>
        <w:tc>
          <w:tcPr>
            <w:tcW w:w="482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Technical Reserves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470,765</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520,652</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546,093</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470,765</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546,093</w:t>
            </w:r>
          </w:p>
        </w:tc>
      </w:tr>
      <w:tr>
        <w:trPr>
          <w:trHeight w:val="188"/>
        </w:trPr>
        <w:tc>
          <w:tcPr>
            <w:tcW w:w="40" w:type="dxa"/>
            <w:vAlign w:val="bottom"/>
          </w:tcPr>
          <w:p>
            <w:pPr>
              <w:spacing w:after="0"/>
              <w:rPr>
                <w:sz w:val="16"/>
                <w:szCs w:val="16"/>
                <w:color w:val="auto"/>
              </w:rPr>
            </w:pPr>
          </w:p>
        </w:tc>
        <w:tc>
          <w:tcPr>
            <w:tcW w:w="4780" w:type="dxa"/>
            <w:vAlign w:val="bottom"/>
            <w:gridSpan w:val="5"/>
          </w:tcPr>
          <w:p>
            <w:pPr>
              <w:spacing w:after="0"/>
              <w:rPr>
                <w:sz w:val="20"/>
                <w:szCs w:val="20"/>
                <w:color w:val="auto"/>
              </w:rPr>
            </w:pPr>
            <w:r>
              <w:rPr>
                <w:rFonts w:ascii="Arial" w:cs="Arial" w:eastAsia="Arial" w:hAnsi="Arial"/>
                <w:sz w:val="15"/>
                <w:szCs w:val="15"/>
                <w:color w:val="auto"/>
              </w:rPr>
              <w:t>Net Equity</w:t>
            </w:r>
          </w:p>
        </w:tc>
        <w:tc>
          <w:tcPr>
            <w:tcW w:w="1320" w:type="dxa"/>
            <w:vAlign w:val="bottom"/>
          </w:tcPr>
          <w:p>
            <w:pPr>
              <w:jc w:val="right"/>
              <w:ind w:right="146"/>
              <w:spacing w:after="0"/>
              <w:rPr>
                <w:sz w:val="20"/>
                <w:szCs w:val="20"/>
                <w:color w:val="auto"/>
              </w:rPr>
            </w:pPr>
            <w:r>
              <w:rPr>
                <w:rFonts w:ascii="Arial" w:cs="Arial" w:eastAsia="Arial" w:hAnsi="Arial"/>
                <w:sz w:val="15"/>
                <w:szCs w:val="15"/>
                <w:color w:val="auto"/>
              </w:rPr>
              <w:t>175,853</w:t>
            </w:r>
          </w:p>
        </w:tc>
        <w:tc>
          <w:tcPr>
            <w:tcW w:w="1640" w:type="dxa"/>
            <w:vAlign w:val="bottom"/>
          </w:tcPr>
          <w:p>
            <w:pPr>
              <w:jc w:val="right"/>
              <w:ind w:right="406"/>
              <w:spacing w:after="0"/>
              <w:rPr>
                <w:sz w:val="20"/>
                <w:szCs w:val="20"/>
                <w:color w:val="auto"/>
              </w:rPr>
            </w:pPr>
            <w:r>
              <w:rPr>
                <w:rFonts w:ascii="Arial" w:cs="Arial" w:eastAsia="Arial" w:hAnsi="Arial"/>
                <w:sz w:val="15"/>
                <w:szCs w:val="15"/>
                <w:color w:val="auto"/>
              </w:rPr>
              <w:t>195,823</w:t>
            </w:r>
          </w:p>
        </w:tc>
        <w:tc>
          <w:tcPr>
            <w:tcW w:w="1180" w:type="dxa"/>
            <w:vAlign w:val="bottom"/>
          </w:tcPr>
          <w:p>
            <w:pPr>
              <w:jc w:val="right"/>
              <w:ind w:right="206"/>
              <w:spacing w:after="0"/>
              <w:rPr>
                <w:sz w:val="20"/>
                <w:szCs w:val="20"/>
                <w:color w:val="auto"/>
              </w:rPr>
            </w:pPr>
            <w:r>
              <w:rPr>
                <w:rFonts w:ascii="Arial" w:cs="Arial" w:eastAsia="Arial" w:hAnsi="Arial"/>
                <w:sz w:val="15"/>
                <w:szCs w:val="15"/>
                <w:color w:val="auto"/>
              </w:rPr>
              <w:t>182,848</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175,853</w:t>
            </w:r>
          </w:p>
        </w:tc>
        <w:tc>
          <w:tcPr>
            <w:tcW w:w="1120" w:type="dxa"/>
            <w:vAlign w:val="bottom"/>
          </w:tcPr>
          <w:p>
            <w:pPr>
              <w:jc w:val="right"/>
              <w:spacing w:after="0"/>
              <w:rPr>
                <w:sz w:val="20"/>
                <w:szCs w:val="20"/>
                <w:color w:val="auto"/>
              </w:rPr>
            </w:pPr>
            <w:r>
              <w:rPr>
                <w:rFonts w:ascii="Arial" w:cs="Arial" w:eastAsia="Arial" w:hAnsi="Arial"/>
                <w:sz w:val="15"/>
                <w:szCs w:val="15"/>
                <w:color w:val="auto"/>
              </w:rPr>
              <w:t>182,848</w:t>
            </w:r>
          </w:p>
        </w:tc>
      </w:tr>
      <w:tr>
        <w:trPr>
          <w:trHeight w:val="294"/>
        </w:trPr>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7"/>
              </w:rPr>
              <w:t>Ratios</w:t>
            </w:r>
          </w:p>
        </w:tc>
        <w:tc>
          <w:tcPr>
            <w:tcW w:w="4400" w:type="dxa"/>
            <w:vAlign w:val="bottom"/>
            <w:gridSpan w:val="4"/>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8"/>
        </w:trPr>
        <w:tc>
          <w:tcPr>
            <w:tcW w:w="40" w:type="dxa"/>
            <w:vAlign w:val="bottom"/>
          </w:tcPr>
          <w:p>
            <w:pPr>
              <w:spacing w:after="0"/>
              <w:rPr>
                <w:sz w:val="24"/>
                <w:szCs w:val="24"/>
                <w:color w:val="auto"/>
              </w:rPr>
            </w:pPr>
          </w:p>
        </w:tc>
        <w:tc>
          <w:tcPr>
            <w:tcW w:w="4780" w:type="dxa"/>
            <w:vAlign w:val="bottom"/>
            <w:gridSpan w:val="5"/>
          </w:tcPr>
          <w:p>
            <w:pPr>
              <w:spacing w:after="0"/>
              <w:rPr>
                <w:sz w:val="20"/>
                <w:szCs w:val="20"/>
                <w:color w:val="auto"/>
              </w:rPr>
            </w:pPr>
            <w:r>
              <w:rPr>
                <w:rFonts w:ascii="Arial" w:cs="Arial" w:eastAsia="Arial" w:hAnsi="Arial"/>
                <w:sz w:val="15"/>
                <w:szCs w:val="15"/>
                <w:color w:val="auto"/>
              </w:rPr>
              <w:t>Net underwriting results</w:t>
            </w:r>
          </w:p>
        </w:tc>
        <w:tc>
          <w:tcPr>
            <w:tcW w:w="1320" w:type="dxa"/>
            <w:vAlign w:val="bottom"/>
          </w:tcPr>
          <w:p>
            <w:pPr>
              <w:jc w:val="right"/>
              <w:ind w:right="146"/>
              <w:spacing w:after="0"/>
              <w:rPr>
                <w:sz w:val="20"/>
                <w:szCs w:val="20"/>
                <w:color w:val="auto"/>
              </w:rPr>
            </w:pPr>
            <w:r>
              <w:rPr>
                <w:rFonts w:ascii="Arial" w:cs="Arial" w:eastAsia="Arial" w:hAnsi="Arial"/>
                <w:sz w:val="15"/>
                <w:szCs w:val="15"/>
                <w:color w:val="auto"/>
              </w:rPr>
              <w:t>10.4%</w:t>
            </w:r>
          </w:p>
        </w:tc>
        <w:tc>
          <w:tcPr>
            <w:tcW w:w="1640" w:type="dxa"/>
            <w:vAlign w:val="bottom"/>
          </w:tcPr>
          <w:p>
            <w:pPr>
              <w:jc w:val="right"/>
              <w:ind w:right="406"/>
              <w:spacing w:after="0"/>
              <w:rPr>
                <w:sz w:val="20"/>
                <w:szCs w:val="20"/>
                <w:color w:val="auto"/>
              </w:rPr>
            </w:pPr>
            <w:r>
              <w:rPr>
                <w:rFonts w:ascii="Arial" w:cs="Arial" w:eastAsia="Arial" w:hAnsi="Arial"/>
                <w:sz w:val="15"/>
                <w:szCs w:val="15"/>
                <w:color w:val="auto"/>
              </w:rPr>
              <w:t>7.2%</w:t>
            </w:r>
          </w:p>
        </w:tc>
        <w:tc>
          <w:tcPr>
            <w:tcW w:w="1180" w:type="dxa"/>
            <w:vAlign w:val="bottom"/>
          </w:tcPr>
          <w:p>
            <w:pPr>
              <w:jc w:val="right"/>
              <w:ind w:right="206"/>
              <w:spacing w:after="0"/>
              <w:rPr>
                <w:sz w:val="20"/>
                <w:szCs w:val="20"/>
                <w:color w:val="auto"/>
              </w:rPr>
            </w:pPr>
            <w:r>
              <w:rPr>
                <w:rFonts w:ascii="Arial" w:cs="Arial" w:eastAsia="Arial" w:hAnsi="Arial"/>
                <w:sz w:val="15"/>
                <w:szCs w:val="15"/>
                <w:color w:val="auto"/>
              </w:rPr>
              <w:t>4.0%</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9.0%</w:t>
            </w:r>
          </w:p>
        </w:tc>
        <w:tc>
          <w:tcPr>
            <w:tcW w:w="11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Net earned loss ratio</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73.0%</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75.1%</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83.0%</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72.4%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78.9%</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Return on avge. equity (2)(3)</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5.4%</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6.0%</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1.5%</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8.1%</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3.9%</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Return on total premiums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2.2%</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3.1%</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0.7%</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2.0%</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Shareholders' Equity / Total Assets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24.5%</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24.4%</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21.9%</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24.5%</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21.9%</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Increase in Risk Reserves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17.8%</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19.8%</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21.8%</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27.7%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23.5%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auto"/>
            </w:tcBorders>
            <w:gridSpan w:val="3"/>
          </w:tcPr>
          <w:p>
            <w:pPr>
              <w:spacing w:after="0" w:line="158" w:lineRule="exact"/>
              <w:rPr>
                <w:sz w:val="20"/>
                <w:szCs w:val="20"/>
                <w:color w:val="auto"/>
              </w:rPr>
            </w:pPr>
            <w:r>
              <w:rPr>
                <w:rFonts w:ascii="Arial" w:cs="Arial" w:eastAsia="Arial" w:hAnsi="Arial"/>
                <w:sz w:val="15"/>
                <w:szCs w:val="15"/>
                <w:color w:val="auto"/>
                <w:w w:val="90"/>
              </w:rPr>
              <w:t>Combined Ratio (4)</w:t>
            </w:r>
          </w:p>
        </w:tc>
        <w:tc>
          <w:tcPr>
            <w:tcW w:w="3580" w:type="dxa"/>
            <w:vAlign w:val="bottom"/>
            <w:gridSpan w:val="2"/>
          </w:tcPr>
          <w:p>
            <w:pPr>
              <w:spacing w:after="0"/>
              <w:rPr>
                <w:sz w:val="13"/>
                <w:szCs w:val="13"/>
                <w:color w:val="auto"/>
              </w:rPr>
            </w:pPr>
          </w:p>
        </w:tc>
        <w:tc>
          <w:tcPr>
            <w:tcW w:w="1320" w:type="dxa"/>
            <w:vAlign w:val="bottom"/>
          </w:tcPr>
          <w:p>
            <w:pPr>
              <w:jc w:val="right"/>
              <w:ind w:right="146"/>
              <w:spacing w:after="0" w:line="158" w:lineRule="exact"/>
              <w:rPr>
                <w:sz w:val="20"/>
                <w:szCs w:val="20"/>
                <w:color w:val="auto"/>
              </w:rPr>
            </w:pPr>
            <w:r>
              <w:rPr>
                <w:rFonts w:ascii="Arial" w:cs="Arial" w:eastAsia="Arial" w:hAnsi="Arial"/>
                <w:sz w:val="15"/>
                <w:szCs w:val="15"/>
                <w:color w:val="auto"/>
              </w:rPr>
              <w:t>99.1%</w:t>
            </w:r>
          </w:p>
        </w:tc>
        <w:tc>
          <w:tcPr>
            <w:tcW w:w="1640" w:type="dxa"/>
            <w:vAlign w:val="bottom"/>
          </w:tcPr>
          <w:p>
            <w:pPr>
              <w:jc w:val="right"/>
              <w:ind w:right="406"/>
              <w:spacing w:after="0" w:line="158" w:lineRule="exact"/>
              <w:rPr>
                <w:sz w:val="20"/>
                <w:szCs w:val="20"/>
                <w:color w:val="auto"/>
              </w:rPr>
            </w:pPr>
            <w:r>
              <w:rPr>
                <w:rFonts w:ascii="Arial" w:cs="Arial" w:eastAsia="Arial" w:hAnsi="Arial"/>
                <w:sz w:val="15"/>
                <w:szCs w:val="15"/>
                <w:color w:val="auto"/>
              </w:rPr>
              <w:t>95.1%</w:t>
            </w:r>
          </w:p>
        </w:tc>
        <w:tc>
          <w:tcPr>
            <w:tcW w:w="118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110.4%</w:t>
            </w:r>
          </w:p>
        </w:tc>
        <w:tc>
          <w:tcPr>
            <w:tcW w:w="134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97.1%</w:t>
            </w:r>
          </w:p>
        </w:tc>
        <w:tc>
          <w:tcPr>
            <w:tcW w:w="1120" w:type="dxa"/>
            <w:vAlign w:val="bottom"/>
          </w:tcPr>
          <w:p>
            <w:pPr>
              <w:jc w:val="right"/>
              <w:spacing w:after="0" w:line="158" w:lineRule="exact"/>
              <w:rPr>
                <w:sz w:val="20"/>
                <w:szCs w:val="20"/>
                <w:color w:val="auto"/>
              </w:rPr>
            </w:pPr>
            <w:r>
              <w:rPr>
                <w:rFonts w:ascii="Arial" w:cs="Arial" w:eastAsia="Arial" w:hAnsi="Arial"/>
                <w:sz w:val="15"/>
                <w:szCs w:val="15"/>
                <w:color w:val="auto"/>
              </w:rPr>
              <w:t>103.0%</w:t>
            </w:r>
          </w:p>
        </w:tc>
      </w:tr>
      <w:tr>
        <w:trPr>
          <w:trHeight w:val="146"/>
        </w:trPr>
        <w:tc>
          <w:tcPr>
            <w:tcW w:w="1240" w:type="dxa"/>
            <w:vAlign w:val="bottom"/>
            <w:gridSpan w:val="4"/>
          </w:tcPr>
          <w:p>
            <w:pPr>
              <w:spacing w:after="0" w:line="146" w:lineRule="exact"/>
              <w:rPr>
                <w:sz w:val="20"/>
                <w:szCs w:val="20"/>
                <w:color w:val="auto"/>
              </w:rPr>
            </w:pPr>
            <w:r>
              <w:rPr>
                <w:rFonts w:ascii="Arial" w:cs="Arial" w:eastAsia="Arial" w:hAnsi="Arial"/>
                <w:sz w:val="15"/>
                <w:szCs w:val="15"/>
                <w:color w:val="auto"/>
              </w:rPr>
              <w:t>-Net Claims / Net</w:t>
            </w:r>
          </w:p>
        </w:tc>
        <w:tc>
          <w:tcPr>
            <w:tcW w:w="3580" w:type="dxa"/>
            <w:vAlign w:val="bottom"/>
            <w:gridSpan w:val="2"/>
          </w:tcPr>
          <w:p>
            <w:pPr>
              <w:spacing w:after="0" w:line="146" w:lineRule="exact"/>
              <w:rPr>
                <w:sz w:val="20"/>
                <w:szCs w:val="20"/>
                <w:color w:val="auto"/>
              </w:rPr>
            </w:pPr>
            <w:r>
              <w:rPr>
                <w:rFonts w:ascii="Arial" w:cs="Arial" w:eastAsia="Arial" w:hAnsi="Arial"/>
                <w:sz w:val="15"/>
                <w:szCs w:val="15"/>
                <w:color w:val="auto"/>
              </w:rPr>
              <w:t>Premiums Earned</w:t>
            </w:r>
          </w:p>
        </w:tc>
        <w:tc>
          <w:tcPr>
            <w:tcW w:w="1320" w:type="dxa"/>
            <w:vAlign w:val="bottom"/>
          </w:tcPr>
          <w:p>
            <w:pPr>
              <w:jc w:val="right"/>
              <w:ind w:right="146"/>
              <w:spacing w:after="0" w:line="146" w:lineRule="exact"/>
              <w:rPr>
                <w:sz w:val="20"/>
                <w:szCs w:val="20"/>
                <w:color w:val="auto"/>
              </w:rPr>
            </w:pPr>
            <w:r>
              <w:rPr>
                <w:rFonts w:ascii="Arial" w:cs="Arial" w:eastAsia="Arial" w:hAnsi="Arial"/>
                <w:sz w:val="15"/>
                <w:szCs w:val="15"/>
                <w:color w:val="auto"/>
              </w:rPr>
              <w:t>24.3%</w:t>
            </w:r>
          </w:p>
        </w:tc>
        <w:tc>
          <w:tcPr>
            <w:tcW w:w="1640" w:type="dxa"/>
            <w:vAlign w:val="bottom"/>
          </w:tcPr>
          <w:p>
            <w:pPr>
              <w:jc w:val="right"/>
              <w:ind w:right="406"/>
              <w:spacing w:after="0" w:line="146" w:lineRule="exact"/>
              <w:rPr>
                <w:sz w:val="20"/>
                <w:szCs w:val="20"/>
                <w:color w:val="auto"/>
              </w:rPr>
            </w:pPr>
            <w:r>
              <w:rPr>
                <w:rFonts w:ascii="Arial" w:cs="Arial" w:eastAsia="Arial" w:hAnsi="Arial"/>
                <w:sz w:val="15"/>
                <w:szCs w:val="15"/>
                <w:color w:val="auto"/>
              </w:rPr>
              <w:t>18.9%</w:t>
            </w:r>
          </w:p>
        </w:tc>
        <w:tc>
          <w:tcPr>
            <w:tcW w:w="1180" w:type="dxa"/>
            <w:vAlign w:val="bottom"/>
          </w:tcPr>
          <w:p>
            <w:pPr>
              <w:jc w:val="right"/>
              <w:ind w:right="206"/>
              <w:spacing w:after="0" w:line="146" w:lineRule="exact"/>
              <w:rPr>
                <w:sz w:val="20"/>
                <w:szCs w:val="20"/>
                <w:color w:val="auto"/>
              </w:rPr>
            </w:pPr>
            <w:r>
              <w:rPr>
                <w:rFonts w:ascii="Arial" w:cs="Arial" w:eastAsia="Arial" w:hAnsi="Arial"/>
                <w:sz w:val="15"/>
                <w:szCs w:val="15"/>
                <w:color w:val="auto"/>
              </w:rPr>
              <w:t>20.2%</w:t>
            </w:r>
          </w:p>
        </w:tc>
        <w:tc>
          <w:tcPr>
            <w:tcW w:w="1340" w:type="dxa"/>
            <w:vAlign w:val="bottom"/>
          </w:tcPr>
          <w:p>
            <w:pPr>
              <w:jc w:val="right"/>
              <w:ind w:right="186"/>
              <w:spacing w:after="0" w:line="146" w:lineRule="exact"/>
              <w:rPr>
                <w:sz w:val="20"/>
                <w:szCs w:val="20"/>
                <w:color w:val="auto"/>
              </w:rPr>
            </w:pPr>
            <w:r>
              <w:rPr>
                <w:rFonts w:ascii="Arial" w:cs="Arial" w:eastAsia="Arial" w:hAnsi="Arial"/>
                <w:sz w:val="15"/>
                <w:szCs w:val="15"/>
                <w:color w:val="auto"/>
              </w:rPr>
              <w:t>22.1%</w:t>
            </w:r>
          </w:p>
        </w:tc>
        <w:tc>
          <w:tcPr>
            <w:tcW w:w="1120" w:type="dxa"/>
            <w:vAlign w:val="bottom"/>
          </w:tcPr>
          <w:p>
            <w:pPr>
              <w:jc w:val="right"/>
              <w:spacing w:after="0" w:line="146" w:lineRule="exact"/>
              <w:rPr>
                <w:sz w:val="20"/>
                <w:szCs w:val="20"/>
                <w:color w:val="auto"/>
              </w:rPr>
            </w:pPr>
            <w:r>
              <w:rPr>
                <w:rFonts w:ascii="Arial" w:cs="Arial" w:eastAsia="Arial" w:hAnsi="Arial"/>
                <w:sz w:val="15"/>
                <w:szCs w:val="15"/>
                <w:color w:val="auto"/>
              </w:rPr>
              <w:t>19.7%</w:t>
            </w:r>
          </w:p>
        </w:tc>
      </w:tr>
      <w:tr>
        <w:trPr>
          <w:trHeight w:val="162"/>
        </w:trPr>
        <w:tc>
          <w:tcPr>
            <w:tcW w:w="4820" w:type="dxa"/>
            <w:vAlign w:val="bottom"/>
            <w:gridSpan w:val="6"/>
          </w:tcPr>
          <w:p>
            <w:pPr>
              <w:spacing w:after="0" w:line="162" w:lineRule="exact"/>
              <w:rPr>
                <w:sz w:val="20"/>
                <w:szCs w:val="20"/>
                <w:color w:val="auto"/>
              </w:rPr>
            </w:pPr>
            <w:r>
              <w:rPr>
                <w:rFonts w:ascii="Arial" w:cs="Arial" w:eastAsia="Arial" w:hAnsi="Arial"/>
                <w:sz w:val="15"/>
                <w:szCs w:val="15"/>
                <w:color w:val="auto"/>
              </w:rPr>
              <w:t>-Op. Exp.+Comiss./Net Prems. Earned</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8.8%</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5.8%</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5.7%</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7.0%</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5.7%</w:t>
            </w:r>
          </w:p>
        </w:tc>
      </w:tr>
      <w:tr>
        <w:trPr>
          <w:trHeight w:val="162"/>
        </w:trPr>
        <w:tc>
          <w:tcPr>
            <w:tcW w:w="40" w:type="dxa"/>
            <w:vAlign w:val="bottom"/>
          </w:tcPr>
          <w:p>
            <w:pPr>
              <w:spacing w:after="0"/>
              <w:rPr>
                <w:sz w:val="14"/>
                <w:szCs w:val="14"/>
                <w:color w:val="auto"/>
              </w:rPr>
            </w:pPr>
          </w:p>
        </w:tc>
        <w:tc>
          <w:tcPr>
            <w:tcW w:w="4780" w:type="dxa"/>
            <w:vAlign w:val="bottom"/>
            <w:gridSpan w:val="5"/>
          </w:tcPr>
          <w:p>
            <w:pPr>
              <w:spacing w:after="0" w:line="162" w:lineRule="exact"/>
              <w:rPr>
                <w:sz w:val="20"/>
                <w:szCs w:val="20"/>
                <w:color w:val="auto"/>
              </w:rPr>
            </w:pPr>
            <w:r>
              <w:rPr>
                <w:rFonts w:ascii="Arial" w:cs="Arial" w:eastAsia="Arial" w:hAnsi="Arial"/>
                <w:sz w:val="15"/>
                <w:szCs w:val="15"/>
                <w:color w:val="auto"/>
              </w:rPr>
              <w:t>Operating expense/Net Earn. Premiums</w:t>
            </w:r>
          </w:p>
        </w:tc>
        <w:tc>
          <w:tcPr>
            <w:tcW w:w="1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72.9%</w:t>
            </w:r>
          </w:p>
        </w:tc>
        <w:tc>
          <w:tcPr>
            <w:tcW w:w="1640" w:type="dxa"/>
            <w:vAlign w:val="bottom"/>
          </w:tcPr>
          <w:p>
            <w:pPr>
              <w:jc w:val="right"/>
              <w:ind w:right="406"/>
              <w:spacing w:after="0" w:line="162" w:lineRule="exact"/>
              <w:rPr>
                <w:sz w:val="20"/>
                <w:szCs w:val="20"/>
                <w:color w:val="auto"/>
              </w:rPr>
            </w:pPr>
            <w:r>
              <w:rPr>
                <w:rFonts w:ascii="Arial" w:cs="Arial" w:eastAsia="Arial" w:hAnsi="Arial"/>
                <w:sz w:val="15"/>
                <w:szCs w:val="15"/>
                <w:color w:val="auto"/>
              </w:rPr>
              <w:t>70.9%</w:t>
            </w:r>
          </w:p>
        </w:tc>
        <w:tc>
          <w:tcPr>
            <w:tcW w:w="11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82.2%</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68.7%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76.1%</w:t>
            </w:r>
          </w:p>
        </w:tc>
      </w:tr>
      <w:tr>
        <w:trPr>
          <w:trHeight w:val="171"/>
        </w:trPr>
        <w:tc>
          <w:tcPr>
            <w:tcW w:w="4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gridSpan w:val="5"/>
          </w:tcPr>
          <w:p>
            <w:pPr>
              <w:spacing w:after="0" w:line="172" w:lineRule="exact"/>
              <w:rPr>
                <w:sz w:val="20"/>
                <w:szCs w:val="20"/>
                <w:color w:val="auto"/>
              </w:rPr>
            </w:pPr>
            <w:r>
              <w:rPr>
                <w:rFonts w:ascii="Arial" w:cs="Arial" w:eastAsia="Arial" w:hAnsi="Arial"/>
                <w:sz w:val="15"/>
                <w:szCs w:val="15"/>
                <w:color w:val="auto"/>
              </w:rPr>
              <w:t>Oper. expense / Avge. assets (2)(3)</w:t>
            </w:r>
          </w:p>
        </w:tc>
        <w:tc>
          <w:tcPr>
            <w:tcW w:w="1320" w:type="dxa"/>
            <w:vAlign w:val="bottom"/>
            <w:tcBorders>
              <w:bottom w:val="single" w:sz="8" w:color="auto"/>
            </w:tcBorders>
          </w:tcPr>
          <w:p>
            <w:pPr>
              <w:jc w:val="right"/>
              <w:ind w:right="146"/>
              <w:spacing w:after="0" w:line="172" w:lineRule="exact"/>
              <w:rPr>
                <w:sz w:val="20"/>
                <w:szCs w:val="20"/>
                <w:color w:val="auto"/>
              </w:rPr>
            </w:pPr>
            <w:r>
              <w:rPr>
                <w:rFonts w:ascii="Arial" w:cs="Arial" w:eastAsia="Arial" w:hAnsi="Arial"/>
                <w:sz w:val="15"/>
                <w:szCs w:val="15"/>
                <w:color w:val="auto"/>
              </w:rPr>
              <w:t>26.1%</w:t>
            </w:r>
          </w:p>
        </w:tc>
        <w:tc>
          <w:tcPr>
            <w:tcW w:w="1640" w:type="dxa"/>
            <w:vAlign w:val="bottom"/>
            <w:tcBorders>
              <w:bottom w:val="single" w:sz="8" w:color="auto"/>
            </w:tcBorders>
          </w:tcPr>
          <w:p>
            <w:pPr>
              <w:jc w:val="right"/>
              <w:ind w:right="406"/>
              <w:spacing w:after="0" w:line="172" w:lineRule="exact"/>
              <w:rPr>
                <w:sz w:val="20"/>
                <w:szCs w:val="20"/>
                <w:color w:val="auto"/>
              </w:rPr>
            </w:pPr>
            <w:r>
              <w:rPr>
                <w:rFonts w:ascii="Arial" w:cs="Arial" w:eastAsia="Arial" w:hAnsi="Arial"/>
                <w:sz w:val="15"/>
                <w:szCs w:val="15"/>
                <w:color w:val="auto"/>
              </w:rPr>
              <w:t>24.2%</w:t>
            </w:r>
          </w:p>
        </w:tc>
        <w:tc>
          <w:tcPr>
            <w:tcW w:w="1180" w:type="dxa"/>
            <w:vAlign w:val="bottom"/>
            <w:tcBorders>
              <w:bottom w:val="single" w:sz="8" w:color="auto"/>
            </w:tcBorders>
          </w:tcPr>
          <w:p>
            <w:pPr>
              <w:jc w:val="right"/>
              <w:ind w:right="206"/>
              <w:spacing w:after="0" w:line="172" w:lineRule="exact"/>
              <w:rPr>
                <w:sz w:val="20"/>
                <w:szCs w:val="20"/>
                <w:color w:val="auto"/>
              </w:rPr>
            </w:pPr>
            <w:r>
              <w:rPr>
                <w:rFonts w:ascii="Arial" w:cs="Arial" w:eastAsia="Arial" w:hAnsi="Arial"/>
                <w:sz w:val="15"/>
                <w:szCs w:val="15"/>
                <w:color w:val="auto"/>
              </w:rPr>
              <w:t>28.2%</w:t>
            </w:r>
          </w:p>
        </w:tc>
        <w:tc>
          <w:tcPr>
            <w:tcW w:w="1340" w:type="dxa"/>
            <w:vAlign w:val="bottom"/>
            <w:tcBorders>
              <w:bottom w:val="single" w:sz="8" w:color="auto"/>
            </w:tcBorders>
          </w:tcPr>
          <w:p>
            <w:pPr>
              <w:jc w:val="right"/>
              <w:ind w:right="186"/>
              <w:spacing w:after="0" w:line="172" w:lineRule="exact"/>
              <w:rPr>
                <w:sz w:val="20"/>
                <w:szCs w:val="20"/>
                <w:color w:val="auto"/>
              </w:rPr>
            </w:pPr>
            <w:r>
              <w:rPr>
                <w:rFonts w:ascii="Arial" w:cs="Arial" w:eastAsia="Arial" w:hAnsi="Arial"/>
                <w:sz w:val="15"/>
                <w:szCs w:val="15"/>
                <w:color w:val="auto"/>
              </w:rPr>
              <w:t>28.3%</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26.9%</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(1)Financial statements following IFRS rules in U.S. Dollars.</w:t>
      </w:r>
    </w:p>
    <w:p>
      <w:pPr>
        <w:spacing w:after="0" w:line="227" w:lineRule="auto"/>
        <w:rPr>
          <w:sz w:val="20"/>
          <w:szCs w:val="20"/>
          <w:color w:val="auto"/>
        </w:rPr>
      </w:pPr>
      <w:r>
        <w:rPr>
          <w:rFonts w:ascii="Arial" w:cs="Arial" w:eastAsia="Arial" w:hAnsi="Arial"/>
          <w:sz w:val="15"/>
          <w:szCs w:val="15"/>
          <w:i w:val="1"/>
          <w:iCs w:val="1"/>
          <w:color w:val="auto"/>
        </w:rPr>
        <w:t>(2)Averages are determined as the average of period-beginning and period-ending balances.</w:t>
      </w:r>
    </w:p>
    <w:p>
      <w:pPr>
        <w:spacing w:after="0" w:line="226" w:lineRule="auto"/>
        <w:rPr>
          <w:sz w:val="20"/>
          <w:szCs w:val="20"/>
          <w:color w:val="auto"/>
        </w:rPr>
      </w:pPr>
      <w:r>
        <w:rPr>
          <w:rFonts w:ascii="Arial" w:cs="Arial" w:eastAsia="Arial" w:hAnsi="Arial"/>
          <w:sz w:val="15"/>
          <w:szCs w:val="15"/>
          <w:i w:val="1"/>
          <w:iCs w:val="1"/>
          <w:color w:val="auto"/>
        </w:rPr>
        <w:t>(3)Annualized.</w:t>
      </w:r>
    </w:p>
    <w:p>
      <w:pPr>
        <w:spacing w:after="0"/>
        <w:rPr>
          <w:sz w:val="20"/>
          <w:szCs w:val="20"/>
          <w:color w:val="auto"/>
        </w:rPr>
      </w:pPr>
      <w:r>
        <w:rPr>
          <w:rFonts w:ascii="Arial" w:cs="Arial" w:eastAsia="Arial" w:hAnsi="Arial"/>
          <w:sz w:val="15"/>
          <w:szCs w:val="15"/>
          <w:i w:val="1"/>
          <w:iCs w:val="1"/>
          <w:color w:val="auto"/>
        </w:rPr>
        <w:t>(4)Does not include the life insurance subsidiary Pacifico Vida.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1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13, 2006</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2019-12-14T06:09:00Z</dcterms:created>
  <dcterms:modified xsi:type="dcterms:W3CDTF">2019-12-14T06:09:00Z</dcterms:modified>
</cp:coreProperties>
</file>